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06EE" w14:textId="77777777" w:rsidR="004A2BA6" w:rsidRDefault="004A2BA6" w:rsidP="004A2BA6">
      <w:pPr>
        <w:pStyle w:val="Title1"/>
        <w:spacing w:before="120" w:after="180" w:line="240" w:lineRule="auto"/>
        <w:jc w:val="left"/>
        <w:rPr>
          <w:rFonts w:cs="Calibri Light"/>
          <w:sz w:val="44"/>
          <w:szCs w:val="44"/>
        </w:rPr>
      </w:pPr>
      <w:r w:rsidRPr="000E7080">
        <w:rPr>
          <w:rFonts w:cs="Calibri Light"/>
          <w:noProof/>
        </w:rPr>
        <w:drawing>
          <wp:anchor distT="0" distB="0" distL="114300" distR="114300" simplePos="0" relativeHeight="251658240" behindDoc="0" locked="0" layoutInCell="1" allowOverlap="0" wp14:anchorId="70A8D971" wp14:editId="3F8E2D0D">
            <wp:simplePos x="0" y="0"/>
            <wp:positionH relativeFrom="column">
              <wp:posOffset>0</wp:posOffset>
            </wp:positionH>
            <wp:positionV relativeFrom="paragraph">
              <wp:posOffset>81280</wp:posOffset>
            </wp:positionV>
            <wp:extent cx="5486400" cy="5486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86400" cy="5486400"/>
                    </a:xfrm>
                    <a:prstGeom prst="rect">
                      <a:avLst/>
                    </a:prstGeom>
                    <a:noFill/>
                    <a:ln>
                      <a:noFill/>
                    </a:ln>
                  </pic:spPr>
                </pic:pic>
              </a:graphicData>
            </a:graphic>
          </wp:anchor>
        </w:drawing>
      </w:r>
    </w:p>
    <w:p w14:paraId="3C4DB61F" w14:textId="77777777" w:rsidR="004A2BA6" w:rsidRPr="001B365F" w:rsidRDefault="004A2BA6" w:rsidP="004A2BA6">
      <w:pPr>
        <w:pStyle w:val="Title1"/>
        <w:spacing w:before="120" w:after="180" w:line="240" w:lineRule="auto"/>
        <w:jc w:val="left"/>
        <w:rPr>
          <w:rFonts w:cs="Calibri Light"/>
          <w:b/>
          <w:bCs w:val="0"/>
          <w:sz w:val="48"/>
          <w:szCs w:val="48"/>
        </w:rPr>
      </w:pPr>
      <w:r w:rsidRPr="001B365F">
        <w:rPr>
          <w:rFonts w:cs="Calibri Light"/>
          <w:b/>
          <w:bCs w:val="0"/>
          <w:sz w:val="48"/>
          <w:szCs w:val="48"/>
        </w:rPr>
        <w:t>SEC Compliance Checklist for Annual Report on SEC Form 10-K</w:t>
      </w:r>
    </w:p>
    <w:p w14:paraId="0BF27CC2" w14:textId="6C0A4ADB" w:rsidR="004A2BA6" w:rsidRPr="001B365F" w:rsidRDefault="004A2BA6" w:rsidP="004A2BA6">
      <w:pPr>
        <w:pStyle w:val="Title1"/>
        <w:spacing w:before="120" w:after="180" w:line="240" w:lineRule="auto"/>
        <w:jc w:val="left"/>
        <w:rPr>
          <w:rFonts w:cs="Calibri Light"/>
          <w:sz w:val="40"/>
          <w:szCs w:val="40"/>
        </w:rPr>
      </w:pPr>
      <w:r w:rsidRPr="74E5BC7A">
        <w:rPr>
          <w:rFonts w:cs="Calibri Light"/>
          <w:sz w:val="40"/>
          <w:szCs w:val="40"/>
        </w:rPr>
        <w:t>December 202</w:t>
      </w:r>
      <w:r w:rsidR="5DB694B6" w:rsidRPr="74E5BC7A">
        <w:rPr>
          <w:rFonts w:cs="Calibri Light"/>
          <w:sz w:val="40"/>
          <w:szCs w:val="40"/>
        </w:rPr>
        <w:t>2</w:t>
      </w:r>
    </w:p>
    <w:p w14:paraId="594A2199" w14:textId="77777777" w:rsidR="004A2BA6" w:rsidRDefault="004A2BA6" w:rsidP="00F77F5A">
      <w:pPr>
        <w:pStyle w:val="FormTitle"/>
      </w:pPr>
    </w:p>
    <w:p w14:paraId="6443BF39" w14:textId="77777777" w:rsidR="004A2BA6" w:rsidRDefault="004A2BA6" w:rsidP="004A2BA6">
      <w:pPr>
        <w:pStyle w:val="FormTitle"/>
        <w:jc w:val="left"/>
      </w:pPr>
    </w:p>
    <w:p w14:paraId="22E1DD71" w14:textId="19F1973D" w:rsidR="00002E9C" w:rsidRPr="00F77F5A" w:rsidRDefault="0095082E" w:rsidP="004A2BA6">
      <w:pPr>
        <w:pStyle w:val="FormTitle"/>
        <w:jc w:val="left"/>
      </w:pPr>
      <w:r w:rsidRPr="00F77F5A">
        <w:lastRenderedPageBreak/>
        <w:t xml:space="preserve">SEC COMPLIANCE </w:t>
      </w:r>
      <w:r w:rsidR="00002E9C" w:rsidRPr="00F77F5A">
        <w:t>CHECKLIST FOR ANNUAL REPORT</w:t>
      </w:r>
      <w:r w:rsidR="00695CF4" w:rsidRPr="00F77F5A">
        <w:t xml:space="preserve"> </w:t>
      </w:r>
      <w:r w:rsidR="00002E9C" w:rsidRPr="00F77F5A">
        <w:t>ON FORM 10-K</w:t>
      </w:r>
    </w:p>
    <w:tbl>
      <w:tblPr>
        <w:tblW w:w="9108" w:type="dxa"/>
        <w:tblLayout w:type="fixed"/>
        <w:tblLook w:val="0000" w:firstRow="0" w:lastRow="0" w:firstColumn="0" w:lastColumn="0" w:noHBand="0" w:noVBand="0"/>
      </w:tblPr>
      <w:tblGrid>
        <w:gridCol w:w="1530"/>
        <w:gridCol w:w="4230"/>
        <w:gridCol w:w="900"/>
        <w:gridCol w:w="2448"/>
      </w:tblGrid>
      <w:tr w:rsidR="00002E9C" w:rsidRPr="00A8680D" w14:paraId="21DAD8B6" w14:textId="77777777" w:rsidTr="00D33019">
        <w:tc>
          <w:tcPr>
            <w:tcW w:w="1530" w:type="dxa"/>
          </w:tcPr>
          <w:p w14:paraId="4DF8EC80" w14:textId="4C8646E7" w:rsidR="00002E9C" w:rsidRPr="00A8680D" w:rsidRDefault="004A2BA6" w:rsidP="00A8680D">
            <w:pPr>
              <w:pStyle w:val="FormTableText"/>
            </w:pPr>
            <w:r>
              <w:t>Company</w:t>
            </w:r>
            <w:r w:rsidR="00002E9C" w:rsidRPr="00A8680D">
              <w:t>:</w:t>
            </w:r>
          </w:p>
        </w:tc>
        <w:tc>
          <w:tcPr>
            <w:tcW w:w="4230" w:type="dxa"/>
            <w:tcBorders>
              <w:bottom w:val="single" w:sz="6" w:space="0" w:color="auto"/>
            </w:tcBorders>
          </w:tcPr>
          <w:p w14:paraId="6195CA08" w14:textId="77777777" w:rsidR="00002E9C" w:rsidRPr="00A8680D" w:rsidRDefault="00002E9C" w:rsidP="00A8680D">
            <w:pPr>
              <w:pStyle w:val="FormTableText"/>
            </w:pPr>
          </w:p>
        </w:tc>
        <w:tc>
          <w:tcPr>
            <w:tcW w:w="900" w:type="dxa"/>
          </w:tcPr>
          <w:p w14:paraId="4A748573" w14:textId="77777777" w:rsidR="00002E9C" w:rsidRPr="00A8680D" w:rsidRDefault="00002E9C" w:rsidP="00A8680D">
            <w:pPr>
              <w:pStyle w:val="FormTableText"/>
            </w:pPr>
            <w:r w:rsidRPr="00A8680D">
              <w:t>Period:</w:t>
            </w:r>
          </w:p>
        </w:tc>
        <w:tc>
          <w:tcPr>
            <w:tcW w:w="2448" w:type="dxa"/>
            <w:tcBorders>
              <w:bottom w:val="single" w:sz="6" w:space="0" w:color="auto"/>
            </w:tcBorders>
          </w:tcPr>
          <w:p w14:paraId="73305FDF" w14:textId="77777777" w:rsidR="00002E9C" w:rsidRPr="00A8680D" w:rsidRDefault="00002E9C" w:rsidP="00A8680D">
            <w:pPr>
              <w:pStyle w:val="FormTableText"/>
            </w:pPr>
          </w:p>
        </w:tc>
      </w:tr>
      <w:tr w:rsidR="00002E9C" w:rsidRPr="00A8680D" w14:paraId="31B7DFC6" w14:textId="77777777" w:rsidTr="00D33019">
        <w:tc>
          <w:tcPr>
            <w:tcW w:w="1530" w:type="dxa"/>
          </w:tcPr>
          <w:p w14:paraId="63B88AC4" w14:textId="77777777" w:rsidR="00002E9C" w:rsidRPr="00A8680D" w:rsidRDefault="00002E9C" w:rsidP="00A8680D">
            <w:pPr>
              <w:pStyle w:val="FormTableText"/>
            </w:pPr>
            <w:r w:rsidRPr="00A8680D">
              <w:t>Prepared By:</w:t>
            </w:r>
          </w:p>
        </w:tc>
        <w:tc>
          <w:tcPr>
            <w:tcW w:w="4230" w:type="dxa"/>
            <w:tcBorders>
              <w:bottom w:val="single" w:sz="6" w:space="0" w:color="auto"/>
            </w:tcBorders>
          </w:tcPr>
          <w:p w14:paraId="39B07A70" w14:textId="77777777" w:rsidR="00002E9C" w:rsidRPr="00A8680D" w:rsidRDefault="00002E9C" w:rsidP="00A8680D">
            <w:pPr>
              <w:pStyle w:val="FormTableText"/>
            </w:pPr>
          </w:p>
        </w:tc>
        <w:tc>
          <w:tcPr>
            <w:tcW w:w="900" w:type="dxa"/>
          </w:tcPr>
          <w:p w14:paraId="4255F07B" w14:textId="77777777" w:rsidR="00002E9C" w:rsidRPr="00A8680D" w:rsidRDefault="00002E9C" w:rsidP="00A8680D">
            <w:pPr>
              <w:pStyle w:val="FormTableText"/>
            </w:pPr>
            <w:r w:rsidRPr="00A8680D">
              <w:t>Date:</w:t>
            </w:r>
          </w:p>
        </w:tc>
        <w:tc>
          <w:tcPr>
            <w:tcW w:w="2448" w:type="dxa"/>
            <w:tcBorders>
              <w:bottom w:val="single" w:sz="6" w:space="0" w:color="auto"/>
            </w:tcBorders>
          </w:tcPr>
          <w:p w14:paraId="75F777B2" w14:textId="77777777" w:rsidR="00002E9C" w:rsidRPr="00A8680D" w:rsidRDefault="00002E9C" w:rsidP="00A8680D">
            <w:pPr>
              <w:pStyle w:val="FormTableText"/>
            </w:pPr>
          </w:p>
        </w:tc>
      </w:tr>
      <w:tr w:rsidR="00002E9C" w:rsidRPr="00A8680D" w14:paraId="41D4F6A7" w14:textId="77777777" w:rsidTr="00D33019">
        <w:tc>
          <w:tcPr>
            <w:tcW w:w="1530" w:type="dxa"/>
          </w:tcPr>
          <w:p w14:paraId="76108F5C" w14:textId="77777777" w:rsidR="00002E9C" w:rsidRPr="00A8680D" w:rsidRDefault="00002E9C" w:rsidP="00A8680D">
            <w:pPr>
              <w:pStyle w:val="FormTableText"/>
            </w:pPr>
            <w:r w:rsidRPr="00A8680D">
              <w:t>Reviewed By:</w:t>
            </w:r>
          </w:p>
        </w:tc>
        <w:tc>
          <w:tcPr>
            <w:tcW w:w="4230" w:type="dxa"/>
            <w:tcBorders>
              <w:bottom w:val="single" w:sz="6" w:space="0" w:color="auto"/>
            </w:tcBorders>
          </w:tcPr>
          <w:p w14:paraId="7458B3DB" w14:textId="77777777" w:rsidR="00002E9C" w:rsidRPr="00A8680D" w:rsidRDefault="00002E9C" w:rsidP="00A8680D">
            <w:pPr>
              <w:pStyle w:val="FormTableText"/>
            </w:pPr>
          </w:p>
        </w:tc>
        <w:tc>
          <w:tcPr>
            <w:tcW w:w="900" w:type="dxa"/>
          </w:tcPr>
          <w:p w14:paraId="09F8C715" w14:textId="77777777" w:rsidR="00002E9C" w:rsidRPr="00A8680D" w:rsidRDefault="00002E9C" w:rsidP="00A8680D">
            <w:pPr>
              <w:pStyle w:val="FormTableText"/>
            </w:pPr>
            <w:r w:rsidRPr="00A8680D">
              <w:t>Date:</w:t>
            </w:r>
          </w:p>
        </w:tc>
        <w:tc>
          <w:tcPr>
            <w:tcW w:w="2448" w:type="dxa"/>
            <w:tcBorders>
              <w:top w:val="single" w:sz="6" w:space="0" w:color="auto"/>
              <w:bottom w:val="single" w:sz="6" w:space="0" w:color="auto"/>
            </w:tcBorders>
          </w:tcPr>
          <w:p w14:paraId="27FA211C" w14:textId="77777777" w:rsidR="00002E9C" w:rsidRPr="00A8680D" w:rsidRDefault="00002E9C" w:rsidP="00A8680D">
            <w:pPr>
              <w:pStyle w:val="FormTableText"/>
            </w:pPr>
          </w:p>
        </w:tc>
      </w:tr>
    </w:tbl>
    <w:p w14:paraId="31E6F2C4" w14:textId="7841343D" w:rsidR="002A76FD" w:rsidRDefault="00262606" w:rsidP="00D33019">
      <w:pPr>
        <w:keepNext/>
        <w:spacing w:before="240" w:after="240" w:line="240" w:lineRule="atLeast"/>
        <w:rPr>
          <w:rFonts w:cs="Calibri Light"/>
          <w:b/>
          <w:sz w:val="32"/>
          <w:szCs w:val="32"/>
          <w:lang w:val="en-US"/>
        </w:rPr>
      </w:pPr>
      <w:r w:rsidRPr="00262606">
        <w:rPr>
          <w:rFonts w:cs="Calibri Light"/>
          <w:b/>
          <w:sz w:val="32"/>
          <w:szCs w:val="32"/>
          <w:lang w:val="en-US"/>
        </w:rPr>
        <w:t>CHECKLIST APPLICATION</w:t>
      </w:r>
    </w:p>
    <w:p w14:paraId="176F79D0" w14:textId="3074BA77" w:rsidR="004A2BA6" w:rsidRPr="005D7365" w:rsidRDefault="004A2BA6" w:rsidP="004A2BA6">
      <w:pPr>
        <w:pStyle w:val="standard"/>
        <w:spacing w:before="0" w:after="240" w:line="240" w:lineRule="atLeast"/>
        <w:rPr>
          <w:rFonts w:cs="Calibri Light"/>
          <w:sz w:val="28"/>
          <w:szCs w:val="32"/>
        </w:rPr>
      </w:pPr>
      <w:r w:rsidRPr="005D7365">
        <w:rPr>
          <w:rFonts w:cs="Calibri Light"/>
          <w:szCs w:val="22"/>
        </w:rPr>
        <w:t>The Checklist for Annual Report on SEC Form 10-K is now available online. Please ask your Deloitte engagement team to send you the online version.</w:t>
      </w:r>
    </w:p>
    <w:p w14:paraId="22074973" w14:textId="7EC7DD95" w:rsidR="00002E9C" w:rsidRPr="00705A23" w:rsidRDefault="00002E9C" w:rsidP="003F6EE1">
      <w:pPr>
        <w:pStyle w:val="FormHeading1"/>
      </w:pPr>
      <w:r w:rsidRPr="00705A23">
        <w:t>INSTRUCTIONS</w:t>
      </w:r>
    </w:p>
    <w:p w14:paraId="034A19DC" w14:textId="74181C43" w:rsidR="003F2404" w:rsidRDefault="004A2BA6" w:rsidP="004A2BA6">
      <w:pPr>
        <w:pStyle w:val="standard"/>
        <w:spacing w:before="0" w:after="240" w:line="240" w:lineRule="atLeast"/>
        <w:rPr>
          <w:rFonts w:cs="Calibri Light"/>
          <w:szCs w:val="22"/>
        </w:rPr>
      </w:pPr>
      <w:r w:rsidRPr="005D7365">
        <w:rPr>
          <w:rFonts w:cs="Calibri Light"/>
          <w:szCs w:val="22"/>
        </w:rPr>
        <w:t>The U.S. Securities &amp; Exchange Commission (SEC) Form 10-K is used for annual reports under</w:t>
      </w:r>
      <w:r w:rsidRPr="005D7365">
        <w:rPr>
          <w:rFonts w:cs="Calibri Light"/>
          <w:i/>
          <w:szCs w:val="22"/>
        </w:rPr>
        <w:t xml:space="preserve"> Section 13 or 15(d) of the Securities Exchange Act of 1934</w:t>
      </w:r>
      <w:r w:rsidRPr="005D7365">
        <w:rPr>
          <w:rFonts w:cs="Calibri Light"/>
          <w:szCs w:val="22"/>
        </w:rPr>
        <w:t xml:space="preserve"> (the “Exchange Act”). This checklist summarizes the disclosure requirements of Form 10-K. </w:t>
      </w:r>
      <w:r w:rsidR="00287F48" w:rsidRPr="005D7365">
        <w:rPr>
          <w:rFonts w:cs="Calibri Light"/>
          <w:szCs w:val="22"/>
        </w:rPr>
        <w:t>It is not to be considered “all inclusive” and is not a substitute for your understanding of the requirements of the form. You are presumed to have a thorough understanding of the rules, regulations, and interpretations of the SEC and its staff and should refer to those rules, regulations, and interpretations, as necessary, in considering particular items in the checklist.</w:t>
      </w:r>
    </w:p>
    <w:p w14:paraId="45D2503D" w14:textId="625E0321" w:rsidR="004A2BA6" w:rsidRPr="005D7365" w:rsidRDefault="004A2BA6" w:rsidP="004A2BA6">
      <w:pPr>
        <w:pStyle w:val="standard"/>
        <w:spacing w:before="0" w:after="240" w:line="240" w:lineRule="atLeast"/>
        <w:rPr>
          <w:rFonts w:cs="Calibri Light"/>
          <w:szCs w:val="22"/>
        </w:rPr>
      </w:pPr>
      <w:r w:rsidRPr="005D7365">
        <w:rPr>
          <w:rFonts w:cs="Calibri Light"/>
          <w:szCs w:val="22"/>
        </w:rPr>
        <w:t xml:space="preserve">Note: This checklist is not designed for use by </w:t>
      </w:r>
      <w:r w:rsidR="00C3324D">
        <w:rPr>
          <w:rFonts w:cs="Calibri Light"/>
          <w:szCs w:val="22"/>
        </w:rPr>
        <w:t xml:space="preserve">“emerging growth companies” or </w:t>
      </w:r>
      <w:r w:rsidRPr="005D7365">
        <w:rPr>
          <w:rFonts w:cs="Calibri Light"/>
          <w:szCs w:val="22"/>
        </w:rPr>
        <w:t>“smaller reporting companies”</w:t>
      </w:r>
      <w:r w:rsidR="00FE053B">
        <w:rPr>
          <w:rFonts w:cs="Calibri Light"/>
          <w:szCs w:val="22"/>
        </w:rPr>
        <w:t xml:space="preserve">. See the </w:t>
      </w:r>
      <w:r w:rsidR="00FE053B">
        <w:rPr>
          <w:rFonts w:cs="Calibri Light"/>
          <w:i/>
          <w:iCs/>
          <w:szCs w:val="22"/>
        </w:rPr>
        <w:t>Smaller Reporting Companies</w:t>
      </w:r>
      <w:r w:rsidR="00FE053B">
        <w:rPr>
          <w:rFonts w:cs="Calibri Light"/>
          <w:szCs w:val="22"/>
        </w:rPr>
        <w:t xml:space="preserve"> and </w:t>
      </w:r>
      <w:r w:rsidR="00FE053B">
        <w:rPr>
          <w:rFonts w:cs="Calibri Light"/>
          <w:i/>
          <w:iCs/>
          <w:szCs w:val="22"/>
        </w:rPr>
        <w:t xml:space="preserve">Emerging Growth Companies </w:t>
      </w:r>
      <w:r w:rsidR="00FE053B">
        <w:rPr>
          <w:rFonts w:cs="Calibri Light"/>
          <w:szCs w:val="22"/>
        </w:rPr>
        <w:t xml:space="preserve">in the ADDITIONAL CONSIDERATIONS section of </w:t>
      </w:r>
      <w:r w:rsidR="002A178A">
        <w:rPr>
          <w:rFonts w:cs="Calibri Light"/>
          <w:szCs w:val="22"/>
        </w:rPr>
        <w:t xml:space="preserve">the </w:t>
      </w:r>
      <w:r w:rsidRPr="005D7365">
        <w:rPr>
          <w:rFonts w:cs="Calibri Light"/>
          <w:i/>
          <w:szCs w:val="22"/>
        </w:rPr>
        <w:t>SEC Compliance Checklist — General</w:t>
      </w:r>
      <w:r w:rsidRPr="005D7365">
        <w:rPr>
          <w:rFonts w:cs="Calibri Light"/>
          <w:szCs w:val="22"/>
        </w:rPr>
        <w:t>.</w:t>
      </w:r>
    </w:p>
    <w:p w14:paraId="305D0798" w14:textId="77777777" w:rsidR="004A2BA6" w:rsidRPr="005D7365" w:rsidRDefault="004A2BA6" w:rsidP="004A2BA6">
      <w:pPr>
        <w:pStyle w:val="standard"/>
        <w:spacing w:before="0" w:after="240" w:line="240" w:lineRule="atLeast"/>
        <w:rPr>
          <w:rFonts w:cs="Calibri Light"/>
          <w:b/>
          <w:szCs w:val="22"/>
        </w:rPr>
      </w:pPr>
      <w:r w:rsidRPr="005D7365">
        <w:rPr>
          <w:rFonts w:cs="Calibri Light"/>
          <w:szCs w:val="22"/>
        </w:rPr>
        <w:t>Some of the items in this checklist make reference to FASB Accounting Standards Codification, certain SEC regulations, and Staff Accounting Bulletins.</w:t>
      </w:r>
    </w:p>
    <w:p w14:paraId="27D2C1BF" w14:textId="3EB57D30" w:rsidR="003A1FAC" w:rsidRPr="00A8680D" w:rsidRDefault="00CA46ED" w:rsidP="00D33019">
      <w:pPr>
        <w:spacing w:after="240" w:line="240" w:lineRule="atLeast"/>
        <w:rPr>
          <w:rFonts w:cstheme="majorHAnsi"/>
          <w:szCs w:val="22"/>
        </w:rPr>
      </w:pPr>
      <w:r w:rsidRPr="00383C32">
        <w:rPr>
          <w:rFonts w:cstheme="majorHAnsi"/>
          <w:szCs w:val="22"/>
        </w:rPr>
        <w:t>I</w:t>
      </w:r>
      <w:r w:rsidR="003A1FAC" w:rsidRPr="00383C32">
        <w:rPr>
          <w:rFonts w:cstheme="majorHAnsi"/>
          <w:szCs w:val="22"/>
        </w:rPr>
        <w:t xml:space="preserve">nterpretive information relating to SEC reporting and disclosure </w:t>
      </w:r>
      <w:r w:rsidR="00522560" w:rsidRPr="00383C32">
        <w:rPr>
          <w:rFonts w:cstheme="majorHAnsi"/>
          <w:szCs w:val="22"/>
        </w:rPr>
        <w:t xml:space="preserve">may </w:t>
      </w:r>
      <w:r w:rsidR="003A1FAC" w:rsidRPr="00383C32">
        <w:rPr>
          <w:rFonts w:cstheme="majorHAnsi"/>
          <w:szCs w:val="22"/>
        </w:rPr>
        <w:t xml:space="preserve">be obtained from the </w:t>
      </w:r>
      <w:r w:rsidR="00522560" w:rsidRPr="00383C32">
        <w:rPr>
          <w:rFonts w:cstheme="majorHAnsi"/>
          <w:szCs w:val="22"/>
        </w:rPr>
        <w:t xml:space="preserve">Securities and Exchange Commission Division of Corporation </w:t>
      </w:r>
      <w:r w:rsidR="006A7E37" w:rsidRPr="00383C32">
        <w:rPr>
          <w:rFonts w:cstheme="majorHAnsi"/>
          <w:szCs w:val="22"/>
        </w:rPr>
        <w:t xml:space="preserve">Finance’s </w:t>
      </w:r>
      <w:r w:rsidRPr="00383C32">
        <w:rPr>
          <w:rFonts w:cstheme="majorHAnsi"/>
          <w:i/>
          <w:szCs w:val="22"/>
        </w:rPr>
        <w:t>Financial Reporting Manual</w:t>
      </w:r>
      <w:r w:rsidR="00AA3B5F" w:rsidRPr="00383C32">
        <w:rPr>
          <w:rFonts w:cstheme="majorHAnsi"/>
          <w:i/>
          <w:szCs w:val="22"/>
        </w:rPr>
        <w:t>.</w:t>
      </w:r>
      <w:r w:rsidR="006A7E37" w:rsidRPr="00383C32">
        <w:rPr>
          <w:rFonts w:cstheme="majorHAnsi"/>
          <w:szCs w:val="22"/>
        </w:rPr>
        <w:t xml:space="preserve"> </w:t>
      </w:r>
      <w:r w:rsidR="00CF6B9B" w:rsidRPr="00383C32">
        <w:rPr>
          <w:rFonts w:cstheme="majorHAnsi"/>
          <w:szCs w:val="22"/>
        </w:rPr>
        <w:t xml:space="preserve">This manual is available on the SEC website </w:t>
      </w:r>
      <w:r w:rsidR="00C26DF9" w:rsidRPr="00383C32">
        <w:rPr>
          <w:rFonts w:cstheme="majorHAnsi"/>
          <w:szCs w:val="22"/>
        </w:rPr>
        <w:t xml:space="preserve">linked </w:t>
      </w:r>
      <w:hyperlink r:id="rId12" w:history="1">
        <w:r w:rsidR="00C26DF9" w:rsidRPr="00383C32">
          <w:rPr>
            <w:rStyle w:val="Hyperlink"/>
            <w:rFonts w:cstheme="majorHAnsi"/>
            <w:szCs w:val="22"/>
          </w:rPr>
          <w:t>here</w:t>
        </w:r>
      </w:hyperlink>
      <w:r w:rsidR="00C26DF9" w:rsidRPr="00383C32">
        <w:rPr>
          <w:rFonts w:cstheme="majorHAnsi"/>
          <w:szCs w:val="22"/>
        </w:rPr>
        <w:t>.</w:t>
      </w:r>
      <w:r w:rsidR="00705A23" w:rsidRPr="00383C32">
        <w:rPr>
          <w:rFonts w:cstheme="majorHAnsi"/>
          <w:szCs w:val="22"/>
        </w:rPr>
        <w:t xml:space="preserve"> </w:t>
      </w:r>
      <w:r w:rsidR="00CF6B9B" w:rsidRPr="00383C32">
        <w:rPr>
          <w:rFonts w:cstheme="majorHAnsi"/>
          <w:szCs w:val="22"/>
        </w:rPr>
        <w:t xml:space="preserve"> </w:t>
      </w:r>
      <w:r w:rsidRPr="00383C32">
        <w:rPr>
          <w:rFonts w:cstheme="majorHAnsi"/>
          <w:szCs w:val="22"/>
        </w:rPr>
        <w:t>Additional SEC interpretive material can be foun</w:t>
      </w:r>
      <w:r w:rsidR="00CF6B9B" w:rsidRPr="00383C32">
        <w:rPr>
          <w:rFonts w:cstheme="majorHAnsi"/>
          <w:szCs w:val="22"/>
        </w:rPr>
        <w:t>d</w:t>
      </w:r>
      <w:r w:rsidRPr="00383C32">
        <w:rPr>
          <w:rFonts w:cstheme="majorHAnsi"/>
          <w:szCs w:val="22"/>
        </w:rPr>
        <w:t xml:space="preserve"> </w:t>
      </w:r>
      <w:r w:rsidR="00B4799E" w:rsidRPr="00383C32">
        <w:rPr>
          <w:rFonts w:cstheme="majorHAnsi"/>
          <w:szCs w:val="22"/>
        </w:rPr>
        <w:t xml:space="preserve">using the various links on the </w:t>
      </w:r>
      <w:r w:rsidR="00B4799E" w:rsidRPr="00383C32">
        <w:rPr>
          <w:rFonts w:cstheme="majorHAnsi"/>
          <w:i/>
          <w:szCs w:val="22"/>
        </w:rPr>
        <w:t xml:space="preserve">Accounting and Financial Reporting Guidance </w:t>
      </w:r>
      <w:r w:rsidR="00B4799E" w:rsidRPr="00383C32">
        <w:rPr>
          <w:rFonts w:cstheme="majorHAnsi"/>
          <w:szCs w:val="22"/>
        </w:rPr>
        <w:t xml:space="preserve">page </w:t>
      </w:r>
      <w:r w:rsidR="00CF6B9B" w:rsidRPr="00383C32">
        <w:rPr>
          <w:rFonts w:cstheme="majorHAnsi"/>
          <w:szCs w:val="22"/>
        </w:rPr>
        <w:t xml:space="preserve">located on the SEC website </w:t>
      </w:r>
      <w:r w:rsidR="00C26DF9" w:rsidRPr="00383C32">
        <w:rPr>
          <w:rFonts w:cstheme="majorHAnsi"/>
          <w:szCs w:val="22"/>
        </w:rPr>
        <w:t xml:space="preserve">linked </w:t>
      </w:r>
      <w:hyperlink r:id="rId13" w:history="1">
        <w:r w:rsidR="00C26DF9" w:rsidRPr="00383C32">
          <w:rPr>
            <w:rStyle w:val="Hyperlink"/>
            <w:rFonts w:cstheme="majorHAnsi"/>
            <w:szCs w:val="22"/>
          </w:rPr>
          <w:t>here</w:t>
        </w:r>
      </w:hyperlink>
      <w:r w:rsidR="00C26DF9" w:rsidRPr="00383C32">
        <w:rPr>
          <w:rFonts w:cstheme="majorHAnsi"/>
          <w:szCs w:val="22"/>
        </w:rPr>
        <w:t>.</w:t>
      </w:r>
    </w:p>
    <w:p w14:paraId="446C1BAC" w14:textId="034D2537" w:rsidR="00D82537" w:rsidRPr="00D82537" w:rsidRDefault="00886A80" w:rsidP="00D33019">
      <w:pPr>
        <w:pStyle w:val="standard"/>
        <w:spacing w:before="0" w:after="240" w:line="240" w:lineRule="atLeast"/>
        <w:rPr>
          <w:rFonts w:cs="Calibri Light"/>
          <w:bCs/>
          <w:szCs w:val="22"/>
        </w:rPr>
      </w:pPr>
      <w:r w:rsidRPr="008D6344">
        <w:rPr>
          <w:rFonts w:cstheme="majorHAnsi"/>
          <w:szCs w:val="22"/>
        </w:rPr>
        <w:t>In addition</w:t>
      </w:r>
      <w:r w:rsidR="00C3025B" w:rsidRPr="008D6344">
        <w:rPr>
          <w:rFonts w:cstheme="majorHAnsi"/>
          <w:szCs w:val="22"/>
        </w:rPr>
        <w:t xml:space="preserve">, the </w:t>
      </w:r>
      <w:r w:rsidR="00B4799E" w:rsidRPr="008D6344">
        <w:rPr>
          <w:rFonts w:cstheme="majorHAnsi"/>
          <w:szCs w:val="22"/>
        </w:rPr>
        <w:t xml:space="preserve">Deloitte </w:t>
      </w:r>
      <w:r w:rsidR="004A2BA6" w:rsidRPr="008D6344">
        <w:rPr>
          <w:rFonts w:cstheme="majorHAnsi"/>
          <w:szCs w:val="22"/>
        </w:rPr>
        <w:t xml:space="preserve">U.S. </w:t>
      </w:r>
      <w:r w:rsidR="00C3025B" w:rsidRPr="008D6344">
        <w:rPr>
          <w:rFonts w:cstheme="majorHAnsi"/>
          <w:szCs w:val="22"/>
        </w:rPr>
        <w:t xml:space="preserve">SEC Reporting Interpretations Manual provides </w:t>
      </w:r>
      <w:r w:rsidR="00B42A41" w:rsidRPr="008D6344">
        <w:rPr>
          <w:rFonts w:cstheme="majorHAnsi"/>
          <w:szCs w:val="22"/>
        </w:rPr>
        <w:t xml:space="preserve">interpretive </w:t>
      </w:r>
      <w:r w:rsidR="00C3025B" w:rsidRPr="008D6344">
        <w:rPr>
          <w:rFonts w:cstheme="majorHAnsi"/>
          <w:szCs w:val="22"/>
        </w:rPr>
        <w:t xml:space="preserve">guidance on </w:t>
      </w:r>
      <w:r w:rsidR="00B42A41" w:rsidRPr="008D6344">
        <w:rPr>
          <w:rFonts w:cstheme="majorHAnsi"/>
          <w:szCs w:val="22"/>
        </w:rPr>
        <w:t xml:space="preserve">form and content of financial disclosures in </w:t>
      </w:r>
      <w:r w:rsidR="005651D0" w:rsidRPr="008D6344">
        <w:rPr>
          <w:rFonts w:cstheme="majorHAnsi"/>
          <w:szCs w:val="22"/>
        </w:rPr>
        <w:t xml:space="preserve">SEC filings. </w:t>
      </w:r>
      <w:r w:rsidR="004A2BA6" w:rsidRPr="00AD4604">
        <w:rPr>
          <w:rFonts w:cs="Calibri Light"/>
          <w:szCs w:val="22"/>
        </w:rPr>
        <w:t xml:space="preserve">This manual is available on </w:t>
      </w:r>
      <w:hyperlink r:id="rId14" w:history="1">
        <w:r w:rsidR="007218F1" w:rsidRPr="00AD4604">
          <w:rPr>
            <w:rStyle w:val="Hyperlink"/>
            <w:rFonts w:cs="Calibri Light"/>
            <w:szCs w:val="22"/>
          </w:rPr>
          <w:t>DART</w:t>
        </w:r>
      </w:hyperlink>
      <w:r w:rsidR="004A2BA6" w:rsidRPr="00AD4604">
        <w:rPr>
          <w:rFonts w:cs="Calibri Light"/>
          <w:szCs w:val="22"/>
        </w:rPr>
        <w:t>.</w:t>
      </w:r>
      <w:r w:rsidR="00D82537">
        <w:rPr>
          <w:rFonts w:cs="Calibri Light"/>
          <w:b/>
          <w:szCs w:val="22"/>
        </w:rPr>
        <w:t xml:space="preserve">  </w:t>
      </w:r>
      <w:r w:rsidR="00D82537" w:rsidRPr="00D82537">
        <w:rPr>
          <w:rFonts w:cs="Calibri Light"/>
          <w:bCs/>
          <w:szCs w:val="22"/>
        </w:rPr>
        <w:t xml:space="preserve">Furthermore, subscription might be needed to access some of the links to DART used in this checklist. </w:t>
      </w:r>
    </w:p>
    <w:p w14:paraId="440A1EC0" w14:textId="18D4CB5C" w:rsidR="004A2BA6" w:rsidRPr="005D7365" w:rsidRDefault="004A2BA6" w:rsidP="004A2BA6">
      <w:pPr>
        <w:pStyle w:val="Heading1"/>
        <w:spacing w:before="240" w:after="240" w:line="240" w:lineRule="atLeast"/>
        <w:rPr>
          <w:rFonts w:cs="Calibri Light"/>
          <w:sz w:val="28"/>
        </w:rPr>
      </w:pPr>
      <w:r w:rsidRPr="005D7365">
        <w:rPr>
          <w:rFonts w:cs="Calibri Light"/>
          <w:sz w:val="28"/>
        </w:rPr>
        <w:t>Use of This Checklist</w:t>
      </w:r>
    </w:p>
    <w:p w14:paraId="534A8271" w14:textId="7222A176" w:rsidR="004A2BA6" w:rsidRPr="005D7365" w:rsidRDefault="004A2BA6" w:rsidP="004A2BA6">
      <w:pPr>
        <w:pStyle w:val="standard"/>
        <w:spacing w:before="0" w:after="240" w:line="240" w:lineRule="atLeast"/>
        <w:rPr>
          <w:rFonts w:cs="Calibri Light"/>
          <w:szCs w:val="22"/>
        </w:rPr>
      </w:pPr>
      <w:r w:rsidRPr="005D7365">
        <w:rPr>
          <w:rFonts w:cs="Calibri Light"/>
          <w:szCs w:val="22"/>
        </w:rPr>
        <w:t>This checklist is provided solely for your intended use and should not be provided to any other person or entity.</w:t>
      </w:r>
    </w:p>
    <w:p w14:paraId="67FC8DB5" w14:textId="77777777" w:rsidR="004A2BA6" w:rsidRPr="005D7365" w:rsidRDefault="004A2BA6" w:rsidP="004A2BA6">
      <w:pPr>
        <w:pStyle w:val="Block"/>
        <w:spacing w:before="0" w:after="240" w:line="240" w:lineRule="atLeast"/>
        <w:rPr>
          <w:rFonts w:cs="Calibri Light"/>
          <w:szCs w:val="22"/>
        </w:rPr>
      </w:pPr>
      <w:r w:rsidRPr="005D7365">
        <w:rPr>
          <w:rFonts w:cs="Calibri Light"/>
          <w:szCs w:val="22"/>
        </w:rPr>
        <w:t xml:space="preserve">Deloitte &amp; Touche LLP is not, by means of this checklist, rendering accounting or other professional advice </w:t>
      </w:r>
      <w:r w:rsidRPr="005D7365">
        <w:rPr>
          <w:rFonts w:cs="Calibri Light"/>
          <w:szCs w:val="22"/>
        </w:rPr>
        <w:lastRenderedPageBreak/>
        <w:t>or services. This checklist is not a substitute for professional advice or services, nor should it be used as the basis for any decision or action that may affect your business.</w:t>
      </w:r>
    </w:p>
    <w:p w14:paraId="2EA32689" w14:textId="624D7D6F" w:rsidR="004A2BA6" w:rsidRPr="0043383D" w:rsidRDefault="004A2BA6" w:rsidP="0043383D">
      <w:pPr>
        <w:pStyle w:val="Block"/>
        <w:spacing w:before="0" w:after="240" w:line="240" w:lineRule="atLeast"/>
        <w:rPr>
          <w:rFonts w:cs="Calibri Light"/>
          <w:color w:val="auto"/>
        </w:rPr>
      </w:pPr>
      <w:r w:rsidRPr="1104146A">
        <w:rPr>
          <w:rFonts w:cs="Calibri Light"/>
        </w:rPr>
        <w:t>Deloitte &amp; Touche LLP shall not be responsible for any loss sustained by any person who relies on this checklist</w:t>
      </w:r>
      <w:r w:rsidRPr="1104146A">
        <w:rPr>
          <w:rFonts w:cs="Calibri Light"/>
          <w:color w:val="auto"/>
        </w:rPr>
        <w:t xml:space="preserve">. </w:t>
      </w:r>
    </w:p>
    <w:p w14:paraId="0B465270" w14:textId="01E7CD40" w:rsidR="3A4CFD6C" w:rsidRDefault="3A4CFD6C">
      <w:r w:rsidRPr="1104146A">
        <w:rPr>
          <w:rFonts w:eastAsia="Calibri Light" w:cs="Calibri Light"/>
          <w:sz w:val="32"/>
          <w:szCs w:val="32"/>
        </w:rPr>
        <w:t>Disclosure Effectiveness Considerations</w:t>
      </w:r>
    </w:p>
    <w:p w14:paraId="4F6F87EA" w14:textId="0EBDF6C6" w:rsidR="00CD3082" w:rsidRPr="00090A4A" w:rsidRDefault="3A4CFD6C" w:rsidP="00705A23">
      <w:pPr>
        <w:keepNext/>
        <w:keepLines/>
        <w:spacing w:before="240" w:after="240"/>
        <w:rPr>
          <w:rFonts w:cstheme="majorHAnsi"/>
          <w:b/>
          <w:szCs w:val="22"/>
        </w:rPr>
      </w:pPr>
      <w:r w:rsidRPr="1104146A">
        <w:rPr>
          <w:rFonts w:eastAsia="Calibri Light" w:cs="Calibri Light"/>
          <w:color w:val="000000" w:themeColor="text1"/>
          <w:szCs w:val="22"/>
        </w:rPr>
        <w:t>When preparing disclosures, registrants should critically assess the nature and extent of their disclosures and provide disclosure on those matters that are significant and most relevant to the entity. The SEC staff has stated that effective disclosures are those that are clear and concise and focus on matters that are both material and specific to the registrant.  Appropriate emphasis is also critical.  Effective disclosures should emphasize those matters that are most relevant and material to the entity and deemphasize — or exclude entirely — matters that are not. Consequently, registrants are encouraged to continually reevaluate their disclosures and modify them when the nature or relevance of information has changed.</w:t>
      </w:r>
    </w:p>
    <w:tbl>
      <w:tblPr>
        <w:tblW w:w="5000" w:type="pct"/>
        <w:tblLayout w:type="fixed"/>
        <w:tblLook w:val="0000" w:firstRow="0" w:lastRow="0" w:firstColumn="0" w:lastColumn="0" w:noHBand="0" w:noVBand="0"/>
      </w:tblPr>
      <w:tblGrid>
        <w:gridCol w:w="9360"/>
      </w:tblGrid>
      <w:tr w:rsidR="00002E9C" w:rsidRPr="00090A4A" w14:paraId="06D3B467" w14:textId="77777777" w:rsidTr="00C629B0">
        <w:trPr>
          <w:cantSplit/>
        </w:trPr>
        <w:tc>
          <w:tcPr>
            <w:tcW w:w="9360" w:type="dxa"/>
          </w:tcPr>
          <w:p w14:paraId="3803DA1F" w14:textId="77777777" w:rsidR="00002E9C" w:rsidRPr="00090A4A" w:rsidRDefault="006E6B59" w:rsidP="00705A23">
            <w:pPr>
              <w:pStyle w:val="standard"/>
              <w:widowControl w:val="0"/>
              <w:spacing w:before="120" w:after="120" w:line="240" w:lineRule="atLeast"/>
              <w:rPr>
                <w:rFonts w:cstheme="majorHAnsi"/>
                <w:szCs w:val="22"/>
              </w:rPr>
            </w:pPr>
            <w:r w:rsidRPr="00090A4A">
              <w:rPr>
                <w:rFonts w:cstheme="majorHAnsi"/>
                <w:sz w:val="18"/>
                <w:szCs w:val="18"/>
              </w:rPr>
              <w:br w:type="page"/>
            </w:r>
            <w:r w:rsidR="00002E9C" w:rsidRPr="00090A4A">
              <w:rPr>
                <w:rFonts w:cstheme="majorHAnsi"/>
                <w:b/>
                <w:szCs w:val="22"/>
              </w:rPr>
              <w:t>INDEX</w:t>
            </w:r>
          </w:p>
        </w:tc>
      </w:tr>
      <w:tr w:rsidR="00002E9C" w:rsidRPr="00090A4A" w14:paraId="234E762A" w14:textId="77777777" w:rsidTr="00C629B0">
        <w:trPr>
          <w:cantSplit/>
        </w:trPr>
        <w:tc>
          <w:tcPr>
            <w:tcW w:w="9360" w:type="dxa"/>
          </w:tcPr>
          <w:p w14:paraId="1C37CA09" w14:textId="77777777" w:rsidR="00002E9C" w:rsidRPr="00090A4A" w:rsidRDefault="00C172B8" w:rsidP="00705A23">
            <w:pPr>
              <w:pStyle w:val="standard"/>
              <w:widowControl w:val="0"/>
              <w:spacing w:before="120" w:after="120" w:line="240" w:lineRule="atLeast"/>
              <w:rPr>
                <w:rFonts w:cstheme="majorHAnsi"/>
                <w:sz w:val="18"/>
                <w:szCs w:val="18"/>
              </w:rPr>
            </w:pPr>
            <w:hyperlink w:anchor="Gen_Instructions" w:history="1">
              <w:r w:rsidR="00002E9C" w:rsidRPr="00090A4A">
                <w:rPr>
                  <w:rStyle w:val="Hyperlink"/>
                  <w:rFonts w:cstheme="majorHAnsi"/>
                  <w:szCs w:val="18"/>
                </w:rPr>
                <w:t>General Instructions (Filing Requirements)</w:t>
              </w:r>
            </w:hyperlink>
          </w:p>
        </w:tc>
      </w:tr>
      <w:tr w:rsidR="00002E9C" w:rsidRPr="00090A4A" w14:paraId="76E87703" w14:textId="77777777" w:rsidTr="00C629B0">
        <w:trPr>
          <w:cantSplit/>
        </w:trPr>
        <w:tc>
          <w:tcPr>
            <w:tcW w:w="9360" w:type="dxa"/>
          </w:tcPr>
          <w:p w14:paraId="1417FA42" w14:textId="77777777" w:rsidR="00002E9C" w:rsidRPr="00090A4A" w:rsidRDefault="00C172B8" w:rsidP="00705A23">
            <w:pPr>
              <w:pStyle w:val="standard"/>
              <w:widowControl w:val="0"/>
              <w:spacing w:before="120" w:after="120" w:line="240" w:lineRule="atLeast"/>
              <w:rPr>
                <w:rFonts w:cstheme="majorHAnsi"/>
                <w:sz w:val="18"/>
                <w:szCs w:val="18"/>
              </w:rPr>
            </w:pPr>
            <w:hyperlink w:anchor="Part_1" w:history="1">
              <w:r w:rsidR="00002E9C" w:rsidRPr="00090A4A">
                <w:rPr>
                  <w:rStyle w:val="Hyperlink"/>
                  <w:rFonts w:cstheme="majorHAnsi"/>
                  <w:szCs w:val="18"/>
                </w:rPr>
                <w:t>Part I of Form 10-K</w:t>
              </w:r>
            </w:hyperlink>
          </w:p>
        </w:tc>
      </w:tr>
      <w:tr w:rsidR="00002E9C" w:rsidRPr="00090A4A" w14:paraId="317EDB3D" w14:textId="77777777" w:rsidTr="00C629B0">
        <w:trPr>
          <w:cantSplit/>
        </w:trPr>
        <w:tc>
          <w:tcPr>
            <w:tcW w:w="9360" w:type="dxa"/>
          </w:tcPr>
          <w:p w14:paraId="4F2AA167" w14:textId="77777777" w:rsidR="00002E9C" w:rsidRPr="00090A4A" w:rsidRDefault="00C172B8" w:rsidP="00705A23">
            <w:pPr>
              <w:pStyle w:val="standard"/>
              <w:widowControl w:val="0"/>
              <w:spacing w:before="120" w:after="120" w:line="240" w:lineRule="atLeast"/>
              <w:rPr>
                <w:rFonts w:cstheme="majorHAnsi"/>
                <w:sz w:val="18"/>
                <w:szCs w:val="18"/>
              </w:rPr>
            </w:pPr>
            <w:hyperlink w:anchor="Part_2" w:history="1">
              <w:r w:rsidR="00002E9C" w:rsidRPr="00090A4A">
                <w:rPr>
                  <w:rStyle w:val="Hyperlink"/>
                  <w:rFonts w:cstheme="majorHAnsi"/>
                  <w:szCs w:val="18"/>
                </w:rPr>
                <w:t>Part II of Form 10-K</w:t>
              </w:r>
            </w:hyperlink>
          </w:p>
        </w:tc>
      </w:tr>
      <w:tr w:rsidR="00002E9C" w:rsidRPr="00090A4A" w14:paraId="1CFEC215" w14:textId="77777777" w:rsidTr="00C629B0">
        <w:trPr>
          <w:cantSplit/>
        </w:trPr>
        <w:tc>
          <w:tcPr>
            <w:tcW w:w="9360" w:type="dxa"/>
          </w:tcPr>
          <w:p w14:paraId="6AAD7F6F" w14:textId="77777777" w:rsidR="00002E9C" w:rsidRPr="00090A4A" w:rsidRDefault="00C172B8" w:rsidP="00705A23">
            <w:pPr>
              <w:pStyle w:val="standard"/>
              <w:widowControl w:val="0"/>
              <w:spacing w:before="120" w:after="120" w:line="240" w:lineRule="atLeast"/>
              <w:rPr>
                <w:rFonts w:cstheme="majorHAnsi"/>
                <w:sz w:val="18"/>
                <w:szCs w:val="18"/>
              </w:rPr>
            </w:pPr>
            <w:hyperlink w:anchor="Part_3" w:history="1">
              <w:r w:rsidR="00002E9C" w:rsidRPr="00090A4A">
                <w:rPr>
                  <w:rStyle w:val="Hyperlink"/>
                  <w:rFonts w:cstheme="majorHAnsi"/>
                  <w:szCs w:val="18"/>
                </w:rPr>
                <w:t>Part III of Form 10-K</w:t>
              </w:r>
            </w:hyperlink>
          </w:p>
        </w:tc>
      </w:tr>
      <w:tr w:rsidR="00002E9C" w:rsidRPr="00090A4A" w14:paraId="63C447E6" w14:textId="77777777" w:rsidTr="00C629B0">
        <w:trPr>
          <w:cantSplit/>
        </w:trPr>
        <w:tc>
          <w:tcPr>
            <w:tcW w:w="9360" w:type="dxa"/>
          </w:tcPr>
          <w:p w14:paraId="746863A9" w14:textId="77777777" w:rsidR="00002E9C" w:rsidRPr="00090A4A" w:rsidRDefault="00C172B8" w:rsidP="00705A23">
            <w:pPr>
              <w:pStyle w:val="standard"/>
              <w:widowControl w:val="0"/>
              <w:spacing w:before="120" w:after="120" w:line="240" w:lineRule="atLeast"/>
              <w:rPr>
                <w:rFonts w:cstheme="majorHAnsi"/>
                <w:b/>
                <w:sz w:val="18"/>
                <w:szCs w:val="18"/>
              </w:rPr>
            </w:pPr>
            <w:hyperlink w:anchor="Part_4" w:history="1">
              <w:r w:rsidR="00002E9C" w:rsidRPr="00090A4A">
                <w:rPr>
                  <w:rStyle w:val="Hyperlink"/>
                  <w:rFonts w:cstheme="majorHAnsi"/>
                  <w:szCs w:val="18"/>
                </w:rPr>
                <w:t>Part IV of Form 10-K</w:t>
              </w:r>
            </w:hyperlink>
          </w:p>
        </w:tc>
      </w:tr>
      <w:bookmarkStart w:id="0" w:name="Other_Requirements"/>
      <w:tr w:rsidR="00002E9C" w:rsidRPr="00090A4A" w14:paraId="39490FCF" w14:textId="77777777" w:rsidTr="00C629B0">
        <w:trPr>
          <w:cantSplit/>
        </w:trPr>
        <w:tc>
          <w:tcPr>
            <w:tcW w:w="9360" w:type="dxa"/>
          </w:tcPr>
          <w:p w14:paraId="7C0725FB" w14:textId="77777777" w:rsidR="00002E9C" w:rsidRPr="00090A4A" w:rsidRDefault="00D04406" w:rsidP="00705A23">
            <w:pPr>
              <w:pStyle w:val="standard"/>
              <w:widowControl w:val="0"/>
              <w:spacing w:before="120" w:after="120" w:line="240" w:lineRule="atLeast"/>
              <w:rPr>
                <w:rFonts w:cstheme="majorHAnsi"/>
                <w:sz w:val="18"/>
                <w:szCs w:val="18"/>
              </w:rPr>
            </w:pPr>
            <w:r w:rsidRPr="00090A4A">
              <w:rPr>
                <w:rFonts w:cstheme="majorHAnsi"/>
                <w:sz w:val="18"/>
                <w:szCs w:val="18"/>
              </w:rPr>
              <w:fldChar w:fldCharType="begin"/>
            </w:r>
            <w:r w:rsidR="00F44765" w:rsidRPr="00090A4A">
              <w:rPr>
                <w:rFonts w:cstheme="majorHAnsi"/>
                <w:sz w:val="18"/>
                <w:szCs w:val="18"/>
              </w:rPr>
              <w:instrText xml:space="preserve"> HYPERLINK  \l "_OTHER_REQUIREMENTS" </w:instrText>
            </w:r>
            <w:r w:rsidRPr="00090A4A">
              <w:rPr>
                <w:rFonts w:cstheme="majorHAnsi"/>
                <w:sz w:val="18"/>
                <w:szCs w:val="18"/>
              </w:rPr>
              <w:fldChar w:fldCharType="separate"/>
            </w:r>
            <w:r w:rsidR="00002E9C" w:rsidRPr="00090A4A">
              <w:rPr>
                <w:rStyle w:val="Hyperlink"/>
                <w:rFonts w:cstheme="majorHAnsi"/>
                <w:szCs w:val="18"/>
              </w:rPr>
              <w:t>Other Requirements</w:t>
            </w:r>
            <w:bookmarkEnd w:id="0"/>
            <w:r w:rsidRPr="00090A4A">
              <w:rPr>
                <w:rFonts w:cstheme="majorHAnsi"/>
                <w:sz w:val="18"/>
                <w:szCs w:val="18"/>
              </w:rPr>
              <w:fldChar w:fldCharType="end"/>
            </w:r>
          </w:p>
        </w:tc>
      </w:tr>
    </w:tbl>
    <w:p w14:paraId="22A7A32B" w14:textId="3A1AF3E9" w:rsidR="00002E9C" w:rsidRDefault="00E53904" w:rsidP="00C629B0">
      <w:pPr>
        <w:pStyle w:val="standard"/>
        <w:spacing w:before="240" w:after="240" w:line="240" w:lineRule="atLeast"/>
        <w:rPr>
          <w:rFonts w:cstheme="majorHAnsi"/>
          <w:b/>
          <w:color w:val="C00000"/>
          <w:szCs w:val="22"/>
        </w:rPr>
      </w:pPr>
      <w:r w:rsidRPr="00C629B0">
        <w:rPr>
          <w:rFonts w:cstheme="majorHAnsi"/>
          <w:b/>
          <w:color w:val="C00000"/>
          <w:szCs w:val="22"/>
        </w:rPr>
        <w:t xml:space="preserve">Note: Refer to </w:t>
      </w:r>
      <w:r w:rsidRPr="00C629B0">
        <w:rPr>
          <w:rFonts w:cstheme="majorHAnsi"/>
          <w:b/>
          <w:i/>
          <w:color w:val="C00000"/>
          <w:szCs w:val="22"/>
        </w:rPr>
        <w:t>SEC Compliance Checklist</w:t>
      </w:r>
      <w:r w:rsidR="00D34A32" w:rsidRPr="00C629B0">
        <w:rPr>
          <w:rFonts w:cstheme="majorHAnsi"/>
          <w:b/>
          <w:i/>
          <w:color w:val="C00000"/>
          <w:szCs w:val="22"/>
        </w:rPr>
        <w:t xml:space="preserve"> </w:t>
      </w:r>
      <w:r w:rsidRPr="00C629B0">
        <w:rPr>
          <w:rFonts w:cstheme="majorHAnsi"/>
          <w:b/>
          <w:i/>
          <w:color w:val="C00000"/>
          <w:szCs w:val="22"/>
        </w:rPr>
        <w:t>—</w:t>
      </w:r>
      <w:r w:rsidR="00D34A32" w:rsidRPr="00C629B0">
        <w:rPr>
          <w:rFonts w:cstheme="majorHAnsi"/>
          <w:b/>
          <w:i/>
          <w:color w:val="C00000"/>
          <w:szCs w:val="22"/>
        </w:rPr>
        <w:t xml:space="preserve"> </w:t>
      </w:r>
      <w:r w:rsidRPr="00C629B0">
        <w:rPr>
          <w:rFonts w:cstheme="majorHAnsi"/>
          <w:b/>
          <w:i/>
          <w:color w:val="C00000"/>
          <w:szCs w:val="22"/>
        </w:rPr>
        <w:t>General</w:t>
      </w:r>
      <w:r w:rsidRPr="00C629B0">
        <w:rPr>
          <w:rFonts w:cstheme="majorHAnsi"/>
          <w:b/>
          <w:color w:val="C00000"/>
          <w:szCs w:val="22"/>
        </w:rPr>
        <w:t>,</w:t>
      </w:r>
      <w:r w:rsidRPr="00C629B0">
        <w:rPr>
          <w:rFonts w:cstheme="majorHAnsi"/>
          <w:b/>
          <w:i/>
          <w:color w:val="C00000"/>
          <w:szCs w:val="22"/>
        </w:rPr>
        <w:t xml:space="preserve"> </w:t>
      </w:r>
      <w:r w:rsidRPr="00C629B0">
        <w:rPr>
          <w:rFonts w:cstheme="majorHAnsi"/>
          <w:b/>
          <w:color w:val="C00000"/>
          <w:szCs w:val="22"/>
        </w:rPr>
        <w:t>for detailed guidance</w:t>
      </w:r>
      <w:r w:rsidR="00A54B44" w:rsidRPr="00C629B0">
        <w:rPr>
          <w:rFonts w:cstheme="majorHAnsi"/>
          <w:b/>
          <w:color w:val="C00000"/>
          <w:szCs w:val="22"/>
        </w:rPr>
        <w:t xml:space="preserve"> on </w:t>
      </w:r>
      <w:r w:rsidRPr="00C629B0">
        <w:rPr>
          <w:rFonts w:cstheme="majorHAnsi"/>
          <w:b/>
          <w:color w:val="C00000"/>
          <w:szCs w:val="22"/>
        </w:rPr>
        <w:t xml:space="preserve">sections </w:t>
      </w:r>
      <w:r w:rsidR="00A54B44" w:rsidRPr="00C629B0">
        <w:rPr>
          <w:rFonts w:cstheme="majorHAnsi"/>
          <w:b/>
          <w:color w:val="C00000"/>
          <w:szCs w:val="22"/>
        </w:rPr>
        <w:t xml:space="preserve">below </w:t>
      </w:r>
      <w:r w:rsidRPr="00C629B0">
        <w:rPr>
          <w:rFonts w:cstheme="majorHAnsi"/>
          <w:b/>
          <w:color w:val="C00000"/>
          <w:szCs w:val="22"/>
        </w:rPr>
        <w:t>referencing Regulation S-X or S-K.</w:t>
      </w:r>
    </w:p>
    <w:p w14:paraId="3858A07D" w14:textId="3B11B4A6" w:rsidR="006551C1" w:rsidRDefault="006551C1">
      <w:pPr>
        <w:rPr>
          <w:rFonts w:cstheme="majorHAnsi"/>
          <w:b/>
          <w:color w:val="C00000"/>
          <w:szCs w:val="22"/>
        </w:rPr>
      </w:pPr>
      <w:r>
        <w:rPr>
          <w:rFonts w:cstheme="majorHAnsi"/>
          <w:b/>
          <w:color w:val="C00000"/>
          <w:szCs w:val="22"/>
        </w:rPr>
        <w:br w:type="page"/>
      </w:r>
    </w:p>
    <w:tbl>
      <w:tblPr>
        <w:tblW w:w="5000" w:type="pct"/>
        <w:tblLayout w:type="fixed"/>
        <w:tblLook w:val="0000" w:firstRow="0" w:lastRow="0" w:firstColumn="0" w:lastColumn="0" w:noHBand="0" w:noVBand="0"/>
      </w:tblPr>
      <w:tblGrid>
        <w:gridCol w:w="6279"/>
        <w:gridCol w:w="292"/>
        <w:gridCol w:w="1152"/>
        <w:gridCol w:w="334"/>
        <w:gridCol w:w="1303"/>
      </w:tblGrid>
      <w:tr w:rsidR="00853832" w:rsidRPr="00C629B0" w14:paraId="54E01BA5" w14:textId="77777777" w:rsidTr="005D7549">
        <w:trPr>
          <w:cantSplit/>
          <w:tblHeader/>
        </w:trPr>
        <w:tc>
          <w:tcPr>
            <w:tcW w:w="6279" w:type="dxa"/>
            <w:vAlign w:val="bottom"/>
          </w:tcPr>
          <w:p w14:paraId="142B7EF1" w14:textId="77777777" w:rsidR="00853832" w:rsidRPr="00C629B0" w:rsidRDefault="00853832" w:rsidP="00C629B0">
            <w:pPr>
              <w:pStyle w:val="standard"/>
              <w:spacing w:before="120" w:after="120" w:line="240" w:lineRule="atLeast"/>
              <w:rPr>
                <w:rFonts w:cstheme="majorHAnsi"/>
                <w:sz w:val="20"/>
                <w:szCs w:val="20"/>
              </w:rPr>
            </w:pPr>
          </w:p>
        </w:tc>
        <w:tc>
          <w:tcPr>
            <w:tcW w:w="292" w:type="dxa"/>
            <w:vAlign w:val="bottom"/>
          </w:tcPr>
          <w:p w14:paraId="63B1A09E" w14:textId="77777777" w:rsidR="00853832" w:rsidRPr="00C629B0" w:rsidRDefault="00853832" w:rsidP="00C629B0">
            <w:pPr>
              <w:spacing w:before="120" w:after="120" w:line="240" w:lineRule="atLeast"/>
              <w:rPr>
                <w:rFonts w:cstheme="majorHAnsi"/>
                <w:sz w:val="20"/>
                <w:szCs w:val="20"/>
              </w:rPr>
            </w:pPr>
          </w:p>
        </w:tc>
        <w:tc>
          <w:tcPr>
            <w:tcW w:w="1152" w:type="dxa"/>
            <w:tcBorders>
              <w:bottom w:val="single" w:sz="4" w:space="0" w:color="auto"/>
            </w:tcBorders>
            <w:vAlign w:val="bottom"/>
          </w:tcPr>
          <w:p w14:paraId="306BA8AA" w14:textId="7506739B" w:rsidR="00853832" w:rsidRPr="008458AB" w:rsidRDefault="00853832" w:rsidP="00DA4635">
            <w:pPr>
              <w:spacing w:before="120" w:after="120" w:line="240" w:lineRule="atLeast"/>
              <w:jc w:val="center"/>
              <w:rPr>
                <w:rFonts w:cstheme="majorHAnsi"/>
                <w:b/>
                <w:sz w:val="20"/>
                <w:szCs w:val="20"/>
              </w:rPr>
            </w:pPr>
            <w:r w:rsidRPr="008458AB">
              <w:rPr>
                <w:rFonts w:cstheme="majorHAnsi"/>
                <w:b/>
                <w:sz w:val="20"/>
                <w:szCs w:val="20"/>
              </w:rPr>
              <w:t xml:space="preserve">Complied </w:t>
            </w:r>
            <w:r w:rsidRPr="008458AB">
              <w:rPr>
                <w:rFonts w:cstheme="majorHAnsi"/>
                <w:b/>
                <w:sz w:val="20"/>
                <w:szCs w:val="20"/>
              </w:rPr>
              <w:br/>
            </w:r>
            <w:r w:rsidR="001B6ABF">
              <w:rPr>
                <w:rFonts w:cstheme="majorHAnsi"/>
                <w:b/>
                <w:sz w:val="20"/>
                <w:szCs w:val="20"/>
              </w:rPr>
              <w:t>W</w:t>
            </w:r>
            <w:r w:rsidR="001B6ABF" w:rsidRPr="008458AB">
              <w:rPr>
                <w:rFonts w:cstheme="majorHAnsi"/>
                <w:b/>
                <w:sz w:val="20"/>
                <w:szCs w:val="20"/>
              </w:rPr>
              <w:t>ith</w:t>
            </w:r>
          </w:p>
        </w:tc>
        <w:tc>
          <w:tcPr>
            <w:tcW w:w="334" w:type="dxa"/>
            <w:vAlign w:val="center"/>
          </w:tcPr>
          <w:p w14:paraId="2D323E60" w14:textId="77777777" w:rsidR="00853832" w:rsidRPr="008458AB" w:rsidRDefault="00853832" w:rsidP="00DA4635">
            <w:pPr>
              <w:spacing w:before="120" w:after="120" w:line="240" w:lineRule="atLeast"/>
              <w:jc w:val="center"/>
              <w:rPr>
                <w:rFonts w:cstheme="majorHAnsi"/>
                <w:bCs/>
                <w:sz w:val="20"/>
                <w:szCs w:val="20"/>
              </w:rPr>
            </w:pPr>
          </w:p>
        </w:tc>
        <w:tc>
          <w:tcPr>
            <w:tcW w:w="1303" w:type="dxa"/>
            <w:tcBorders>
              <w:bottom w:val="single" w:sz="4" w:space="0" w:color="auto"/>
            </w:tcBorders>
            <w:vAlign w:val="center"/>
          </w:tcPr>
          <w:p w14:paraId="7B8FC0B0" w14:textId="77777777" w:rsidR="00853832" w:rsidRPr="008458AB" w:rsidRDefault="00853832" w:rsidP="00DA4635">
            <w:pPr>
              <w:spacing w:before="120" w:after="120" w:line="240" w:lineRule="atLeast"/>
              <w:jc w:val="center"/>
              <w:rPr>
                <w:rFonts w:cstheme="majorHAnsi"/>
                <w:b/>
                <w:sz w:val="20"/>
                <w:szCs w:val="20"/>
              </w:rPr>
            </w:pPr>
            <w:r w:rsidRPr="008458AB">
              <w:rPr>
                <w:rFonts w:cstheme="majorHAnsi"/>
                <w:b/>
                <w:sz w:val="20"/>
                <w:szCs w:val="20"/>
              </w:rPr>
              <w:t>Comments</w:t>
            </w:r>
          </w:p>
        </w:tc>
      </w:tr>
      <w:tr w:rsidR="00853832" w:rsidRPr="00C629B0" w14:paraId="6210A566" w14:textId="77777777" w:rsidTr="005D7549">
        <w:tc>
          <w:tcPr>
            <w:tcW w:w="6279" w:type="dxa"/>
            <w:shd w:val="clear" w:color="auto" w:fill="C7C8CA" w:themeFill="accent6" w:themeFillTint="66"/>
          </w:tcPr>
          <w:p w14:paraId="34915E96" w14:textId="6D713DE3" w:rsidR="00853832" w:rsidRPr="00BC787F" w:rsidRDefault="00C629B0" w:rsidP="00C629B0">
            <w:pPr>
              <w:pStyle w:val="Heading1"/>
              <w:keepNext w:val="0"/>
              <w:keepLines w:val="0"/>
              <w:spacing w:before="120" w:after="120" w:line="240" w:lineRule="atLeast"/>
              <w:rPr>
                <w:rFonts w:cstheme="majorHAnsi"/>
                <w:b/>
                <w:bCs w:val="0"/>
                <w:sz w:val="20"/>
                <w:szCs w:val="20"/>
              </w:rPr>
            </w:pPr>
            <w:bookmarkStart w:id="1" w:name="Gen_Instructions"/>
            <w:bookmarkStart w:id="2" w:name="_general_instructions_(filing_requir"/>
            <w:bookmarkEnd w:id="1"/>
            <w:bookmarkEnd w:id="2"/>
            <w:r w:rsidRPr="00BC787F">
              <w:rPr>
                <w:rFonts w:cstheme="majorHAnsi"/>
                <w:b/>
                <w:bCs w:val="0"/>
                <w:sz w:val="20"/>
                <w:szCs w:val="20"/>
              </w:rPr>
              <w:t xml:space="preserve">GENERAL INSTRUCTIONS </w:t>
            </w:r>
            <w:r w:rsidR="00853832" w:rsidRPr="00BC787F">
              <w:rPr>
                <w:rFonts w:cstheme="majorHAnsi"/>
                <w:b/>
                <w:bCs w:val="0"/>
                <w:sz w:val="20"/>
                <w:szCs w:val="20"/>
              </w:rPr>
              <w:t>(filing requirements)</w:t>
            </w:r>
          </w:p>
        </w:tc>
        <w:tc>
          <w:tcPr>
            <w:tcW w:w="292" w:type="dxa"/>
            <w:shd w:val="clear" w:color="auto" w:fill="C7C8CA" w:themeFill="accent6" w:themeFillTint="66"/>
          </w:tcPr>
          <w:p w14:paraId="47E66B92" w14:textId="77777777" w:rsidR="00853832" w:rsidRPr="00BC787F" w:rsidRDefault="00853832" w:rsidP="00C629B0">
            <w:pPr>
              <w:pStyle w:val="levela"/>
              <w:spacing w:before="120" w:after="120" w:line="240" w:lineRule="atLeast"/>
              <w:rPr>
                <w:rFonts w:cstheme="majorHAnsi"/>
                <w:b/>
                <w:sz w:val="20"/>
                <w:szCs w:val="20"/>
              </w:rPr>
            </w:pPr>
          </w:p>
        </w:tc>
        <w:tc>
          <w:tcPr>
            <w:tcW w:w="1152" w:type="dxa"/>
            <w:tcBorders>
              <w:top w:val="single" w:sz="4" w:space="0" w:color="auto"/>
            </w:tcBorders>
            <w:shd w:val="clear" w:color="auto" w:fill="C7C8CA" w:themeFill="accent6" w:themeFillTint="66"/>
          </w:tcPr>
          <w:p w14:paraId="6DB99A07" w14:textId="77777777" w:rsidR="00853832" w:rsidRPr="00BC787F" w:rsidRDefault="00853832" w:rsidP="00C629B0">
            <w:pPr>
              <w:pStyle w:val="levela"/>
              <w:spacing w:before="120" w:after="120" w:line="240" w:lineRule="atLeast"/>
              <w:rPr>
                <w:rFonts w:cstheme="majorHAnsi"/>
                <w:b/>
                <w:sz w:val="20"/>
                <w:szCs w:val="20"/>
              </w:rPr>
            </w:pPr>
          </w:p>
        </w:tc>
        <w:tc>
          <w:tcPr>
            <w:tcW w:w="334" w:type="dxa"/>
            <w:shd w:val="clear" w:color="auto" w:fill="C7C8CA" w:themeFill="accent6" w:themeFillTint="66"/>
          </w:tcPr>
          <w:p w14:paraId="0456DE28" w14:textId="77777777" w:rsidR="00853832" w:rsidRPr="00BC787F" w:rsidRDefault="00853832" w:rsidP="00C629B0">
            <w:pPr>
              <w:pStyle w:val="levela"/>
              <w:spacing w:before="120" w:after="120" w:line="240" w:lineRule="atLeast"/>
              <w:rPr>
                <w:rFonts w:cstheme="majorHAnsi"/>
                <w:b/>
                <w:sz w:val="20"/>
                <w:szCs w:val="20"/>
              </w:rPr>
            </w:pPr>
          </w:p>
        </w:tc>
        <w:tc>
          <w:tcPr>
            <w:tcW w:w="1303" w:type="dxa"/>
            <w:tcBorders>
              <w:top w:val="single" w:sz="4" w:space="0" w:color="auto"/>
            </w:tcBorders>
            <w:shd w:val="clear" w:color="auto" w:fill="C7C8CA" w:themeFill="accent6" w:themeFillTint="66"/>
          </w:tcPr>
          <w:p w14:paraId="13954F51" w14:textId="77777777" w:rsidR="00853832" w:rsidRPr="00BC787F" w:rsidRDefault="00853832" w:rsidP="00C629B0">
            <w:pPr>
              <w:pStyle w:val="levela"/>
              <w:spacing w:before="120" w:after="120" w:line="240" w:lineRule="atLeast"/>
              <w:rPr>
                <w:rFonts w:cstheme="majorHAnsi"/>
                <w:b/>
                <w:sz w:val="20"/>
                <w:szCs w:val="20"/>
              </w:rPr>
            </w:pPr>
          </w:p>
        </w:tc>
      </w:tr>
      <w:tr w:rsidR="00853832" w:rsidRPr="00C629B0" w14:paraId="7D16B8D5" w14:textId="77777777" w:rsidTr="005D7549">
        <w:tc>
          <w:tcPr>
            <w:tcW w:w="6279" w:type="dxa"/>
          </w:tcPr>
          <w:p w14:paraId="33A62521" w14:textId="66687BFC" w:rsidR="00853832" w:rsidRPr="00C629B0" w:rsidRDefault="00853832" w:rsidP="00C629B0">
            <w:pPr>
              <w:pStyle w:val="levela"/>
              <w:tabs>
                <w:tab w:val="clear" w:pos="576"/>
              </w:tabs>
              <w:spacing w:before="120" w:after="120" w:line="240" w:lineRule="atLeast"/>
              <w:ind w:left="250" w:hanging="250"/>
              <w:rPr>
                <w:rFonts w:cstheme="majorHAnsi"/>
                <w:sz w:val="20"/>
                <w:szCs w:val="20"/>
              </w:rPr>
            </w:pPr>
            <w:r w:rsidRPr="00C629B0">
              <w:rPr>
                <w:rFonts w:cstheme="majorHAnsi"/>
                <w:sz w:val="20"/>
                <w:szCs w:val="20"/>
              </w:rPr>
              <w:t>1.</w:t>
            </w:r>
            <w:r w:rsidRPr="00C629B0">
              <w:rPr>
                <w:rFonts w:cstheme="majorHAnsi"/>
                <w:sz w:val="20"/>
                <w:szCs w:val="20"/>
              </w:rPr>
              <w:tab/>
            </w:r>
            <w:r w:rsidR="00886A80" w:rsidRPr="00C629B0">
              <w:rPr>
                <w:rFonts w:cstheme="majorHAnsi"/>
                <w:b/>
                <w:sz w:val="20"/>
                <w:szCs w:val="20"/>
              </w:rPr>
              <w:t xml:space="preserve">Due Date. </w:t>
            </w:r>
            <w:r w:rsidRPr="00C629B0">
              <w:rPr>
                <w:rFonts w:cstheme="majorHAnsi"/>
                <w:sz w:val="20"/>
                <w:szCs w:val="20"/>
              </w:rPr>
              <w:t xml:space="preserve">Reports on Form 10-K must be filed within the following timeline: </w:t>
            </w:r>
          </w:p>
          <w:p w14:paraId="07EB2C1F" w14:textId="0FBE697A" w:rsidR="00853832" w:rsidRPr="00C629B0" w:rsidRDefault="00853832" w:rsidP="00C629B0">
            <w:pPr>
              <w:pStyle w:val="levelb"/>
              <w:tabs>
                <w:tab w:val="clear" w:pos="576"/>
                <w:tab w:val="clear" w:pos="1152"/>
              </w:tabs>
              <w:spacing w:before="120" w:after="120" w:line="240" w:lineRule="atLeast"/>
              <w:ind w:left="610" w:hanging="324"/>
              <w:rPr>
                <w:rFonts w:cstheme="majorHAnsi"/>
                <w:sz w:val="20"/>
                <w:szCs w:val="20"/>
              </w:rPr>
            </w:pPr>
            <w:r w:rsidRPr="00C629B0">
              <w:rPr>
                <w:rFonts w:cstheme="majorHAnsi"/>
                <w:sz w:val="20"/>
                <w:szCs w:val="20"/>
              </w:rPr>
              <w:t>a.</w:t>
            </w:r>
            <w:r w:rsidRPr="00C629B0">
              <w:rPr>
                <w:rFonts w:cstheme="majorHAnsi"/>
                <w:sz w:val="20"/>
                <w:szCs w:val="20"/>
              </w:rPr>
              <w:tab/>
              <w:t xml:space="preserve">For large </w:t>
            </w:r>
            <w:r w:rsidRPr="00AD5D43">
              <w:rPr>
                <w:rFonts w:cstheme="majorHAnsi"/>
                <w:i/>
                <w:sz w:val="20"/>
                <w:szCs w:val="20"/>
              </w:rPr>
              <w:t xml:space="preserve">accelerated filers (as defined in </w:t>
            </w:r>
            <w:r w:rsidR="00AA4B51" w:rsidRPr="00AD5D43">
              <w:rPr>
                <w:rFonts w:cstheme="majorHAnsi"/>
                <w:i/>
                <w:sz w:val="20"/>
                <w:szCs w:val="20"/>
              </w:rPr>
              <w:t>Rule</w:t>
            </w:r>
            <w:r w:rsidR="00AA1CDE" w:rsidRPr="00AD5D43">
              <w:rPr>
                <w:rFonts w:cstheme="majorHAnsi"/>
                <w:i/>
                <w:sz w:val="20"/>
                <w:szCs w:val="20"/>
              </w:rPr>
              <w:t xml:space="preserve"> 12b-2</w:t>
            </w:r>
            <w:r w:rsidR="00AA1CDE" w:rsidRPr="009D4D6F">
              <w:t xml:space="preserve"> </w:t>
            </w:r>
            <w:r w:rsidR="00AA1CDE" w:rsidRPr="009D4D6F">
              <w:rPr>
                <w:rFonts w:cstheme="majorHAnsi"/>
                <w:i/>
                <w:sz w:val="20"/>
                <w:szCs w:val="20"/>
              </w:rPr>
              <w:t>of the Exchange Act</w:t>
            </w:r>
            <w:r w:rsidR="00AA4B51" w:rsidRPr="00AD5D43">
              <w:rPr>
                <w:rFonts w:cstheme="majorHAnsi"/>
                <w:i/>
                <w:sz w:val="20"/>
                <w:szCs w:val="20"/>
              </w:rPr>
              <w:t xml:space="preserve">  — see </w:t>
            </w:r>
            <w:r w:rsidRPr="00C629B0">
              <w:rPr>
                <w:rFonts w:cstheme="majorHAnsi"/>
                <w:i/>
                <w:sz w:val="20"/>
                <w:szCs w:val="20"/>
              </w:rPr>
              <w:t>SEC Compliance Checklist — General)</w:t>
            </w:r>
            <w:r w:rsidRPr="00C629B0">
              <w:rPr>
                <w:rFonts w:cstheme="majorHAnsi"/>
                <w:sz w:val="20"/>
                <w:szCs w:val="20"/>
              </w:rPr>
              <w:t xml:space="preserve">, sixty (60) days after the end of the fiscal year covered by the report. </w:t>
            </w:r>
          </w:p>
          <w:p w14:paraId="64085F86" w14:textId="77777777" w:rsidR="00853832" w:rsidRPr="00C629B0" w:rsidRDefault="00853832" w:rsidP="00C629B0">
            <w:pPr>
              <w:pStyle w:val="levelb"/>
              <w:tabs>
                <w:tab w:val="clear" w:pos="576"/>
                <w:tab w:val="clear" w:pos="1152"/>
              </w:tabs>
              <w:spacing w:before="120" w:after="120" w:line="240" w:lineRule="atLeast"/>
              <w:ind w:left="610" w:hanging="324"/>
              <w:rPr>
                <w:rFonts w:cstheme="majorHAnsi"/>
                <w:sz w:val="20"/>
                <w:szCs w:val="20"/>
              </w:rPr>
            </w:pPr>
            <w:r w:rsidRPr="00C629B0">
              <w:rPr>
                <w:rFonts w:cstheme="majorHAnsi"/>
                <w:sz w:val="20"/>
                <w:szCs w:val="20"/>
              </w:rPr>
              <w:t>b.</w:t>
            </w:r>
            <w:r w:rsidRPr="00C629B0">
              <w:rPr>
                <w:rFonts w:cstheme="majorHAnsi"/>
                <w:sz w:val="20"/>
                <w:szCs w:val="20"/>
              </w:rPr>
              <w:tab/>
              <w:t>For accelerated filers, seventy-five (75) days after the end of the fiscal year covered by the report</w:t>
            </w:r>
          </w:p>
          <w:p w14:paraId="304595B6" w14:textId="77777777" w:rsidR="00853832" w:rsidRPr="00C629B0" w:rsidRDefault="00853832" w:rsidP="00C629B0">
            <w:pPr>
              <w:pStyle w:val="levelb"/>
              <w:tabs>
                <w:tab w:val="clear" w:pos="576"/>
                <w:tab w:val="clear" w:pos="1152"/>
              </w:tabs>
              <w:spacing w:before="120" w:after="120" w:line="240" w:lineRule="atLeast"/>
              <w:ind w:left="610" w:hanging="324"/>
              <w:rPr>
                <w:rFonts w:cstheme="majorHAnsi"/>
                <w:sz w:val="20"/>
                <w:szCs w:val="20"/>
              </w:rPr>
            </w:pPr>
            <w:r w:rsidRPr="00C629B0">
              <w:rPr>
                <w:rFonts w:cstheme="majorHAnsi"/>
                <w:sz w:val="20"/>
                <w:szCs w:val="20"/>
              </w:rPr>
              <w:t>c.</w:t>
            </w:r>
            <w:r w:rsidRPr="00C629B0">
              <w:rPr>
                <w:rFonts w:cstheme="majorHAnsi"/>
                <w:sz w:val="20"/>
                <w:szCs w:val="20"/>
              </w:rPr>
              <w:tab/>
              <w:t>For all other registrants, ninety (90) days after the end of the fiscal year covered by the report.</w:t>
            </w:r>
          </w:p>
          <w:p w14:paraId="788D2E85" w14:textId="77777777" w:rsidR="00853832" w:rsidRPr="00C629B0" w:rsidRDefault="00853832" w:rsidP="00C629B0">
            <w:pPr>
              <w:pStyle w:val="levela"/>
              <w:tabs>
                <w:tab w:val="clear" w:pos="576"/>
              </w:tabs>
              <w:spacing w:before="120" w:after="120" w:line="240" w:lineRule="atLeast"/>
              <w:ind w:left="250" w:hanging="250"/>
              <w:rPr>
                <w:rFonts w:cstheme="majorHAnsi"/>
                <w:sz w:val="20"/>
                <w:szCs w:val="20"/>
              </w:rPr>
            </w:pPr>
            <w:r w:rsidRPr="00C629B0">
              <w:rPr>
                <w:rFonts w:cstheme="majorHAnsi"/>
                <w:sz w:val="20"/>
                <w:szCs w:val="20"/>
              </w:rPr>
              <w:tab/>
              <w:t>The schedules to the financial statements called for by Article 12 of Regulation S-X may, at the registrant’s option, be filed as an amendment to the report on Form 10-K/A no later than 30 days after the applicable due date of the report.</w:t>
            </w:r>
          </w:p>
        </w:tc>
        <w:tc>
          <w:tcPr>
            <w:tcW w:w="292" w:type="dxa"/>
          </w:tcPr>
          <w:p w14:paraId="5B3EA87D"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6" w:space="0" w:color="auto"/>
            </w:tcBorders>
          </w:tcPr>
          <w:p w14:paraId="0DD2AD23"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6648D681"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6" w:space="0" w:color="auto"/>
            </w:tcBorders>
          </w:tcPr>
          <w:p w14:paraId="1359F4F3"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5A28699B" w14:textId="77777777" w:rsidTr="005D7549">
        <w:tc>
          <w:tcPr>
            <w:tcW w:w="6279" w:type="dxa"/>
          </w:tcPr>
          <w:p w14:paraId="6BBDCA2C" w14:textId="7EF4530C"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If all or any portion of Form 10-K cannot be filed timely without unreasonable effort or expense, an automatic extension of up to 15 calendar days from the pre</w:t>
            </w:r>
            <w:r w:rsidR="00886A80" w:rsidRPr="00C629B0">
              <w:rPr>
                <w:rFonts w:cstheme="majorHAnsi"/>
                <w:sz w:val="20"/>
                <w:szCs w:val="20"/>
              </w:rPr>
              <w:t xml:space="preserve">scribed due date is available. </w:t>
            </w:r>
            <w:r w:rsidRPr="00C629B0">
              <w:rPr>
                <w:rFonts w:cstheme="majorHAnsi"/>
                <w:sz w:val="20"/>
                <w:szCs w:val="20"/>
              </w:rPr>
              <w:t>Notification on Form 12b-25 is to be filed with the SEC, giving reasons for the delay, and should be filed no later than one business day aft</w:t>
            </w:r>
            <w:r w:rsidR="00886A80" w:rsidRPr="00C629B0">
              <w:rPr>
                <w:rFonts w:cstheme="majorHAnsi"/>
                <w:sz w:val="20"/>
                <w:szCs w:val="20"/>
              </w:rPr>
              <w:t xml:space="preserve">er the due date of the report. </w:t>
            </w:r>
            <w:r w:rsidRPr="00C629B0">
              <w:rPr>
                <w:rFonts w:cstheme="majorHAnsi"/>
                <w:sz w:val="20"/>
                <w:szCs w:val="20"/>
              </w:rPr>
              <w:t>Should one of the causes of the delay be the inability of the auditor to furnish the required audit report, a statement provided by the auditor to that effect is to be attached</w:t>
            </w:r>
            <w:r w:rsidR="005651D0" w:rsidRPr="00C629B0">
              <w:rPr>
                <w:rFonts w:cstheme="majorHAnsi"/>
                <w:sz w:val="20"/>
                <w:szCs w:val="20"/>
              </w:rPr>
              <w:t xml:space="preserve"> as an exhibit to Form 12b-25. </w:t>
            </w:r>
            <w:r w:rsidRPr="00C629B0">
              <w:rPr>
                <w:rFonts w:cstheme="majorHAnsi"/>
                <w:sz w:val="20"/>
                <w:szCs w:val="20"/>
              </w:rPr>
              <w:t>[See Form 12b-25]</w:t>
            </w:r>
          </w:p>
        </w:tc>
        <w:tc>
          <w:tcPr>
            <w:tcW w:w="292" w:type="dxa"/>
          </w:tcPr>
          <w:p w14:paraId="449A6430" w14:textId="77777777" w:rsidR="008D361E" w:rsidRPr="00C629B0" w:rsidRDefault="008D361E" w:rsidP="00C629B0">
            <w:pPr>
              <w:pStyle w:val="levela"/>
              <w:spacing w:before="120" w:after="120" w:line="240" w:lineRule="atLeast"/>
              <w:rPr>
                <w:rFonts w:cstheme="majorHAnsi"/>
                <w:sz w:val="20"/>
                <w:szCs w:val="20"/>
              </w:rPr>
            </w:pPr>
          </w:p>
        </w:tc>
        <w:tc>
          <w:tcPr>
            <w:tcW w:w="1152" w:type="dxa"/>
            <w:tcBorders>
              <w:top w:val="single" w:sz="6" w:space="0" w:color="auto"/>
              <w:bottom w:val="single" w:sz="4" w:space="0" w:color="auto"/>
            </w:tcBorders>
          </w:tcPr>
          <w:p w14:paraId="7202513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5DF190C7"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bottom w:val="single" w:sz="4" w:space="0" w:color="auto"/>
            </w:tcBorders>
          </w:tcPr>
          <w:p w14:paraId="174C0354"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5EE0F28D" w14:textId="77777777" w:rsidTr="005D7549">
        <w:tc>
          <w:tcPr>
            <w:tcW w:w="6279" w:type="dxa"/>
          </w:tcPr>
          <w:p w14:paraId="5B685312" w14:textId="77777777"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See the text of the Securities Exchange Act of 1934 (the “Exchange Act”), Rule 13a-10 or Rule 15d-10 for filing requirements if Form 10-K is used as a transition report when a registrant changes its fiscal year-end.</w:t>
            </w:r>
          </w:p>
        </w:tc>
        <w:tc>
          <w:tcPr>
            <w:tcW w:w="292" w:type="dxa"/>
          </w:tcPr>
          <w:p w14:paraId="4C47CBBB"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tcBorders>
          </w:tcPr>
          <w:p w14:paraId="795F97E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63526F7F"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tcBorders>
          </w:tcPr>
          <w:p w14:paraId="6C8C568B"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F9D6FAE" w14:textId="77777777" w:rsidTr="005D7549">
        <w:tc>
          <w:tcPr>
            <w:tcW w:w="6279" w:type="dxa"/>
          </w:tcPr>
          <w:p w14:paraId="76C60654" w14:textId="795B8757"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2.</w:t>
            </w:r>
            <w:r w:rsidRPr="00C629B0">
              <w:rPr>
                <w:rFonts w:cstheme="majorHAnsi"/>
                <w:sz w:val="20"/>
                <w:szCs w:val="20"/>
              </w:rPr>
              <w:tab/>
            </w:r>
            <w:r w:rsidRPr="00C629B0">
              <w:rPr>
                <w:rFonts w:cstheme="majorHAnsi"/>
                <w:b/>
                <w:sz w:val="20"/>
                <w:szCs w:val="20"/>
              </w:rPr>
              <w:t>General Requirements.</w:t>
            </w:r>
            <w:r w:rsidR="005651D0" w:rsidRPr="00C629B0">
              <w:rPr>
                <w:rFonts w:cstheme="majorHAnsi"/>
                <w:sz w:val="20"/>
                <w:szCs w:val="20"/>
              </w:rPr>
              <w:t xml:space="preserve"> </w:t>
            </w:r>
            <w:r w:rsidRPr="00C629B0">
              <w:rPr>
                <w:rFonts w:cstheme="majorHAnsi"/>
                <w:sz w:val="20"/>
                <w:szCs w:val="20"/>
              </w:rPr>
              <w:t>Regulation 12B contains general requirements for registration and reporting under the Exchange Act.</w:t>
            </w:r>
            <w:r w:rsidRPr="00C629B0">
              <w:rPr>
                <w:rFonts w:cstheme="majorHAnsi"/>
                <w:sz w:val="20"/>
                <w:szCs w:val="20"/>
              </w:rPr>
              <w:br/>
              <w:t>It deals with matters such as kind and size of paper to be used, the legibility of the report, the information to be given whenever the title of securities is required to be stated,</w:t>
            </w:r>
            <w:r w:rsidR="005651D0" w:rsidRPr="00C629B0">
              <w:rPr>
                <w:rFonts w:cstheme="majorHAnsi"/>
                <w:sz w:val="20"/>
                <w:szCs w:val="20"/>
              </w:rPr>
              <w:t xml:space="preserve"> and the filing of the report. </w:t>
            </w:r>
            <w:r w:rsidRPr="00C629B0">
              <w:rPr>
                <w:rFonts w:cstheme="majorHAnsi"/>
                <w:sz w:val="20"/>
                <w:szCs w:val="20"/>
              </w:rPr>
              <w:t>Note also that Rule 12b-2 is a list of definitions of terms used in the SEC’s rules and forms.</w:t>
            </w:r>
          </w:p>
        </w:tc>
        <w:tc>
          <w:tcPr>
            <w:tcW w:w="292" w:type="dxa"/>
          </w:tcPr>
          <w:p w14:paraId="25EDAF11"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6" w:space="0" w:color="auto"/>
            </w:tcBorders>
          </w:tcPr>
          <w:p w14:paraId="2A61DE0B"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7900EB0"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6" w:space="0" w:color="auto"/>
            </w:tcBorders>
          </w:tcPr>
          <w:p w14:paraId="3C901C60"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02F71027" w14:textId="77777777" w:rsidTr="005D7549">
        <w:tc>
          <w:tcPr>
            <w:tcW w:w="6279" w:type="dxa"/>
          </w:tcPr>
          <w:p w14:paraId="55D25A20" w14:textId="51D3ED1A" w:rsidR="00853832" w:rsidRPr="00C629B0" w:rsidRDefault="00853832" w:rsidP="00C629B0">
            <w:pPr>
              <w:pStyle w:val="levela"/>
              <w:tabs>
                <w:tab w:val="clear" w:pos="576"/>
              </w:tabs>
              <w:spacing w:before="120" w:after="120" w:line="240" w:lineRule="atLeast"/>
              <w:ind w:left="250" w:hanging="250"/>
              <w:rPr>
                <w:rFonts w:cstheme="majorHAnsi"/>
                <w:sz w:val="20"/>
                <w:szCs w:val="20"/>
              </w:rPr>
            </w:pPr>
            <w:r w:rsidRPr="00C629B0">
              <w:rPr>
                <w:rFonts w:cstheme="majorHAnsi"/>
                <w:b/>
                <w:sz w:val="20"/>
                <w:szCs w:val="20"/>
              </w:rPr>
              <w:tab/>
            </w:r>
            <w:r w:rsidRPr="00C629B0">
              <w:rPr>
                <w:rFonts w:cstheme="majorHAnsi"/>
                <w:sz w:val="20"/>
                <w:szCs w:val="20"/>
              </w:rPr>
              <w:t>Regulation 12B should be read in conjunction with Regulation S-T, which governs the preparation and submission of d</w:t>
            </w:r>
            <w:r w:rsidR="00886A80" w:rsidRPr="00C629B0">
              <w:rPr>
                <w:rFonts w:cstheme="majorHAnsi"/>
                <w:sz w:val="20"/>
                <w:szCs w:val="20"/>
              </w:rPr>
              <w:t>ocuments in electronic format.</w:t>
            </w:r>
          </w:p>
        </w:tc>
        <w:tc>
          <w:tcPr>
            <w:tcW w:w="292" w:type="dxa"/>
          </w:tcPr>
          <w:p w14:paraId="01D85778" w14:textId="77777777" w:rsidR="00853832" w:rsidRPr="00C629B0" w:rsidRDefault="00853832" w:rsidP="00C629B0">
            <w:pPr>
              <w:pStyle w:val="levela"/>
              <w:spacing w:before="120" w:after="120" w:line="240" w:lineRule="atLeast"/>
              <w:rPr>
                <w:rFonts w:cstheme="majorHAnsi"/>
                <w:sz w:val="20"/>
                <w:szCs w:val="20"/>
              </w:rPr>
            </w:pPr>
          </w:p>
        </w:tc>
        <w:tc>
          <w:tcPr>
            <w:tcW w:w="1152" w:type="dxa"/>
          </w:tcPr>
          <w:p w14:paraId="63A041E7"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160D1450"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Pr>
          <w:p w14:paraId="0ED0FFEE"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15DB8C0" w14:textId="77777777" w:rsidTr="005D7549">
        <w:tc>
          <w:tcPr>
            <w:tcW w:w="6279" w:type="dxa"/>
          </w:tcPr>
          <w:p w14:paraId="5B334E9B" w14:textId="77777777"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Particular attention should be accorded Rule 12b-20, which states,</w:t>
            </w:r>
            <w:r w:rsidRPr="00C629B0">
              <w:rPr>
                <w:rFonts w:cstheme="majorHAnsi"/>
                <w:sz w:val="20"/>
                <w:szCs w:val="20"/>
              </w:rPr>
              <w:br/>
              <w:t xml:space="preserve">“In addition to the information expressly required to be included in a statement or report, there shall be added such further material information, if any, as may be necessary to make the required </w:t>
            </w:r>
            <w:r w:rsidRPr="00C629B0">
              <w:rPr>
                <w:rFonts w:cstheme="majorHAnsi"/>
                <w:sz w:val="20"/>
                <w:szCs w:val="20"/>
              </w:rPr>
              <w:lastRenderedPageBreak/>
              <w:t>statements, in the light of the circumstances under which they are made, not misleading.”</w:t>
            </w:r>
          </w:p>
        </w:tc>
        <w:tc>
          <w:tcPr>
            <w:tcW w:w="292" w:type="dxa"/>
          </w:tcPr>
          <w:p w14:paraId="5A5B711E"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tcBorders>
          </w:tcPr>
          <w:p w14:paraId="010F7075"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4859E2D7"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tcBorders>
          </w:tcPr>
          <w:p w14:paraId="3B601DA3"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65782A44" w14:textId="77777777" w:rsidTr="005D7549">
        <w:tc>
          <w:tcPr>
            <w:tcW w:w="6279" w:type="dxa"/>
          </w:tcPr>
          <w:p w14:paraId="338582FB" w14:textId="77777777" w:rsidR="00853832" w:rsidRPr="00C629B0" w:rsidRDefault="00853832" w:rsidP="00C629B0">
            <w:pPr>
              <w:pStyle w:val="levela"/>
              <w:tabs>
                <w:tab w:val="clear" w:pos="576"/>
              </w:tabs>
              <w:spacing w:before="120" w:after="120" w:line="240" w:lineRule="atLeast"/>
              <w:ind w:left="250" w:firstLine="0"/>
              <w:rPr>
                <w:rFonts w:cstheme="majorHAnsi"/>
                <w:sz w:val="20"/>
                <w:szCs w:val="20"/>
              </w:rPr>
            </w:pPr>
            <w:r w:rsidRPr="00C629B0">
              <w:rPr>
                <w:rFonts w:cstheme="majorHAnsi"/>
                <w:sz w:val="20"/>
                <w:szCs w:val="20"/>
              </w:rPr>
              <w:t>Except where information is required to be given for the fiscal year or as of a specified date, it should be given as of the latest practicable date.</w:t>
            </w:r>
          </w:p>
          <w:p w14:paraId="23FE99F2" w14:textId="367CF774" w:rsidR="00853832" w:rsidRPr="00383C32" w:rsidRDefault="00853832" w:rsidP="00C629B0">
            <w:pPr>
              <w:pStyle w:val="levela"/>
              <w:tabs>
                <w:tab w:val="clear" w:pos="576"/>
              </w:tabs>
              <w:spacing w:before="120" w:after="120" w:line="240" w:lineRule="atLeast"/>
              <w:ind w:left="250" w:firstLine="0"/>
              <w:rPr>
                <w:rFonts w:cstheme="majorHAnsi"/>
                <w:sz w:val="20"/>
                <w:szCs w:val="20"/>
              </w:rPr>
            </w:pPr>
            <w:r w:rsidRPr="00383C32">
              <w:rPr>
                <w:rFonts w:cstheme="majorHAnsi"/>
                <w:sz w:val="20"/>
                <w:szCs w:val="20"/>
              </w:rPr>
              <w:t>Registrants must also disclose in the annual report whether periodic and current reports are available, free of charge, on the registrant’s website.</w:t>
            </w:r>
            <w:r w:rsidR="002A08DB" w:rsidRPr="00383C32">
              <w:rPr>
                <w:rFonts w:cstheme="majorHAnsi"/>
                <w:sz w:val="20"/>
                <w:szCs w:val="20"/>
              </w:rPr>
              <w:t xml:space="preserve"> This requirement does not apply to nonaccelerated filers.</w:t>
            </w:r>
          </w:p>
        </w:tc>
        <w:tc>
          <w:tcPr>
            <w:tcW w:w="292" w:type="dxa"/>
          </w:tcPr>
          <w:p w14:paraId="7964ACAE"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6" w:space="0" w:color="auto"/>
            </w:tcBorders>
          </w:tcPr>
          <w:p w14:paraId="26419243"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3C94E257"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6" w:space="0" w:color="auto"/>
            </w:tcBorders>
          </w:tcPr>
          <w:p w14:paraId="36BC00D1"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07538B4D" w14:textId="77777777" w:rsidTr="005D7549">
        <w:tc>
          <w:tcPr>
            <w:tcW w:w="6279" w:type="dxa"/>
          </w:tcPr>
          <w:p w14:paraId="4DFA5276" w14:textId="6021EC1F"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3.</w:t>
            </w:r>
            <w:r w:rsidR="005651D0" w:rsidRPr="00C629B0">
              <w:rPr>
                <w:rFonts w:cstheme="majorHAnsi"/>
                <w:b/>
                <w:sz w:val="20"/>
                <w:szCs w:val="20"/>
              </w:rPr>
              <w:tab/>
              <w:t xml:space="preserve">Incorporation by Reference. </w:t>
            </w:r>
            <w:r w:rsidRPr="00C629B0">
              <w:rPr>
                <w:rFonts w:cstheme="majorHAnsi"/>
                <w:sz w:val="20"/>
                <w:szCs w:val="20"/>
              </w:rPr>
              <w:t>[See Form 10-K, General In</w:t>
            </w:r>
            <w:r w:rsidR="005651D0" w:rsidRPr="00C629B0">
              <w:rPr>
                <w:rFonts w:cstheme="majorHAnsi"/>
                <w:sz w:val="20"/>
                <w:szCs w:val="20"/>
              </w:rPr>
              <w:t xml:space="preserve">struction G]. </w:t>
            </w:r>
            <w:r w:rsidRPr="00C629B0">
              <w:rPr>
                <w:rFonts w:cstheme="majorHAnsi"/>
                <w:sz w:val="20"/>
                <w:szCs w:val="20"/>
              </w:rPr>
              <w:t>When the registrant includes all of the information required in Parts I and II (Items 1 through 9A) by incorporation by reference from the annual report to shareholders, and all of the information in Part III (Items 10 through 14) by incorporation by reference from a definitive proxy statement (or information statement) involving the election of directors, then Form 10-K will consist of:</w:t>
            </w:r>
          </w:p>
        </w:tc>
        <w:tc>
          <w:tcPr>
            <w:tcW w:w="292" w:type="dxa"/>
          </w:tcPr>
          <w:p w14:paraId="173A57F4" w14:textId="77777777" w:rsidR="00853832" w:rsidRPr="00C629B0" w:rsidRDefault="00853832" w:rsidP="00C629B0">
            <w:pPr>
              <w:pStyle w:val="levela"/>
              <w:spacing w:before="120" w:after="120" w:line="240" w:lineRule="atLeast"/>
              <w:rPr>
                <w:rFonts w:cstheme="majorHAnsi"/>
                <w:sz w:val="20"/>
                <w:szCs w:val="20"/>
              </w:rPr>
            </w:pPr>
          </w:p>
        </w:tc>
        <w:tc>
          <w:tcPr>
            <w:tcW w:w="1152" w:type="dxa"/>
          </w:tcPr>
          <w:p w14:paraId="344CF26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6FB125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Pr>
          <w:p w14:paraId="68FB2F54"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6935C80" w14:textId="77777777" w:rsidTr="005D7549">
        <w:tc>
          <w:tcPr>
            <w:tcW w:w="6279" w:type="dxa"/>
          </w:tcPr>
          <w:p w14:paraId="2B13BE06" w14:textId="21AF57E0"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a.</w:t>
            </w:r>
            <w:r w:rsidRPr="00C629B0">
              <w:rPr>
                <w:rFonts w:cstheme="majorHAnsi"/>
                <w:sz w:val="20"/>
                <w:szCs w:val="20"/>
              </w:rPr>
              <w:tab/>
              <w:t>The facing or cover page</w:t>
            </w:r>
            <w:r w:rsidR="00762FA4" w:rsidRPr="00C629B0">
              <w:rPr>
                <w:rFonts w:cstheme="majorHAnsi"/>
                <w:sz w:val="20"/>
                <w:szCs w:val="20"/>
              </w:rPr>
              <w:t>.</w:t>
            </w:r>
            <w:r w:rsidR="008C38E7" w:rsidRPr="00C629B0">
              <w:rPr>
                <w:rFonts w:cstheme="majorHAnsi"/>
                <w:sz w:val="20"/>
                <w:szCs w:val="20"/>
              </w:rPr>
              <w:t xml:space="preserve"> A checkbox to the cover pages of Forms 10-K has been added that requires that all issuers must use to indicate whether the filing includes auditor attestation of ICFR</w:t>
            </w:r>
            <w:r w:rsidR="00BA1498">
              <w:rPr>
                <w:rFonts w:cstheme="majorHAnsi"/>
                <w:sz w:val="20"/>
                <w:szCs w:val="20"/>
              </w:rPr>
              <w:t>.</w:t>
            </w:r>
          </w:p>
        </w:tc>
        <w:tc>
          <w:tcPr>
            <w:tcW w:w="292" w:type="dxa"/>
          </w:tcPr>
          <w:p w14:paraId="2F6DB6BC"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4" w:space="0" w:color="auto"/>
            </w:tcBorders>
          </w:tcPr>
          <w:p w14:paraId="1F0819E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14D5561B"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4" w:space="0" w:color="auto"/>
            </w:tcBorders>
          </w:tcPr>
          <w:p w14:paraId="57551855"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9EF035F" w14:textId="77777777" w:rsidTr="005D7549">
        <w:tc>
          <w:tcPr>
            <w:tcW w:w="6279" w:type="dxa"/>
          </w:tcPr>
          <w:p w14:paraId="0E50A2B9" w14:textId="651BCE53"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b.</w:t>
            </w:r>
            <w:r w:rsidRPr="00C629B0">
              <w:rPr>
                <w:rFonts w:cstheme="majorHAnsi"/>
                <w:sz w:val="20"/>
                <w:szCs w:val="20"/>
              </w:rPr>
              <w:tab/>
              <w:t>Those sections incorporated from the annual report to shareholders, and the proxy (or information statement)</w:t>
            </w:r>
            <w:r w:rsidR="00762FA4" w:rsidRPr="00C629B0">
              <w:rPr>
                <w:rFonts w:cstheme="majorHAnsi"/>
                <w:sz w:val="20"/>
                <w:szCs w:val="20"/>
              </w:rPr>
              <w:t>.</w:t>
            </w:r>
          </w:p>
        </w:tc>
        <w:tc>
          <w:tcPr>
            <w:tcW w:w="292" w:type="dxa"/>
          </w:tcPr>
          <w:p w14:paraId="467F4F60"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6" w:space="0" w:color="auto"/>
            </w:tcBorders>
          </w:tcPr>
          <w:p w14:paraId="1D14EA3F"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466B3A98"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6" w:space="0" w:color="auto"/>
            </w:tcBorders>
          </w:tcPr>
          <w:p w14:paraId="1AB3AC8B"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85D6910" w14:textId="77777777" w:rsidTr="005D7549">
        <w:tc>
          <w:tcPr>
            <w:tcW w:w="6279" w:type="dxa"/>
          </w:tcPr>
          <w:p w14:paraId="61613A29" w14:textId="76C725FC"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c.</w:t>
            </w:r>
            <w:r w:rsidRPr="00C629B0">
              <w:rPr>
                <w:rFonts w:cstheme="majorHAnsi"/>
                <w:sz w:val="20"/>
                <w:szCs w:val="20"/>
              </w:rPr>
              <w:tab/>
              <w:t>The information, if any, required by Part IV, and signatures</w:t>
            </w:r>
            <w:r w:rsidR="00762FA4" w:rsidRPr="00C629B0">
              <w:rPr>
                <w:rFonts w:cstheme="majorHAnsi"/>
                <w:sz w:val="20"/>
                <w:szCs w:val="20"/>
              </w:rPr>
              <w:t>.</w:t>
            </w:r>
          </w:p>
        </w:tc>
        <w:tc>
          <w:tcPr>
            <w:tcW w:w="292" w:type="dxa"/>
          </w:tcPr>
          <w:p w14:paraId="6A013166"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6" w:space="0" w:color="auto"/>
            </w:tcBorders>
          </w:tcPr>
          <w:p w14:paraId="4AD11595"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5235D4D0"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6" w:space="0" w:color="auto"/>
            </w:tcBorders>
          </w:tcPr>
          <w:p w14:paraId="763207AD"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40104CE6" w14:textId="77777777" w:rsidTr="005D7549">
        <w:tc>
          <w:tcPr>
            <w:tcW w:w="6279" w:type="dxa"/>
          </w:tcPr>
          <w:p w14:paraId="32947656" w14:textId="282ECC0D" w:rsidR="00853832" w:rsidRPr="00C629B0" w:rsidRDefault="00853832" w:rsidP="00BC787F">
            <w:pPr>
              <w:pStyle w:val="levelb"/>
              <w:keepLines/>
              <w:tabs>
                <w:tab w:val="clear" w:pos="576"/>
                <w:tab w:val="clear" w:pos="1152"/>
              </w:tabs>
              <w:spacing w:before="120" w:after="120" w:line="240" w:lineRule="atLeast"/>
              <w:ind w:left="518" w:hanging="230"/>
              <w:rPr>
                <w:rFonts w:cstheme="majorHAnsi"/>
                <w:sz w:val="20"/>
                <w:szCs w:val="20"/>
              </w:rPr>
            </w:pPr>
            <w:r w:rsidRPr="00C629B0">
              <w:rPr>
                <w:rFonts w:cstheme="majorHAnsi"/>
                <w:sz w:val="20"/>
                <w:szCs w:val="20"/>
              </w:rPr>
              <w:t>d.</w:t>
            </w:r>
            <w:r w:rsidRPr="00C629B0">
              <w:rPr>
                <w:rFonts w:cstheme="majorHAnsi"/>
                <w:sz w:val="20"/>
                <w:szCs w:val="20"/>
              </w:rPr>
              <w:tab/>
              <w:t>A cross-reference sheet showing the item numbers and captions in Parts I, II, and III, and the page(s) in the referenced materials where the corr</w:t>
            </w:r>
            <w:r w:rsidR="005651D0" w:rsidRPr="00C629B0">
              <w:rPr>
                <w:rFonts w:cstheme="majorHAnsi"/>
                <w:sz w:val="20"/>
                <w:szCs w:val="20"/>
              </w:rPr>
              <w:t xml:space="preserve">esponding information appears. </w:t>
            </w:r>
            <w:r w:rsidRPr="00C629B0">
              <w:rPr>
                <w:rFonts w:cstheme="majorHAnsi"/>
                <w:sz w:val="20"/>
                <w:szCs w:val="20"/>
              </w:rPr>
              <w:t>Also, the facing sheet requires information relating to “Documents Incorporated by Reference.”</w:t>
            </w:r>
          </w:p>
        </w:tc>
        <w:tc>
          <w:tcPr>
            <w:tcW w:w="292" w:type="dxa"/>
          </w:tcPr>
          <w:p w14:paraId="048C8DE6"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6" w:space="0" w:color="auto"/>
            </w:tcBorders>
          </w:tcPr>
          <w:p w14:paraId="1F2C5D1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3FB049C"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6" w:space="0" w:color="auto"/>
            </w:tcBorders>
          </w:tcPr>
          <w:p w14:paraId="4FEC8753"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55AEA45E" w14:textId="77777777" w:rsidTr="005D7549">
        <w:tc>
          <w:tcPr>
            <w:tcW w:w="6279" w:type="dxa"/>
          </w:tcPr>
          <w:p w14:paraId="4C62F3E9" w14:textId="77777777"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To meet the requirements of Part I, the incorporated portion of the annual report to security holders must contain the information required by Items 1 to 3 to the extent applicable.</w:t>
            </w:r>
          </w:p>
        </w:tc>
        <w:tc>
          <w:tcPr>
            <w:tcW w:w="292" w:type="dxa"/>
          </w:tcPr>
          <w:p w14:paraId="0B34221E"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6" w:space="0" w:color="auto"/>
            </w:tcBorders>
          </w:tcPr>
          <w:p w14:paraId="6A0D7EA9"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22C10837"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6" w:space="0" w:color="auto"/>
            </w:tcBorders>
          </w:tcPr>
          <w:p w14:paraId="6264F241"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1018946D" w14:textId="77777777" w:rsidTr="005D7549">
        <w:tc>
          <w:tcPr>
            <w:tcW w:w="6279" w:type="dxa"/>
          </w:tcPr>
          <w:p w14:paraId="27E4948C" w14:textId="78993315"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If any information called for by Parts I or II of Form 10-K is incorporated into an electronic (EDGAR) SEC filing by reference from the annual report to security holders, such portion(s) of the annual report to security holders must be filed in electronic forma</w:t>
            </w:r>
            <w:r w:rsidR="005651D0" w:rsidRPr="00C629B0">
              <w:rPr>
                <w:rFonts w:cstheme="majorHAnsi"/>
                <w:sz w:val="20"/>
                <w:szCs w:val="20"/>
              </w:rPr>
              <w:t xml:space="preserve">t as Exhibit 13 to the filing. </w:t>
            </w:r>
            <w:r w:rsidRPr="00C629B0">
              <w:rPr>
                <w:rFonts w:cstheme="majorHAnsi"/>
                <w:sz w:val="20"/>
                <w:szCs w:val="20"/>
              </w:rPr>
              <w:t>See Regulation S-K, Item 601b(13)(ii).</w:t>
            </w:r>
          </w:p>
        </w:tc>
        <w:tc>
          <w:tcPr>
            <w:tcW w:w="292" w:type="dxa"/>
          </w:tcPr>
          <w:p w14:paraId="07239601"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bottom w:val="single" w:sz="4" w:space="0" w:color="auto"/>
            </w:tcBorders>
          </w:tcPr>
          <w:p w14:paraId="7B3E615A"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2329B45B"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bottom w:val="single" w:sz="4" w:space="0" w:color="auto"/>
            </w:tcBorders>
          </w:tcPr>
          <w:p w14:paraId="11F8C7E0"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699467D8" w14:textId="77777777" w:rsidTr="005D7549">
        <w:tc>
          <w:tcPr>
            <w:tcW w:w="6279" w:type="dxa"/>
          </w:tcPr>
          <w:p w14:paraId="1A02C7FB" w14:textId="4DFD1D11"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The information called for by Part III (Items 10 through 14) may be incorporated by reference from the definitive proxy statement (or information statement), which involves the election of directors, if such definitive statement is filed with the SEC no later than 120 days aft</w:t>
            </w:r>
            <w:r w:rsidR="005651D0" w:rsidRPr="00C629B0">
              <w:rPr>
                <w:rFonts w:cstheme="majorHAnsi"/>
                <w:sz w:val="20"/>
                <w:szCs w:val="20"/>
              </w:rPr>
              <w:t xml:space="preserve">er the end of the fiscal year. </w:t>
            </w:r>
            <w:r w:rsidRPr="00C629B0">
              <w:rPr>
                <w:rFonts w:cstheme="majorHAnsi"/>
                <w:sz w:val="20"/>
                <w:szCs w:val="20"/>
              </w:rPr>
              <w:t xml:space="preserve">However, if the definitive statement is not filed with the SEC in the 120-day period or is not required to be filed with the SEC due to Rule 3a12-3(b) of the Exchange Act, the Part III </w:t>
            </w:r>
            <w:r w:rsidRPr="00C629B0">
              <w:rPr>
                <w:rFonts w:cstheme="majorHAnsi"/>
                <w:sz w:val="20"/>
                <w:szCs w:val="20"/>
              </w:rPr>
              <w:lastRenderedPageBreak/>
              <w:t>information must be filed as part of Form 10-K, or as an amendment on Form 10-K/A, no later than the end of the 120-day period.</w:t>
            </w:r>
          </w:p>
        </w:tc>
        <w:tc>
          <w:tcPr>
            <w:tcW w:w="292" w:type="dxa"/>
          </w:tcPr>
          <w:p w14:paraId="77BEAC5E"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tcBorders>
          </w:tcPr>
          <w:p w14:paraId="68E77739"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12D5C743"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tcBorders>
          </w:tcPr>
          <w:p w14:paraId="2E4A0AFD"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644E4C85" w14:textId="77777777" w:rsidTr="005D7549">
        <w:tc>
          <w:tcPr>
            <w:tcW w:w="6279" w:type="dxa"/>
          </w:tcPr>
          <w:p w14:paraId="7D60C4CC" w14:textId="2A4ABDA7"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ab/>
              <w:t>The information regarding executive officers required by Item 401 of Regulation S-K (Item 10 of Form 10-K) may be included in Part I of Form 10-K under an appropriate caption (“Executive</w:t>
            </w:r>
            <w:r w:rsidR="005651D0" w:rsidRPr="00C629B0">
              <w:rPr>
                <w:rFonts w:cstheme="majorHAnsi"/>
                <w:sz w:val="20"/>
                <w:szCs w:val="20"/>
              </w:rPr>
              <w:t xml:space="preserve"> Officers of the Registrant”). </w:t>
            </w:r>
            <w:r w:rsidRPr="00C629B0">
              <w:rPr>
                <w:rFonts w:cstheme="majorHAnsi"/>
                <w:sz w:val="20"/>
                <w:szCs w:val="20"/>
              </w:rPr>
              <w:t>See Instruction 3 to Item 401(b) of Regulation S-K.</w:t>
            </w:r>
          </w:p>
        </w:tc>
        <w:tc>
          <w:tcPr>
            <w:tcW w:w="292" w:type="dxa"/>
          </w:tcPr>
          <w:p w14:paraId="046AC591"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6" w:space="0" w:color="auto"/>
            </w:tcBorders>
          </w:tcPr>
          <w:p w14:paraId="0F29FE1B"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59060EA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6" w:space="0" w:color="auto"/>
            </w:tcBorders>
          </w:tcPr>
          <w:p w14:paraId="586CE306"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1206E411" w14:textId="77777777" w:rsidTr="005D7549">
        <w:tc>
          <w:tcPr>
            <w:tcW w:w="6279" w:type="dxa"/>
          </w:tcPr>
          <w:p w14:paraId="2ADA8760" w14:textId="58237FAB"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4.</w:t>
            </w:r>
            <w:r w:rsidR="005651D0" w:rsidRPr="00C629B0">
              <w:rPr>
                <w:rFonts w:cstheme="majorHAnsi"/>
                <w:b/>
                <w:sz w:val="20"/>
                <w:szCs w:val="20"/>
              </w:rPr>
              <w:tab/>
              <w:t xml:space="preserve">Integrated Reports. </w:t>
            </w:r>
            <w:r w:rsidR="00E66276" w:rsidRPr="000D61E0">
              <w:rPr>
                <w:rFonts w:cstheme="majorHAnsi"/>
                <w:bCs/>
                <w:sz w:val="20"/>
                <w:szCs w:val="20"/>
              </w:rPr>
              <w:t>[See Form 10-K, General Instruction H</w:t>
            </w:r>
            <w:r w:rsidR="00951A72">
              <w:rPr>
                <w:rFonts w:cstheme="majorHAnsi"/>
                <w:bCs/>
                <w:sz w:val="20"/>
                <w:szCs w:val="20"/>
              </w:rPr>
              <w:t>.</w:t>
            </w:r>
            <w:r w:rsidR="00E66276" w:rsidRPr="000D61E0">
              <w:rPr>
                <w:rFonts w:cstheme="majorHAnsi"/>
                <w:bCs/>
                <w:sz w:val="20"/>
                <w:szCs w:val="20"/>
              </w:rPr>
              <w:t xml:space="preserve">] </w:t>
            </w:r>
            <w:r w:rsidRPr="00C629B0">
              <w:rPr>
                <w:rFonts w:cstheme="majorHAnsi"/>
                <w:sz w:val="20"/>
                <w:szCs w:val="20"/>
              </w:rPr>
              <w:t>Annual reports to security holders may be combined with the required Form 10-K information if the following conditions are met:</w:t>
            </w:r>
          </w:p>
        </w:tc>
        <w:tc>
          <w:tcPr>
            <w:tcW w:w="292" w:type="dxa"/>
          </w:tcPr>
          <w:p w14:paraId="1C88276C" w14:textId="77777777" w:rsidR="00853832" w:rsidRPr="00C629B0" w:rsidRDefault="00853832" w:rsidP="00C629B0">
            <w:pPr>
              <w:pStyle w:val="levela"/>
              <w:spacing w:before="120" w:after="120" w:line="240" w:lineRule="atLeast"/>
              <w:rPr>
                <w:rFonts w:cstheme="majorHAnsi"/>
                <w:sz w:val="20"/>
                <w:szCs w:val="20"/>
              </w:rPr>
            </w:pPr>
          </w:p>
        </w:tc>
        <w:tc>
          <w:tcPr>
            <w:tcW w:w="1152" w:type="dxa"/>
          </w:tcPr>
          <w:p w14:paraId="2E5D20E5"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45C3AFAE"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Pr>
          <w:p w14:paraId="7F3792C7"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52D09052" w14:textId="77777777" w:rsidTr="005D7549">
        <w:tc>
          <w:tcPr>
            <w:tcW w:w="6279" w:type="dxa"/>
          </w:tcPr>
          <w:p w14:paraId="2D6818C0" w14:textId="2537FD63" w:rsidR="00853832" w:rsidRPr="00C629B0" w:rsidRDefault="00853832" w:rsidP="00C629B0">
            <w:pPr>
              <w:pStyle w:val="levelb"/>
              <w:tabs>
                <w:tab w:val="clear" w:pos="576"/>
                <w:tab w:val="clear" w:pos="1152"/>
              </w:tabs>
              <w:spacing w:before="120" w:after="120" w:line="240" w:lineRule="atLeast"/>
              <w:ind w:left="520" w:hanging="234"/>
              <w:rPr>
                <w:rFonts w:cstheme="majorHAnsi"/>
                <w:b/>
                <w:sz w:val="20"/>
                <w:szCs w:val="20"/>
              </w:rPr>
            </w:pPr>
            <w:r w:rsidRPr="00C629B0">
              <w:rPr>
                <w:rFonts w:cstheme="majorHAnsi"/>
                <w:sz w:val="20"/>
                <w:szCs w:val="20"/>
              </w:rPr>
              <w:t>a.</w:t>
            </w:r>
            <w:r w:rsidRPr="00C629B0">
              <w:rPr>
                <w:rFonts w:cstheme="majorHAnsi"/>
                <w:sz w:val="20"/>
                <w:szCs w:val="20"/>
              </w:rPr>
              <w:tab/>
              <w:t>The combined report contains full and complete answers to al</w:t>
            </w:r>
            <w:r w:rsidR="005651D0" w:rsidRPr="00C629B0">
              <w:rPr>
                <w:rFonts w:cstheme="majorHAnsi"/>
                <w:sz w:val="20"/>
                <w:szCs w:val="20"/>
              </w:rPr>
              <w:t xml:space="preserve">l items required by Form 10-K. </w:t>
            </w:r>
            <w:r w:rsidRPr="00C629B0">
              <w:rPr>
                <w:rFonts w:cstheme="majorHAnsi"/>
                <w:sz w:val="20"/>
                <w:szCs w:val="20"/>
              </w:rPr>
              <w:t>If responses to a disclosure item are separated in the combined report, an appropriate c</w:t>
            </w:r>
            <w:r w:rsidR="005651D0" w:rsidRPr="00C629B0">
              <w:rPr>
                <w:rFonts w:cstheme="majorHAnsi"/>
                <w:sz w:val="20"/>
                <w:szCs w:val="20"/>
              </w:rPr>
              <w:t xml:space="preserve">ross-reference should be made. </w:t>
            </w:r>
            <w:r w:rsidRPr="00C629B0">
              <w:rPr>
                <w:rFonts w:cstheme="majorHAnsi"/>
                <w:sz w:val="20"/>
                <w:szCs w:val="20"/>
              </w:rPr>
              <w:t>If information required by Part III of Form 10-K is omitted because it is incorporated by reference, a definitive proxy or information statement must be filed.</w:t>
            </w:r>
          </w:p>
        </w:tc>
        <w:tc>
          <w:tcPr>
            <w:tcW w:w="292" w:type="dxa"/>
          </w:tcPr>
          <w:p w14:paraId="0D8A368D" w14:textId="77777777" w:rsidR="00853832" w:rsidRPr="00C629B0" w:rsidRDefault="00853832" w:rsidP="00C629B0">
            <w:pPr>
              <w:pStyle w:val="levela"/>
              <w:spacing w:before="120" w:after="120" w:line="240" w:lineRule="atLeast"/>
              <w:rPr>
                <w:rFonts w:cstheme="majorHAnsi"/>
                <w:sz w:val="20"/>
                <w:szCs w:val="20"/>
              </w:rPr>
            </w:pPr>
          </w:p>
        </w:tc>
        <w:tc>
          <w:tcPr>
            <w:tcW w:w="1152" w:type="dxa"/>
          </w:tcPr>
          <w:p w14:paraId="0A5B669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6F7A63A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Pr>
          <w:p w14:paraId="454DC021"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21CDF95E" w14:textId="77777777" w:rsidTr="005D7549">
        <w:tc>
          <w:tcPr>
            <w:tcW w:w="6279" w:type="dxa"/>
          </w:tcPr>
          <w:p w14:paraId="263D8DEE" w14:textId="77777777"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b.</w:t>
            </w:r>
            <w:r w:rsidRPr="00C629B0">
              <w:rPr>
                <w:rFonts w:cstheme="majorHAnsi"/>
                <w:sz w:val="20"/>
                <w:szCs w:val="20"/>
              </w:rPr>
              <w:tab/>
              <w:t>The cover page and required signatures are included.</w:t>
            </w:r>
          </w:p>
        </w:tc>
        <w:tc>
          <w:tcPr>
            <w:tcW w:w="292" w:type="dxa"/>
          </w:tcPr>
          <w:p w14:paraId="227AABC5"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bottom w:val="single" w:sz="6" w:space="0" w:color="auto"/>
            </w:tcBorders>
          </w:tcPr>
          <w:p w14:paraId="571C62E8"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770B3CEA"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bottom w:val="single" w:sz="6" w:space="0" w:color="auto"/>
            </w:tcBorders>
          </w:tcPr>
          <w:p w14:paraId="052CC6A9"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17E97B7F" w14:textId="77777777" w:rsidTr="005D7549">
        <w:tc>
          <w:tcPr>
            <w:tcW w:w="6279" w:type="dxa"/>
          </w:tcPr>
          <w:p w14:paraId="75E458EC" w14:textId="77777777"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c.</w:t>
            </w:r>
            <w:r w:rsidRPr="00C629B0">
              <w:rPr>
                <w:rFonts w:cstheme="majorHAnsi"/>
                <w:sz w:val="20"/>
                <w:szCs w:val="20"/>
              </w:rPr>
              <w:tab/>
              <w:t>As appropriate, a cross-reference sheet should be filed indicating the location of the required information.</w:t>
            </w:r>
          </w:p>
        </w:tc>
        <w:tc>
          <w:tcPr>
            <w:tcW w:w="292" w:type="dxa"/>
          </w:tcPr>
          <w:p w14:paraId="54344467"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bottom w:val="single" w:sz="6" w:space="0" w:color="auto"/>
            </w:tcBorders>
          </w:tcPr>
          <w:p w14:paraId="74310832"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18144BC5"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bottom w:val="single" w:sz="6" w:space="0" w:color="auto"/>
            </w:tcBorders>
          </w:tcPr>
          <w:p w14:paraId="5DAB83BB"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919CB50" w14:textId="77777777" w:rsidTr="005D7549">
        <w:tc>
          <w:tcPr>
            <w:tcW w:w="6279" w:type="dxa"/>
          </w:tcPr>
          <w:p w14:paraId="73337374" w14:textId="77777777"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d.</w:t>
            </w:r>
            <w:r w:rsidRPr="00C629B0">
              <w:rPr>
                <w:rFonts w:cstheme="majorHAnsi"/>
                <w:sz w:val="20"/>
                <w:szCs w:val="20"/>
              </w:rPr>
              <w:tab/>
              <w:t>Registrants filing on the EDGAR electronic filing system are to file electronically any portion of their annual report to security holders that is used to satisfy any of the Form 10-K required disclosures.</w:t>
            </w:r>
          </w:p>
        </w:tc>
        <w:tc>
          <w:tcPr>
            <w:tcW w:w="292" w:type="dxa"/>
          </w:tcPr>
          <w:p w14:paraId="17E10B73" w14:textId="77777777" w:rsidR="00853832" w:rsidRPr="00C629B0" w:rsidRDefault="00853832" w:rsidP="00C629B0">
            <w:pPr>
              <w:pStyle w:val="levela"/>
              <w:spacing w:before="120" w:after="120" w:line="240" w:lineRule="atLeast"/>
              <w:rPr>
                <w:rFonts w:cstheme="majorHAnsi"/>
                <w:sz w:val="20"/>
                <w:szCs w:val="20"/>
              </w:rPr>
            </w:pPr>
          </w:p>
        </w:tc>
        <w:tc>
          <w:tcPr>
            <w:tcW w:w="1152" w:type="dxa"/>
          </w:tcPr>
          <w:p w14:paraId="2F80FA3E"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20CF099"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Pr>
          <w:p w14:paraId="4576C96A"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20A449B3" w14:textId="77777777" w:rsidTr="005D7549">
        <w:tc>
          <w:tcPr>
            <w:tcW w:w="6279" w:type="dxa"/>
          </w:tcPr>
          <w:p w14:paraId="6D99AACE" w14:textId="1596763C"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5.</w:t>
            </w:r>
            <w:r w:rsidRPr="00C629B0">
              <w:rPr>
                <w:rFonts w:cstheme="majorHAnsi"/>
                <w:b/>
                <w:sz w:val="20"/>
                <w:szCs w:val="20"/>
              </w:rPr>
              <w:tab/>
              <w:t>Filing and Signatures.</w:t>
            </w:r>
            <w:r w:rsidR="005651D0" w:rsidRPr="00C629B0">
              <w:rPr>
                <w:rFonts w:cstheme="majorHAnsi"/>
                <w:sz w:val="20"/>
                <w:szCs w:val="20"/>
              </w:rPr>
              <w:t xml:space="preserve"> </w:t>
            </w:r>
            <w:r w:rsidRPr="00C629B0">
              <w:rPr>
                <w:rFonts w:cstheme="majorHAnsi"/>
                <w:sz w:val="20"/>
                <w:szCs w:val="20"/>
              </w:rPr>
              <w:t xml:space="preserve">For </w:t>
            </w:r>
            <w:r w:rsidRPr="00C629B0">
              <w:rPr>
                <w:rFonts w:cstheme="majorHAnsi"/>
                <w:i/>
                <w:sz w:val="20"/>
                <w:szCs w:val="20"/>
              </w:rPr>
              <w:t xml:space="preserve">registrants filing on the SEC’s </w:t>
            </w:r>
            <w:r w:rsidRPr="00C629B0">
              <w:rPr>
                <w:rFonts w:cstheme="majorHAnsi"/>
                <w:sz w:val="20"/>
                <w:szCs w:val="20"/>
              </w:rPr>
              <w:t>EDGAR</w:t>
            </w:r>
            <w:r w:rsidRPr="00C629B0">
              <w:rPr>
                <w:rFonts w:cstheme="majorHAnsi"/>
                <w:i/>
                <w:sz w:val="20"/>
                <w:szCs w:val="20"/>
              </w:rPr>
              <w:t xml:space="preserve"> electronic filing system</w:t>
            </w:r>
            <w:r w:rsidRPr="00C629B0">
              <w:rPr>
                <w:rFonts w:cstheme="majorHAnsi"/>
                <w:sz w:val="20"/>
                <w:szCs w:val="20"/>
              </w:rPr>
              <w:t>, signature requirements are satisfied if the signatory’s name appears in typed fo</w:t>
            </w:r>
            <w:r w:rsidR="005651D0" w:rsidRPr="00C629B0">
              <w:rPr>
                <w:rFonts w:cstheme="majorHAnsi"/>
                <w:sz w:val="20"/>
                <w:szCs w:val="20"/>
              </w:rPr>
              <w:t xml:space="preserve">rmat in the electronic filing. </w:t>
            </w:r>
            <w:r w:rsidRPr="00C629B0">
              <w:rPr>
                <w:rFonts w:cstheme="majorHAnsi"/>
                <w:sz w:val="20"/>
                <w:szCs w:val="20"/>
              </w:rPr>
              <w:t>Typed format signatures are acceptable on copies of electronically filed documents that are furnished to a national securities exchange or na</w:t>
            </w:r>
            <w:r w:rsidR="005651D0" w:rsidRPr="00C629B0">
              <w:rPr>
                <w:rFonts w:cstheme="majorHAnsi"/>
                <w:sz w:val="20"/>
                <w:szCs w:val="20"/>
              </w:rPr>
              <w:t xml:space="preserve">tional securities association. </w:t>
            </w:r>
            <w:r w:rsidRPr="00C629B0">
              <w:rPr>
                <w:rFonts w:cstheme="majorHAnsi"/>
                <w:sz w:val="20"/>
                <w:szCs w:val="20"/>
              </w:rPr>
              <w:t>Registrants are required to retain for five years manually signed authorizations for the typed signatures that appear in electronic filin</w:t>
            </w:r>
            <w:r w:rsidR="00886A80" w:rsidRPr="00C629B0">
              <w:rPr>
                <w:rFonts w:cstheme="majorHAnsi"/>
                <w:sz w:val="20"/>
                <w:szCs w:val="20"/>
              </w:rPr>
              <w:t xml:space="preserve">gs (Regulation S-T, Rule 302). </w:t>
            </w:r>
            <w:r w:rsidRPr="00C629B0">
              <w:rPr>
                <w:rFonts w:cstheme="majorHAnsi"/>
                <w:sz w:val="20"/>
                <w:szCs w:val="20"/>
              </w:rPr>
              <w:t>Electronic filings are discussed in Regulation S-T.</w:t>
            </w:r>
          </w:p>
        </w:tc>
        <w:tc>
          <w:tcPr>
            <w:tcW w:w="292" w:type="dxa"/>
          </w:tcPr>
          <w:p w14:paraId="3B3A8CA9"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bottom w:val="single" w:sz="4" w:space="0" w:color="auto"/>
            </w:tcBorders>
          </w:tcPr>
          <w:p w14:paraId="5032F18E"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4D69BD5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bottom w:val="single" w:sz="4" w:space="0" w:color="auto"/>
            </w:tcBorders>
          </w:tcPr>
          <w:p w14:paraId="6C916388"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0FC910BF" w14:textId="77777777" w:rsidTr="005D7549">
        <w:tc>
          <w:tcPr>
            <w:tcW w:w="6279" w:type="dxa"/>
          </w:tcPr>
          <w:p w14:paraId="59AC2414" w14:textId="36F461CB" w:rsidR="00853832" w:rsidRPr="00C629B0" w:rsidRDefault="00853832" w:rsidP="00C629B0">
            <w:pPr>
              <w:pStyle w:val="levela"/>
              <w:tabs>
                <w:tab w:val="clear" w:pos="576"/>
              </w:tabs>
              <w:spacing w:before="120" w:after="120" w:line="240" w:lineRule="atLeast"/>
              <w:ind w:left="250" w:hanging="250"/>
              <w:rPr>
                <w:rFonts w:cstheme="majorHAnsi"/>
                <w:sz w:val="20"/>
                <w:szCs w:val="20"/>
              </w:rPr>
            </w:pPr>
            <w:r w:rsidRPr="00C629B0">
              <w:rPr>
                <w:rFonts w:cstheme="majorHAnsi"/>
                <w:sz w:val="20"/>
                <w:szCs w:val="20"/>
              </w:rPr>
              <w:tab/>
            </w:r>
            <w:r w:rsidRPr="00C629B0">
              <w:rPr>
                <w:rFonts w:cstheme="majorHAnsi"/>
                <w:i/>
                <w:sz w:val="20"/>
                <w:szCs w:val="20"/>
              </w:rPr>
              <w:t>Registrants filing in paper format</w:t>
            </w:r>
            <w:r w:rsidRPr="00C629B0">
              <w:rPr>
                <w:rFonts w:cstheme="majorHAnsi"/>
                <w:sz w:val="20"/>
                <w:szCs w:val="20"/>
              </w:rPr>
              <w:t xml:space="preserve"> as a result of either a temporary or continuing hardship exemption must file three complete copies of the report on Form 10-K (including financial statements, financial statement schedules, exhibits, and all other papers and documents filed) and five additional copies (which need not i</w:t>
            </w:r>
            <w:r w:rsidR="005651D0" w:rsidRPr="00C629B0">
              <w:rPr>
                <w:rFonts w:cstheme="majorHAnsi"/>
                <w:sz w:val="20"/>
                <w:szCs w:val="20"/>
              </w:rPr>
              <w:t xml:space="preserve">nclude exhibits) with the SEC. </w:t>
            </w:r>
            <w:r w:rsidRPr="00C629B0">
              <w:rPr>
                <w:rFonts w:cstheme="majorHAnsi"/>
                <w:sz w:val="20"/>
                <w:szCs w:val="20"/>
              </w:rPr>
              <w:t>At least one complete copy of the report on Form 10-K (including financial statements, financial statement schedules, exhibits, and all other papers and documents filed) must be filed with each exchange on which any class of securities of the registrant is regis</w:t>
            </w:r>
            <w:r w:rsidR="005651D0" w:rsidRPr="00C629B0">
              <w:rPr>
                <w:rFonts w:cstheme="majorHAnsi"/>
                <w:sz w:val="20"/>
                <w:szCs w:val="20"/>
              </w:rPr>
              <w:t xml:space="preserve">tered. </w:t>
            </w:r>
            <w:r w:rsidRPr="00C629B0">
              <w:rPr>
                <w:rFonts w:cstheme="majorHAnsi"/>
                <w:sz w:val="20"/>
                <w:szCs w:val="20"/>
              </w:rPr>
              <w:t>At least one complete copy filed with the SEC and the one filed with each exc</w:t>
            </w:r>
            <w:r w:rsidR="005651D0" w:rsidRPr="00C629B0">
              <w:rPr>
                <w:rFonts w:cstheme="majorHAnsi"/>
                <w:sz w:val="20"/>
                <w:szCs w:val="20"/>
              </w:rPr>
              <w:t xml:space="preserve">hange must be manually signed. </w:t>
            </w:r>
            <w:r w:rsidRPr="00C629B0">
              <w:rPr>
                <w:rFonts w:cstheme="majorHAnsi"/>
                <w:sz w:val="20"/>
                <w:szCs w:val="20"/>
              </w:rPr>
              <w:t>Copies not manually signed must bea</w:t>
            </w:r>
            <w:r w:rsidR="005651D0" w:rsidRPr="00C629B0">
              <w:rPr>
                <w:rFonts w:cstheme="majorHAnsi"/>
                <w:sz w:val="20"/>
                <w:szCs w:val="20"/>
              </w:rPr>
              <w:t xml:space="preserve">r typed or printed </w:t>
            </w:r>
            <w:r w:rsidR="005651D0" w:rsidRPr="00C629B0">
              <w:rPr>
                <w:rFonts w:cstheme="majorHAnsi"/>
                <w:sz w:val="20"/>
                <w:szCs w:val="20"/>
              </w:rPr>
              <w:lastRenderedPageBreak/>
              <w:t xml:space="preserve">signatures. </w:t>
            </w:r>
            <w:r w:rsidRPr="00C629B0">
              <w:rPr>
                <w:rFonts w:cstheme="majorHAnsi"/>
                <w:sz w:val="20"/>
                <w:szCs w:val="20"/>
              </w:rPr>
              <w:t>See Rule 12b-11 of the Exchange Act regarding manual signatures and signatures pursuant to powers of attorney.</w:t>
            </w:r>
          </w:p>
        </w:tc>
        <w:tc>
          <w:tcPr>
            <w:tcW w:w="292" w:type="dxa"/>
          </w:tcPr>
          <w:p w14:paraId="3BF0FB1E"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tcBorders>
          </w:tcPr>
          <w:p w14:paraId="26DE7E4C"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409FFFA1"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tcBorders>
          </w:tcPr>
          <w:p w14:paraId="551E8B0B"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5B0F300F" w14:textId="77777777" w:rsidTr="005D7549">
        <w:tc>
          <w:tcPr>
            <w:tcW w:w="6279" w:type="dxa"/>
          </w:tcPr>
          <w:p w14:paraId="2F942A82" w14:textId="78D65A60" w:rsidR="00853832" w:rsidRPr="00C629B0" w:rsidRDefault="00853832" w:rsidP="00C629B0">
            <w:pPr>
              <w:pStyle w:val="levela"/>
              <w:tabs>
                <w:tab w:val="clear" w:pos="576"/>
              </w:tabs>
              <w:spacing w:before="120" w:after="120" w:line="240" w:lineRule="atLeast"/>
              <w:ind w:left="250" w:hanging="250"/>
              <w:rPr>
                <w:rFonts w:cstheme="majorHAnsi"/>
                <w:sz w:val="20"/>
                <w:szCs w:val="20"/>
              </w:rPr>
            </w:pPr>
            <w:r w:rsidRPr="00C629B0">
              <w:rPr>
                <w:rFonts w:cstheme="majorHAnsi"/>
                <w:sz w:val="20"/>
                <w:szCs w:val="20"/>
              </w:rPr>
              <w:tab/>
              <w:t xml:space="preserve">Form 10-K annual reports are to be signed on behalf of the registrant by the principal executive officer(s), principal financial officer, controller or principal accounting officer, and by at least the majority of the board of directors (or persons </w:t>
            </w:r>
            <w:r w:rsidR="005651D0" w:rsidRPr="00C629B0">
              <w:rPr>
                <w:rFonts w:cstheme="majorHAnsi"/>
                <w:sz w:val="20"/>
                <w:szCs w:val="20"/>
              </w:rPr>
              <w:t xml:space="preserve">performing similar functions). </w:t>
            </w:r>
            <w:r w:rsidRPr="00C629B0">
              <w:rPr>
                <w:rFonts w:cstheme="majorHAnsi"/>
                <w:sz w:val="20"/>
                <w:szCs w:val="20"/>
              </w:rPr>
              <w:t>If the registrant is a limited partnership, the Form 10-K annual report is to be signed by a majority of the board of directors of any corporate general partner who signs the Form 10-K. The name of each person who signs the report should be typed or printed</w:t>
            </w:r>
            <w:r w:rsidR="005651D0" w:rsidRPr="00C629B0">
              <w:rPr>
                <w:rFonts w:cstheme="majorHAnsi"/>
                <w:sz w:val="20"/>
                <w:szCs w:val="20"/>
              </w:rPr>
              <w:t xml:space="preserve"> beneath his or her signature. </w:t>
            </w:r>
            <w:r w:rsidRPr="00C629B0">
              <w:rPr>
                <w:rFonts w:cstheme="majorHAnsi"/>
                <w:sz w:val="20"/>
                <w:szCs w:val="20"/>
              </w:rPr>
              <w:t>If a person holds more than one of the specified positions (e.g., a director and the principal financial officer), then each capacity in which the perso</w:t>
            </w:r>
            <w:r w:rsidR="005651D0" w:rsidRPr="00C629B0">
              <w:rPr>
                <w:rFonts w:cstheme="majorHAnsi"/>
                <w:sz w:val="20"/>
                <w:szCs w:val="20"/>
              </w:rPr>
              <w:t xml:space="preserve">n signs should be indicated. </w:t>
            </w:r>
            <w:r w:rsidRPr="00C629B0">
              <w:rPr>
                <w:rFonts w:cstheme="majorHAnsi"/>
                <w:spacing w:val="-2"/>
                <w:sz w:val="20"/>
                <w:szCs w:val="20"/>
              </w:rPr>
              <w:t>See Form 10-K, General Instruction D.</w:t>
            </w:r>
          </w:p>
        </w:tc>
        <w:tc>
          <w:tcPr>
            <w:tcW w:w="292" w:type="dxa"/>
          </w:tcPr>
          <w:p w14:paraId="622F7CC4"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4" w:space="0" w:color="auto"/>
            </w:tcBorders>
          </w:tcPr>
          <w:p w14:paraId="52D2463D"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67DD8699"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4" w:space="0" w:color="auto"/>
            </w:tcBorders>
          </w:tcPr>
          <w:p w14:paraId="38817FC3"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6EDCBACD" w14:textId="77777777" w:rsidTr="005D7549">
        <w:tc>
          <w:tcPr>
            <w:tcW w:w="6279" w:type="dxa"/>
          </w:tcPr>
          <w:p w14:paraId="70B38F94" w14:textId="77777777" w:rsidR="00853832" w:rsidRPr="00C629B0" w:rsidRDefault="00853832" w:rsidP="00C629B0">
            <w:pPr>
              <w:pStyle w:val="levela"/>
              <w:tabs>
                <w:tab w:val="clear" w:pos="576"/>
              </w:tabs>
              <w:spacing w:before="120" w:after="120" w:line="240" w:lineRule="atLeast"/>
              <w:ind w:left="250" w:firstLine="0"/>
              <w:rPr>
                <w:rFonts w:cstheme="majorHAnsi"/>
                <w:b/>
                <w:sz w:val="20"/>
                <w:szCs w:val="20"/>
              </w:rPr>
            </w:pPr>
            <w:r w:rsidRPr="00C629B0">
              <w:rPr>
                <w:rFonts w:cstheme="majorHAnsi"/>
                <w:sz w:val="20"/>
                <w:szCs w:val="20"/>
              </w:rPr>
              <w:t>Registrants filing in paper format as a result of</w:t>
            </w:r>
            <w:r w:rsidRPr="00C629B0">
              <w:rPr>
                <w:rFonts w:cstheme="majorHAnsi"/>
                <w:b/>
                <w:sz w:val="20"/>
                <w:szCs w:val="20"/>
              </w:rPr>
              <w:t xml:space="preserve"> </w:t>
            </w:r>
            <w:r w:rsidRPr="00C629B0">
              <w:rPr>
                <w:rFonts w:cstheme="majorHAnsi"/>
                <w:sz w:val="20"/>
                <w:szCs w:val="20"/>
              </w:rPr>
              <w:t>either a temporary or continuing hardship exemption should also consult the appropriate guidance in Regulation S-T.</w:t>
            </w:r>
          </w:p>
        </w:tc>
        <w:tc>
          <w:tcPr>
            <w:tcW w:w="292" w:type="dxa"/>
          </w:tcPr>
          <w:p w14:paraId="339822B1"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4" w:space="0" w:color="auto"/>
            </w:tcBorders>
          </w:tcPr>
          <w:p w14:paraId="6E77B8F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1FECAD3"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4" w:space="0" w:color="auto"/>
            </w:tcBorders>
          </w:tcPr>
          <w:p w14:paraId="26B7A90A" w14:textId="77777777" w:rsidR="00853832" w:rsidRPr="008458AB" w:rsidRDefault="00853832" w:rsidP="00C629B0">
            <w:pPr>
              <w:pStyle w:val="levela"/>
              <w:spacing w:before="120" w:after="120" w:line="240" w:lineRule="atLeast"/>
              <w:rPr>
                <w:rFonts w:cstheme="majorHAnsi"/>
                <w:bCs/>
                <w:sz w:val="20"/>
                <w:szCs w:val="20"/>
              </w:rPr>
            </w:pPr>
          </w:p>
        </w:tc>
      </w:tr>
      <w:tr w:rsidR="004C5D28" w:rsidRPr="00C629B0" w14:paraId="73FD9CA9" w14:textId="77777777" w:rsidTr="005D7549">
        <w:tc>
          <w:tcPr>
            <w:tcW w:w="6279" w:type="dxa"/>
          </w:tcPr>
          <w:p w14:paraId="453797FE" w14:textId="2DDD1D83" w:rsidR="004C5D28" w:rsidRPr="00C629B0" w:rsidRDefault="004C5D28" w:rsidP="00C629B0">
            <w:pPr>
              <w:pStyle w:val="levela"/>
              <w:tabs>
                <w:tab w:val="clear" w:pos="576"/>
              </w:tabs>
              <w:spacing w:before="120" w:after="120" w:line="240" w:lineRule="atLeast"/>
              <w:ind w:left="250" w:firstLine="0"/>
              <w:rPr>
                <w:rFonts w:cstheme="majorHAnsi"/>
                <w:sz w:val="20"/>
                <w:szCs w:val="20"/>
              </w:rPr>
            </w:pPr>
            <w:r w:rsidRPr="00C629B0">
              <w:rPr>
                <w:rFonts w:cstheme="majorHAnsi"/>
                <w:sz w:val="20"/>
                <w:szCs w:val="20"/>
              </w:rPr>
              <w:t xml:space="preserve">The SEC amended </w:t>
            </w:r>
            <w:hyperlink r:id="rId15" w:history="1">
              <w:r w:rsidRPr="00C37ABA">
                <w:rPr>
                  <w:rStyle w:val="Hyperlink"/>
                  <w:rFonts w:cstheme="majorHAnsi"/>
                  <w:sz w:val="20"/>
                  <w:szCs w:val="20"/>
                </w:rPr>
                <w:t>Rule 302(b)</w:t>
              </w:r>
            </w:hyperlink>
            <w:r w:rsidRPr="00C629B0">
              <w:rPr>
                <w:rFonts w:cstheme="majorHAnsi"/>
                <w:sz w:val="20"/>
                <w:szCs w:val="20"/>
              </w:rPr>
              <w:t xml:space="preserve"> of Regulation S-T to permit a signatory to an electronic filing on EDGAR who follows certain procedures to sign an authentication document through an electronic signature that meets certain requirements specified in the EDGAR Filer Manual. This amendment provides signatories with the option of signing an authentication document either manually or electronically, while requiring the signing process for an electronic signature to meet certain conditions that are consistent with the evidentiary purposes of the authentication document. Companies should consult with their securities counsel about when and whether it is appropriate to avail themselves of the electronic signature authentication in their SEC filings on Form 10-K or in other filings.</w:t>
            </w:r>
          </w:p>
        </w:tc>
        <w:tc>
          <w:tcPr>
            <w:tcW w:w="292" w:type="dxa"/>
          </w:tcPr>
          <w:p w14:paraId="00CEC99D" w14:textId="77777777" w:rsidR="004C5D28" w:rsidRPr="00C629B0" w:rsidRDefault="004C5D28" w:rsidP="00C629B0">
            <w:pPr>
              <w:pStyle w:val="levela"/>
              <w:spacing w:before="120" w:after="120" w:line="240" w:lineRule="atLeast"/>
              <w:rPr>
                <w:rFonts w:cstheme="majorHAnsi"/>
                <w:sz w:val="20"/>
                <w:szCs w:val="20"/>
              </w:rPr>
            </w:pPr>
          </w:p>
        </w:tc>
        <w:tc>
          <w:tcPr>
            <w:tcW w:w="1152" w:type="dxa"/>
            <w:tcBorders>
              <w:top w:val="single" w:sz="4" w:space="0" w:color="auto"/>
              <w:bottom w:val="single" w:sz="4" w:space="0" w:color="auto"/>
            </w:tcBorders>
          </w:tcPr>
          <w:p w14:paraId="18193373" w14:textId="77777777" w:rsidR="004C5D28" w:rsidRPr="008458AB" w:rsidRDefault="004C5D28" w:rsidP="00C629B0">
            <w:pPr>
              <w:pStyle w:val="levela"/>
              <w:spacing w:before="120" w:after="120" w:line="240" w:lineRule="atLeast"/>
              <w:rPr>
                <w:rFonts w:cstheme="majorHAnsi"/>
                <w:bCs/>
                <w:sz w:val="20"/>
                <w:szCs w:val="20"/>
              </w:rPr>
            </w:pPr>
          </w:p>
        </w:tc>
        <w:tc>
          <w:tcPr>
            <w:tcW w:w="334" w:type="dxa"/>
          </w:tcPr>
          <w:p w14:paraId="19D78B16" w14:textId="77777777" w:rsidR="004C5D28" w:rsidRPr="008458AB" w:rsidRDefault="004C5D28" w:rsidP="00C629B0">
            <w:pPr>
              <w:pStyle w:val="levela"/>
              <w:spacing w:before="120" w:after="120" w:line="240" w:lineRule="atLeast"/>
              <w:rPr>
                <w:rFonts w:cstheme="majorHAnsi"/>
                <w:bCs/>
                <w:sz w:val="20"/>
                <w:szCs w:val="20"/>
              </w:rPr>
            </w:pPr>
          </w:p>
        </w:tc>
        <w:tc>
          <w:tcPr>
            <w:tcW w:w="1303" w:type="dxa"/>
            <w:tcBorders>
              <w:top w:val="single" w:sz="4" w:space="0" w:color="auto"/>
              <w:bottom w:val="single" w:sz="4" w:space="0" w:color="auto"/>
            </w:tcBorders>
          </w:tcPr>
          <w:p w14:paraId="7CFF94D5" w14:textId="77777777" w:rsidR="004C5D28" w:rsidRPr="008458AB" w:rsidRDefault="004C5D28" w:rsidP="00C629B0">
            <w:pPr>
              <w:pStyle w:val="levela"/>
              <w:spacing w:before="120" w:after="120" w:line="240" w:lineRule="atLeast"/>
              <w:rPr>
                <w:rFonts w:cstheme="majorHAnsi"/>
                <w:bCs/>
                <w:sz w:val="20"/>
                <w:szCs w:val="20"/>
              </w:rPr>
            </w:pPr>
          </w:p>
        </w:tc>
      </w:tr>
      <w:tr w:rsidR="00853832" w:rsidRPr="00C629B0" w14:paraId="7EAA66C4" w14:textId="77777777" w:rsidTr="009D0AAD">
        <w:tc>
          <w:tcPr>
            <w:tcW w:w="6279" w:type="dxa"/>
          </w:tcPr>
          <w:p w14:paraId="24F736F9" w14:textId="49376BAC"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6.</w:t>
            </w:r>
            <w:r w:rsidRPr="00C629B0">
              <w:rPr>
                <w:rFonts w:cstheme="majorHAnsi"/>
                <w:b/>
                <w:sz w:val="20"/>
                <w:szCs w:val="20"/>
              </w:rPr>
              <w:tab/>
              <w:t>Change in Accounting Principles or Practices.</w:t>
            </w:r>
            <w:r w:rsidR="005651D0" w:rsidRPr="00C629B0">
              <w:rPr>
                <w:rFonts w:cstheme="majorHAnsi"/>
                <w:sz w:val="20"/>
                <w:szCs w:val="20"/>
              </w:rPr>
              <w:t xml:space="preserve"> </w:t>
            </w:r>
            <w:r w:rsidRPr="00C629B0">
              <w:rPr>
                <w:rFonts w:cstheme="majorHAnsi"/>
                <w:sz w:val="20"/>
                <w:szCs w:val="20"/>
              </w:rPr>
              <w:t>If the financial statements included or incorporated by reference in a Form 10-K report reflect a change from the preceding year in any accounting principle(s) or practice(s), or in the method of applying any such principle(s) or practice(s), a transmittal letter accompanying the</w:t>
            </w:r>
            <w:r w:rsidR="005651D0" w:rsidRPr="00C629B0">
              <w:rPr>
                <w:rFonts w:cstheme="majorHAnsi"/>
                <w:sz w:val="20"/>
                <w:szCs w:val="20"/>
              </w:rPr>
              <w:t xml:space="preserve"> Form 10-K should so indicate. </w:t>
            </w:r>
            <w:r w:rsidRPr="00C629B0">
              <w:rPr>
                <w:rFonts w:cstheme="majorHAnsi"/>
                <w:sz w:val="20"/>
                <w:szCs w:val="20"/>
              </w:rPr>
              <w:t xml:space="preserve">This is commonly referred to as a preferability letter. See Form 10-K, General Instruction D(3), </w:t>
            </w:r>
            <w:hyperlink r:id="rId16" w:history="1">
              <w:r w:rsidRPr="00C629B0">
                <w:rPr>
                  <w:rFonts w:cstheme="majorHAnsi"/>
                  <w:sz w:val="20"/>
                  <w:szCs w:val="20"/>
                </w:rPr>
                <w:t>SEC Staff Accounting Bulletin Topic 6.G.2(b)</w:t>
              </w:r>
            </w:hyperlink>
            <w:r w:rsidR="000C5970" w:rsidRPr="00C629B0">
              <w:rPr>
                <w:rFonts w:cstheme="majorHAnsi"/>
                <w:sz w:val="20"/>
                <w:szCs w:val="20"/>
              </w:rPr>
              <w:t>, and SEC 230</w:t>
            </w:r>
            <w:r w:rsidR="005D54D0" w:rsidRPr="00C629B0">
              <w:rPr>
                <w:rFonts w:cstheme="majorHAnsi"/>
                <w:sz w:val="20"/>
                <w:szCs w:val="20"/>
              </w:rPr>
              <w:t>.</w:t>
            </w:r>
          </w:p>
        </w:tc>
        <w:tc>
          <w:tcPr>
            <w:tcW w:w="292" w:type="dxa"/>
          </w:tcPr>
          <w:p w14:paraId="3B04A288"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4" w:space="0" w:color="auto"/>
            </w:tcBorders>
          </w:tcPr>
          <w:p w14:paraId="3BDC1E76"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68973A8"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4" w:space="0" w:color="auto"/>
            </w:tcBorders>
          </w:tcPr>
          <w:p w14:paraId="62269EE3"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5EF3183E" w14:textId="77777777" w:rsidTr="009D0AAD">
        <w:trPr>
          <w:cantSplit/>
        </w:trPr>
        <w:tc>
          <w:tcPr>
            <w:tcW w:w="6279" w:type="dxa"/>
          </w:tcPr>
          <w:p w14:paraId="6A357A84" w14:textId="6C8FB681" w:rsidR="000C5970" w:rsidRPr="00C629B0" w:rsidRDefault="000C5970" w:rsidP="00C629B0">
            <w:pPr>
              <w:pStyle w:val="levela"/>
              <w:tabs>
                <w:tab w:val="clear" w:pos="576"/>
              </w:tabs>
              <w:spacing w:before="120" w:after="120" w:line="240" w:lineRule="atLeast"/>
              <w:ind w:left="250" w:firstLine="0"/>
              <w:rPr>
                <w:rFonts w:cstheme="majorHAnsi"/>
                <w:sz w:val="20"/>
                <w:szCs w:val="20"/>
              </w:rPr>
            </w:pPr>
            <w:r w:rsidRPr="00C629B0">
              <w:rPr>
                <w:rFonts w:cstheme="majorHAnsi"/>
                <w:b/>
                <w:sz w:val="20"/>
                <w:szCs w:val="20"/>
              </w:rPr>
              <w:lastRenderedPageBreak/>
              <w:t>Note:</w:t>
            </w:r>
            <w:r w:rsidRPr="00C629B0">
              <w:rPr>
                <w:rFonts w:cstheme="majorHAnsi"/>
                <w:sz w:val="20"/>
                <w:szCs w:val="20"/>
              </w:rPr>
              <w:t xml:space="preserve"> No letter from the independent auditor need be filed when the change is required by a standard adopted by the Financial Accounting Standards Board</w:t>
            </w:r>
            <w:r w:rsidR="00A91CB1" w:rsidRPr="00C629B0">
              <w:rPr>
                <w:rFonts w:cstheme="majorHAnsi"/>
                <w:sz w:val="20"/>
                <w:szCs w:val="20"/>
              </w:rPr>
              <w:t xml:space="preserve"> (FASB)</w:t>
            </w:r>
            <w:r w:rsidRPr="00C629B0">
              <w:rPr>
                <w:rFonts w:cstheme="majorHAnsi"/>
                <w:sz w:val="20"/>
                <w:szCs w:val="20"/>
              </w:rPr>
              <w:t>.</w:t>
            </w:r>
          </w:p>
          <w:p w14:paraId="20AA09F9" w14:textId="4B3F08E2" w:rsidR="00853832" w:rsidRPr="00C629B0" w:rsidRDefault="00853832" w:rsidP="00C629B0">
            <w:pPr>
              <w:pStyle w:val="levela"/>
              <w:tabs>
                <w:tab w:val="clear" w:pos="576"/>
              </w:tabs>
              <w:spacing w:before="120" w:after="120" w:line="240" w:lineRule="atLeast"/>
              <w:ind w:left="250" w:hanging="250"/>
              <w:rPr>
                <w:rFonts w:cstheme="majorHAnsi"/>
                <w:b/>
                <w:sz w:val="20"/>
                <w:szCs w:val="20"/>
              </w:rPr>
            </w:pPr>
            <w:r w:rsidRPr="00C629B0">
              <w:rPr>
                <w:rFonts w:cstheme="majorHAnsi"/>
                <w:sz w:val="20"/>
                <w:szCs w:val="20"/>
              </w:rPr>
              <w:t>7.</w:t>
            </w:r>
            <w:r w:rsidRPr="00C629B0">
              <w:rPr>
                <w:rFonts w:cstheme="majorHAnsi"/>
                <w:b/>
                <w:sz w:val="20"/>
                <w:szCs w:val="20"/>
              </w:rPr>
              <w:tab/>
              <w:t>Disclosure with Respect to Foreign Subsidiaries.</w:t>
            </w:r>
            <w:r w:rsidR="00886A80" w:rsidRPr="00C629B0">
              <w:rPr>
                <w:rFonts w:cstheme="majorHAnsi"/>
                <w:sz w:val="20"/>
                <w:szCs w:val="20"/>
              </w:rPr>
              <w:t xml:space="preserve"> </w:t>
            </w:r>
            <w:r w:rsidRPr="00C629B0">
              <w:rPr>
                <w:rFonts w:cstheme="majorHAnsi"/>
                <w:sz w:val="20"/>
                <w:szCs w:val="20"/>
              </w:rPr>
              <w:t>Information required by any item or other requirement of Form 10-K with respect to any foreign subsidiary, exclusive of financial statements or financial statement schedules, may be omitted if inclusion of such information would be determined to be detrimental to th</w:t>
            </w:r>
            <w:r w:rsidR="005651D0" w:rsidRPr="00C629B0">
              <w:rPr>
                <w:rFonts w:cstheme="majorHAnsi"/>
                <w:sz w:val="20"/>
                <w:szCs w:val="20"/>
              </w:rPr>
              <w:t xml:space="preserve">e registrant. </w:t>
            </w:r>
            <w:r w:rsidRPr="00C629B0">
              <w:rPr>
                <w:rFonts w:cstheme="majorHAnsi"/>
                <w:sz w:val="20"/>
                <w:szCs w:val="20"/>
              </w:rPr>
              <w:t>A statement should be made if such information is omitted, and the names of the subsidiaries involved s</w:t>
            </w:r>
            <w:r w:rsidR="005651D0" w:rsidRPr="00C629B0">
              <w:rPr>
                <w:rFonts w:cstheme="majorHAnsi"/>
                <w:sz w:val="20"/>
                <w:szCs w:val="20"/>
              </w:rPr>
              <w:t xml:space="preserve">hould be furnished to the SEC. </w:t>
            </w:r>
            <w:r w:rsidRPr="00C629B0">
              <w:rPr>
                <w:rFonts w:cstheme="majorHAnsi"/>
                <w:sz w:val="20"/>
                <w:szCs w:val="20"/>
              </w:rPr>
              <w:t>[See Form 10-K, General Instruction E.]</w:t>
            </w:r>
          </w:p>
        </w:tc>
        <w:tc>
          <w:tcPr>
            <w:tcW w:w="292" w:type="dxa"/>
          </w:tcPr>
          <w:p w14:paraId="364D5E23"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bottom w:val="single" w:sz="4" w:space="0" w:color="auto"/>
            </w:tcBorders>
          </w:tcPr>
          <w:p w14:paraId="512145E5"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483529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4" w:space="0" w:color="auto"/>
              <w:bottom w:val="single" w:sz="6" w:space="0" w:color="auto"/>
            </w:tcBorders>
          </w:tcPr>
          <w:p w14:paraId="3D0409A7"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7B3C7699" w14:textId="77777777" w:rsidTr="009D0AAD">
        <w:tc>
          <w:tcPr>
            <w:tcW w:w="6279" w:type="dxa"/>
          </w:tcPr>
          <w:p w14:paraId="2EF5F4CA" w14:textId="4BE74239" w:rsidR="00853832" w:rsidRPr="00C629B0" w:rsidRDefault="3A79A23B" w:rsidP="061E52B3">
            <w:pPr>
              <w:pStyle w:val="levela"/>
              <w:tabs>
                <w:tab w:val="clear" w:pos="576"/>
              </w:tabs>
              <w:spacing w:before="120" w:after="120" w:line="240" w:lineRule="atLeast"/>
              <w:ind w:left="250" w:hanging="250"/>
              <w:rPr>
                <w:rFonts w:cstheme="majorBidi"/>
                <w:b/>
                <w:bCs/>
                <w:sz w:val="20"/>
                <w:szCs w:val="20"/>
              </w:rPr>
            </w:pPr>
            <w:r w:rsidRPr="74E5BC7A">
              <w:rPr>
                <w:rFonts w:cstheme="majorBidi"/>
                <w:sz w:val="20"/>
                <w:szCs w:val="20"/>
              </w:rPr>
              <w:t>8.</w:t>
            </w:r>
            <w:r w:rsidR="00853832">
              <w:tab/>
            </w:r>
            <w:r w:rsidRPr="74E5BC7A">
              <w:rPr>
                <w:rFonts w:cstheme="majorBidi"/>
                <w:b/>
                <w:bCs/>
                <w:sz w:val="20"/>
                <w:szCs w:val="20"/>
              </w:rPr>
              <w:t>Omission of Information by Certain Wholly Owned Subsidiaries.</w:t>
            </w:r>
            <w:r w:rsidR="005651D0" w:rsidRPr="74E5BC7A">
              <w:rPr>
                <w:rFonts w:cstheme="majorBidi"/>
                <w:sz w:val="20"/>
                <w:szCs w:val="20"/>
              </w:rPr>
              <w:t xml:space="preserve"> </w:t>
            </w:r>
            <w:r w:rsidRPr="74E5BC7A">
              <w:rPr>
                <w:rFonts w:cstheme="majorBidi"/>
                <w:sz w:val="20"/>
                <w:szCs w:val="20"/>
              </w:rPr>
              <w:t xml:space="preserve">If all of the following conditions are met on the date of the filing of the Form 10-K, a registrant may omit </w:t>
            </w:r>
            <w:r w:rsidR="005651D0" w:rsidRPr="74E5BC7A">
              <w:rPr>
                <w:rFonts w:cstheme="majorBidi"/>
                <w:sz w:val="20"/>
                <w:szCs w:val="20"/>
              </w:rPr>
              <w:t xml:space="preserve">Item 7, </w:t>
            </w:r>
            <w:r w:rsidRPr="74E5BC7A">
              <w:rPr>
                <w:rFonts w:cstheme="majorBidi"/>
                <w:sz w:val="20"/>
                <w:szCs w:val="20"/>
              </w:rPr>
              <w:t>“Management’s Discussion and Analysis of Financial Condition and Results of Operations,” provided that it includes in the Form 10-K a management’s narrative analysis of the results of operations explaining the reasons for material changes in revenues</w:t>
            </w:r>
            <w:r w:rsidR="359B6183" w:rsidRPr="74E5BC7A">
              <w:rPr>
                <w:rFonts w:cstheme="majorBidi"/>
                <w:sz w:val="20"/>
                <w:szCs w:val="20"/>
              </w:rPr>
              <w:t xml:space="preserve"> and </w:t>
            </w:r>
            <w:r w:rsidRPr="74E5BC7A">
              <w:rPr>
                <w:rFonts w:cstheme="majorBidi"/>
                <w:sz w:val="20"/>
                <w:szCs w:val="20"/>
              </w:rPr>
              <w:t xml:space="preserve">expenses between the most recent fiscal year presented and the fiscal year immediately preceding it, including the effect of any changes in accounting principles and practices or method of application that have a </w:t>
            </w:r>
            <w:r w:rsidR="005651D0" w:rsidRPr="74E5BC7A">
              <w:rPr>
                <w:rFonts w:cstheme="majorBidi"/>
                <w:sz w:val="20"/>
                <w:szCs w:val="20"/>
              </w:rPr>
              <w:t xml:space="preserve">material effect on net income. </w:t>
            </w:r>
            <w:r w:rsidRPr="74E5BC7A">
              <w:rPr>
                <w:rFonts w:cstheme="majorBidi"/>
                <w:sz w:val="20"/>
                <w:szCs w:val="20"/>
              </w:rPr>
              <w:t>Explanations of material changes should include, but are not limited to, changes in the various elements which determine revenue and expense levels, such as unit sales volume, prices charged and paid, production levels, production cost variances, labor cost</w:t>
            </w:r>
            <w:r w:rsidR="005651D0" w:rsidRPr="74E5BC7A">
              <w:rPr>
                <w:rFonts w:cstheme="majorBidi"/>
                <w:sz w:val="20"/>
                <w:szCs w:val="20"/>
              </w:rPr>
              <w:t xml:space="preserve">s, and discretionary spending. </w:t>
            </w:r>
            <w:r w:rsidRPr="74E5BC7A">
              <w:rPr>
                <w:rFonts w:cstheme="majorBidi"/>
                <w:sz w:val="20"/>
                <w:szCs w:val="20"/>
              </w:rPr>
              <w:t xml:space="preserve">Further, registrants meeting all of the requirements below may omit a number of other Items of Form 10-K, including Items 10, 11, 12, and 13, and the List of Subsidiaries exhibit (Exhibit 21) required by Item 601 of Regulation S-K and furnish only brief responses </w:t>
            </w:r>
            <w:r w:rsidR="00886A80" w:rsidRPr="74E5BC7A">
              <w:rPr>
                <w:rFonts w:cstheme="majorBidi"/>
                <w:sz w:val="20"/>
                <w:szCs w:val="20"/>
              </w:rPr>
              <w:t xml:space="preserve">to Items 1 and 2 of Form 10-K. </w:t>
            </w:r>
            <w:r w:rsidRPr="74E5BC7A">
              <w:rPr>
                <w:rFonts w:cstheme="majorBidi"/>
                <w:sz w:val="20"/>
                <w:szCs w:val="20"/>
              </w:rPr>
              <w:t>See Form 10-K, General Instruction I.</w:t>
            </w:r>
          </w:p>
        </w:tc>
        <w:tc>
          <w:tcPr>
            <w:tcW w:w="292" w:type="dxa"/>
          </w:tcPr>
          <w:p w14:paraId="2CBCC34C"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4" w:space="0" w:color="auto"/>
            </w:tcBorders>
          </w:tcPr>
          <w:p w14:paraId="609D133F"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04F8538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tcBorders>
          </w:tcPr>
          <w:p w14:paraId="45A8E3EB"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3A0AA897" w14:textId="77777777" w:rsidTr="005D7549">
        <w:tc>
          <w:tcPr>
            <w:tcW w:w="6279" w:type="dxa"/>
          </w:tcPr>
          <w:p w14:paraId="599ECFAE" w14:textId="09C196A4" w:rsidR="00853832" w:rsidRPr="00C629B0" w:rsidRDefault="00853832" w:rsidP="00C629B0">
            <w:pPr>
              <w:pStyle w:val="levelb"/>
              <w:tabs>
                <w:tab w:val="clear" w:pos="576"/>
                <w:tab w:val="clear" w:pos="1152"/>
              </w:tabs>
              <w:spacing w:before="120" w:after="120" w:line="240" w:lineRule="atLeast"/>
              <w:ind w:left="520" w:hanging="234"/>
              <w:rPr>
                <w:rFonts w:cstheme="majorHAnsi"/>
                <w:b/>
                <w:sz w:val="20"/>
                <w:szCs w:val="20"/>
              </w:rPr>
            </w:pPr>
            <w:r w:rsidRPr="00C629B0">
              <w:rPr>
                <w:rFonts w:cstheme="majorHAnsi"/>
                <w:sz w:val="20"/>
                <w:szCs w:val="20"/>
              </w:rPr>
              <w:t>a.</w:t>
            </w:r>
            <w:r w:rsidRPr="00C629B0">
              <w:rPr>
                <w:rFonts w:cstheme="majorHAnsi"/>
                <w:sz w:val="20"/>
                <w:szCs w:val="20"/>
              </w:rPr>
              <w:tab/>
              <w:t>All of the registrant’s equity securities are owned directly or indirectly by a single entity, which is itself a reporting company under the Exchange Act and has fulfilled its Exchange Act filing requirements, and which is named in the registrant’s description of its business</w:t>
            </w:r>
            <w:r w:rsidR="005651D0" w:rsidRPr="00C629B0">
              <w:rPr>
                <w:rFonts w:cstheme="majorHAnsi"/>
                <w:sz w:val="20"/>
                <w:szCs w:val="20"/>
              </w:rPr>
              <w:t>.</w:t>
            </w:r>
          </w:p>
        </w:tc>
        <w:tc>
          <w:tcPr>
            <w:tcW w:w="292" w:type="dxa"/>
          </w:tcPr>
          <w:p w14:paraId="3C92290B" w14:textId="77777777" w:rsidR="00853832" w:rsidRPr="00C629B0" w:rsidRDefault="00853832" w:rsidP="00C629B0">
            <w:pPr>
              <w:pStyle w:val="levela"/>
              <w:spacing w:before="120" w:after="120" w:line="240" w:lineRule="atLeast"/>
              <w:rPr>
                <w:rFonts w:cstheme="majorHAnsi"/>
                <w:sz w:val="20"/>
                <w:szCs w:val="20"/>
              </w:rPr>
            </w:pPr>
          </w:p>
        </w:tc>
        <w:tc>
          <w:tcPr>
            <w:tcW w:w="1152" w:type="dxa"/>
          </w:tcPr>
          <w:p w14:paraId="4E3D54E0"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21EDF2F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Pr>
          <w:p w14:paraId="408E9C30"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1BC8800F" w14:textId="77777777" w:rsidTr="005D7549">
        <w:tc>
          <w:tcPr>
            <w:tcW w:w="6279" w:type="dxa"/>
          </w:tcPr>
          <w:p w14:paraId="45F289D0" w14:textId="62BCB791" w:rsidR="00853832" w:rsidRPr="00C629B0" w:rsidRDefault="00853832" w:rsidP="00C629B0">
            <w:pPr>
              <w:pStyle w:val="levelb"/>
              <w:tabs>
                <w:tab w:val="clear" w:pos="576"/>
                <w:tab w:val="clear" w:pos="1152"/>
              </w:tabs>
              <w:spacing w:before="120" w:after="120" w:line="240" w:lineRule="atLeast"/>
              <w:ind w:left="520" w:hanging="234"/>
              <w:rPr>
                <w:rFonts w:cstheme="majorHAnsi"/>
                <w:b/>
                <w:sz w:val="20"/>
                <w:szCs w:val="20"/>
              </w:rPr>
            </w:pPr>
            <w:r w:rsidRPr="00C629B0">
              <w:rPr>
                <w:rFonts w:cstheme="majorHAnsi"/>
                <w:sz w:val="20"/>
                <w:szCs w:val="20"/>
              </w:rPr>
              <w:t>b.</w:t>
            </w:r>
            <w:r w:rsidRPr="00C629B0">
              <w:rPr>
                <w:rFonts w:cstheme="majorHAnsi"/>
                <w:sz w:val="20"/>
                <w:szCs w:val="20"/>
              </w:rPr>
              <w:tab/>
              <w:t>During the preceding 36 months (and any subsequent period of days), there has not been any material default in (1) any indebtedness of the registrant or its subsidiaries (which was not cured within 30 days) and (2) the payment of rentals under material long-term leases</w:t>
            </w:r>
            <w:r w:rsidR="005651D0" w:rsidRPr="00C629B0">
              <w:rPr>
                <w:rFonts w:cstheme="majorHAnsi"/>
                <w:sz w:val="20"/>
                <w:szCs w:val="20"/>
              </w:rPr>
              <w:t>.</w:t>
            </w:r>
          </w:p>
        </w:tc>
        <w:tc>
          <w:tcPr>
            <w:tcW w:w="292" w:type="dxa"/>
          </w:tcPr>
          <w:p w14:paraId="049DCC0E"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tcBorders>
          </w:tcPr>
          <w:p w14:paraId="34A9E03F"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740C9C56"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tcBorders>
          </w:tcPr>
          <w:p w14:paraId="22D68C13"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1CC8F49F" w14:textId="77777777" w:rsidTr="005D7549">
        <w:tc>
          <w:tcPr>
            <w:tcW w:w="6279" w:type="dxa"/>
          </w:tcPr>
          <w:p w14:paraId="75E57A0A" w14:textId="77777777"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c.</w:t>
            </w:r>
            <w:r w:rsidRPr="00C629B0">
              <w:rPr>
                <w:rFonts w:cstheme="majorHAnsi"/>
                <w:sz w:val="20"/>
                <w:szCs w:val="20"/>
              </w:rPr>
              <w:tab/>
              <w:t>The cover page of Form 10-K states that the registrant meets the above conditions and is therefore filing this Form with the reduced disclosure format.</w:t>
            </w:r>
          </w:p>
        </w:tc>
        <w:tc>
          <w:tcPr>
            <w:tcW w:w="292" w:type="dxa"/>
          </w:tcPr>
          <w:p w14:paraId="7F87D37B"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18C90DA6"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741D456F"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21FDB301"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4338D62B" w14:textId="77777777" w:rsidTr="005D7549">
        <w:tc>
          <w:tcPr>
            <w:tcW w:w="6279" w:type="dxa"/>
          </w:tcPr>
          <w:p w14:paraId="645D47A2" w14:textId="77777777" w:rsidR="00853832" w:rsidRPr="00C629B0" w:rsidRDefault="00853832" w:rsidP="00C629B0">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lastRenderedPageBreak/>
              <w:t>d.</w:t>
            </w:r>
            <w:r w:rsidRPr="00C629B0">
              <w:rPr>
                <w:rFonts w:cstheme="majorHAnsi"/>
                <w:sz w:val="20"/>
                <w:szCs w:val="20"/>
              </w:rPr>
              <w:tab/>
              <w:t>The registrant is not an asset-backed issuer (as defined in Item 1101 of Regulation AB).</w:t>
            </w:r>
          </w:p>
        </w:tc>
        <w:tc>
          <w:tcPr>
            <w:tcW w:w="292" w:type="dxa"/>
          </w:tcPr>
          <w:p w14:paraId="699203D1"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21A94D55"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770878A3"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1B08FF5A"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6C59BDEC" w14:textId="77777777" w:rsidTr="005D7549">
        <w:tc>
          <w:tcPr>
            <w:tcW w:w="6279" w:type="dxa"/>
          </w:tcPr>
          <w:p w14:paraId="767D0B7B" w14:textId="77777777" w:rsidR="00853832" w:rsidRPr="00C629B0" w:rsidDel="00F51390" w:rsidRDefault="00853832" w:rsidP="00C629B0">
            <w:pPr>
              <w:pStyle w:val="levela"/>
              <w:tabs>
                <w:tab w:val="clear" w:pos="576"/>
              </w:tabs>
              <w:spacing w:before="120" w:after="120" w:line="240" w:lineRule="atLeast"/>
              <w:ind w:left="250" w:hanging="250"/>
              <w:rPr>
                <w:rFonts w:cstheme="majorHAnsi"/>
                <w:sz w:val="20"/>
                <w:szCs w:val="20"/>
              </w:rPr>
            </w:pPr>
            <w:r w:rsidRPr="00C629B0">
              <w:rPr>
                <w:rFonts w:cstheme="majorHAnsi"/>
                <w:sz w:val="20"/>
                <w:szCs w:val="20"/>
              </w:rPr>
              <w:t>9.</w:t>
            </w:r>
            <w:r w:rsidRPr="00C629B0">
              <w:rPr>
                <w:rFonts w:cstheme="majorHAnsi"/>
                <w:b/>
                <w:sz w:val="20"/>
                <w:szCs w:val="20"/>
              </w:rPr>
              <w:tab/>
              <w:t xml:space="preserve">Use of this Form by Asset-Backed Issuers </w:t>
            </w:r>
            <w:r w:rsidRPr="00C629B0">
              <w:rPr>
                <w:rFonts w:cstheme="majorHAnsi"/>
                <w:sz w:val="20"/>
                <w:szCs w:val="20"/>
              </w:rPr>
              <w:t>— The following applies only to registrants that are asset-backed issuers</w:t>
            </w:r>
            <w:r w:rsidR="00FC726E" w:rsidRPr="00C629B0">
              <w:rPr>
                <w:rFonts w:cstheme="majorHAnsi"/>
                <w:sz w:val="20"/>
                <w:szCs w:val="20"/>
              </w:rPr>
              <w:t xml:space="preserve"> (Item 1100 of Regulation S-K)</w:t>
            </w:r>
            <w:r w:rsidRPr="00C629B0">
              <w:rPr>
                <w:rFonts w:cstheme="majorHAnsi"/>
                <w:sz w:val="20"/>
                <w:szCs w:val="20"/>
              </w:rPr>
              <w:t>:</w:t>
            </w:r>
          </w:p>
        </w:tc>
        <w:tc>
          <w:tcPr>
            <w:tcW w:w="292" w:type="dxa"/>
          </w:tcPr>
          <w:p w14:paraId="362E620C"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tcBorders>
          </w:tcPr>
          <w:p w14:paraId="2C7443A6"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0353F041"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tcBorders>
          </w:tcPr>
          <w:p w14:paraId="4634A2E3"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4D1EC381" w14:textId="77777777" w:rsidTr="005D7549">
        <w:tc>
          <w:tcPr>
            <w:tcW w:w="6279" w:type="dxa"/>
          </w:tcPr>
          <w:p w14:paraId="49D80750" w14:textId="77777777" w:rsidR="00853832" w:rsidRPr="00C629B0" w:rsidDel="00F51390" w:rsidRDefault="00853832" w:rsidP="00C629B0">
            <w:pPr>
              <w:pStyle w:val="levelb"/>
              <w:tabs>
                <w:tab w:val="clear" w:pos="576"/>
                <w:tab w:val="clear" w:pos="1152"/>
              </w:tabs>
              <w:spacing w:before="120" w:after="120" w:line="240" w:lineRule="atLeast"/>
              <w:ind w:left="610" w:hanging="324"/>
              <w:rPr>
                <w:rFonts w:cstheme="majorHAnsi"/>
                <w:b/>
                <w:i/>
                <w:sz w:val="20"/>
                <w:szCs w:val="20"/>
              </w:rPr>
            </w:pPr>
            <w:r w:rsidRPr="00C629B0">
              <w:rPr>
                <w:rFonts w:cstheme="majorHAnsi"/>
                <w:b/>
                <w:i/>
                <w:sz w:val="20"/>
                <w:szCs w:val="20"/>
              </w:rPr>
              <w:t>Items That May Be Omitted</w:t>
            </w:r>
          </w:p>
        </w:tc>
        <w:tc>
          <w:tcPr>
            <w:tcW w:w="292" w:type="dxa"/>
          </w:tcPr>
          <w:p w14:paraId="7F9D5636"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Pr>
          <w:p w14:paraId="520140C4"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151E6F74"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Pr>
          <w:p w14:paraId="4BA67D39"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04431A01" w14:textId="77777777" w:rsidTr="005D7549">
        <w:tc>
          <w:tcPr>
            <w:tcW w:w="6279" w:type="dxa"/>
          </w:tcPr>
          <w:p w14:paraId="303F16DD" w14:textId="31A16BCF"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a.</w:t>
            </w:r>
            <w:r w:rsidRPr="00C629B0">
              <w:rPr>
                <w:rFonts w:cstheme="majorHAnsi"/>
                <w:sz w:val="20"/>
                <w:szCs w:val="20"/>
              </w:rPr>
              <w:tab/>
              <w:t>Items 1, 1A, 2, 3, 5, 7, 7A, 8, 9, 9A, 14</w:t>
            </w:r>
            <w:r w:rsidR="006F4AAD" w:rsidRPr="00C629B0">
              <w:rPr>
                <w:rFonts w:cstheme="majorHAnsi"/>
                <w:sz w:val="20"/>
                <w:szCs w:val="20"/>
              </w:rPr>
              <w:t>.</w:t>
            </w:r>
          </w:p>
        </w:tc>
        <w:tc>
          <w:tcPr>
            <w:tcW w:w="292" w:type="dxa"/>
          </w:tcPr>
          <w:p w14:paraId="7F5CDE71"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bottom w:val="single" w:sz="6" w:space="0" w:color="auto"/>
            </w:tcBorders>
          </w:tcPr>
          <w:p w14:paraId="28CEA42A"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1A7CB6B4"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bottom w:val="single" w:sz="6" w:space="0" w:color="auto"/>
            </w:tcBorders>
          </w:tcPr>
          <w:p w14:paraId="3D79C9E5"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27BC8B9E" w14:textId="77777777" w:rsidTr="005D7549">
        <w:tc>
          <w:tcPr>
            <w:tcW w:w="6279" w:type="dxa"/>
          </w:tcPr>
          <w:p w14:paraId="1D495A9A" w14:textId="77777777"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b.</w:t>
            </w:r>
            <w:r w:rsidRPr="00C629B0">
              <w:rPr>
                <w:rFonts w:cstheme="majorHAnsi"/>
                <w:sz w:val="20"/>
                <w:szCs w:val="20"/>
              </w:rPr>
              <w:tab/>
              <w:t>If the issuer does not have any executive officers or directors, then Items 10, 11, 12, and 13 may also be omitted.</w:t>
            </w:r>
          </w:p>
        </w:tc>
        <w:tc>
          <w:tcPr>
            <w:tcW w:w="292" w:type="dxa"/>
          </w:tcPr>
          <w:p w14:paraId="22258F4D"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15F75025"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4BCA66BE"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2ED475EB"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72F521ED" w14:textId="77777777" w:rsidTr="005D7549">
        <w:tc>
          <w:tcPr>
            <w:tcW w:w="6279" w:type="dxa"/>
          </w:tcPr>
          <w:p w14:paraId="0744FEAC" w14:textId="77777777" w:rsidR="00853832" w:rsidRPr="00C629B0" w:rsidDel="00F51390" w:rsidRDefault="00853832" w:rsidP="00C629B0">
            <w:pPr>
              <w:pStyle w:val="levelb"/>
              <w:tabs>
                <w:tab w:val="clear" w:pos="576"/>
                <w:tab w:val="clear" w:pos="1152"/>
              </w:tabs>
              <w:spacing w:before="120" w:after="120" w:line="240" w:lineRule="atLeast"/>
              <w:ind w:left="250" w:hanging="259"/>
              <w:rPr>
                <w:rFonts w:cstheme="majorHAnsi"/>
                <w:b/>
                <w:sz w:val="20"/>
                <w:szCs w:val="20"/>
              </w:rPr>
            </w:pPr>
            <w:r w:rsidRPr="00C629B0">
              <w:rPr>
                <w:rFonts w:cstheme="majorHAnsi"/>
                <w:b/>
                <w:i/>
                <w:sz w:val="20"/>
                <w:szCs w:val="20"/>
              </w:rPr>
              <w:tab/>
              <w:t xml:space="preserve">Substitute Information to Be Included </w:t>
            </w:r>
            <w:r w:rsidRPr="00C629B0">
              <w:rPr>
                <w:rFonts w:cstheme="majorHAnsi"/>
                <w:i/>
                <w:sz w:val="20"/>
                <w:szCs w:val="20"/>
              </w:rPr>
              <w:t xml:space="preserve">— </w:t>
            </w:r>
            <w:r w:rsidRPr="00C629B0">
              <w:rPr>
                <w:rFonts w:cstheme="majorHAnsi"/>
                <w:sz w:val="20"/>
                <w:szCs w:val="20"/>
              </w:rPr>
              <w:t>In addition to the Items that are otherwise required by Form 10-K, the registrant must also furnish in the Form 10-K the following information:</w:t>
            </w:r>
          </w:p>
        </w:tc>
        <w:tc>
          <w:tcPr>
            <w:tcW w:w="292" w:type="dxa"/>
          </w:tcPr>
          <w:p w14:paraId="7CEAD0E4"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tcBorders>
          </w:tcPr>
          <w:p w14:paraId="575CB4CF"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1A915E51"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tcBorders>
          </w:tcPr>
          <w:p w14:paraId="55DBF93B"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5C871C1F" w14:textId="77777777" w:rsidTr="005D7549">
        <w:tc>
          <w:tcPr>
            <w:tcW w:w="6279" w:type="dxa"/>
          </w:tcPr>
          <w:p w14:paraId="4123649A" w14:textId="1B8858C2"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a.</w:t>
            </w:r>
            <w:r w:rsidRPr="00C629B0">
              <w:rPr>
                <w:rFonts w:cstheme="majorHAnsi"/>
                <w:sz w:val="20"/>
                <w:szCs w:val="20"/>
              </w:rPr>
              <w:tab/>
              <w:t>Immediately after the name of the issuing entity on the cover page, as separate line items, the exact names of the depositor and of the sponsor (as specified in its charter)</w:t>
            </w:r>
            <w:r w:rsidR="005651D0" w:rsidRPr="00C629B0">
              <w:rPr>
                <w:rFonts w:cstheme="majorHAnsi"/>
                <w:sz w:val="20"/>
                <w:szCs w:val="20"/>
              </w:rPr>
              <w:t>.</w:t>
            </w:r>
            <w:r w:rsidR="00031B02">
              <w:rPr>
                <w:rFonts w:cstheme="majorHAnsi"/>
                <w:sz w:val="20"/>
                <w:szCs w:val="20"/>
              </w:rPr>
              <w:t xml:space="preserve"> </w:t>
            </w:r>
            <w:r w:rsidR="00031B02" w:rsidRPr="000C0D0D">
              <w:rPr>
                <w:rFonts w:cstheme="majorHAnsi"/>
                <w:sz w:val="20"/>
                <w:szCs w:val="20"/>
              </w:rPr>
              <w:t>Include a Central Index Key number for the depositor and the issuing entity, and if available, the sponsor.</w:t>
            </w:r>
          </w:p>
        </w:tc>
        <w:tc>
          <w:tcPr>
            <w:tcW w:w="292" w:type="dxa"/>
          </w:tcPr>
          <w:p w14:paraId="05D74A2E"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bottom w:val="single" w:sz="4" w:space="0" w:color="auto"/>
            </w:tcBorders>
          </w:tcPr>
          <w:p w14:paraId="2F457F35"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182DEC72"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bottom w:val="single" w:sz="4" w:space="0" w:color="auto"/>
            </w:tcBorders>
          </w:tcPr>
          <w:p w14:paraId="34D4A33D"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7A2E01F6" w14:textId="77777777" w:rsidTr="005D7549">
        <w:tc>
          <w:tcPr>
            <w:tcW w:w="6279" w:type="dxa"/>
          </w:tcPr>
          <w:p w14:paraId="464EBD9C" w14:textId="7B76268B"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i/>
                <w:sz w:val="20"/>
                <w:szCs w:val="20"/>
              </w:rPr>
            </w:pPr>
            <w:r w:rsidRPr="00C629B0">
              <w:rPr>
                <w:rFonts w:cstheme="majorHAnsi"/>
                <w:sz w:val="20"/>
                <w:szCs w:val="20"/>
              </w:rPr>
              <w:t>b.</w:t>
            </w:r>
            <w:r w:rsidRPr="00C629B0">
              <w:rPr>
                <w:rFonts w:cstheme="majorHAnsi"/>
                <w:sz w:val="20"/>
                <w:szCs w:val="20"/>
              </w:rPr>
              <w:tab/>
              <w:t>Item 1112(b), “Financial Information,” of Regulation AB</w:t>
            </w:r>
            <w:r w:rsidR="005651D0" w:rsidRPr="00C629B0">
              <w:rPr>
                <w:rFonts w:cstheme="majorHAnsi"/>
                <w:sz w:val="20"/>
                <w:szCs w:val="20"/>
              </w:rPr>
              <w:t>.</w:t>
            </w:r>
          </w:p>
        </w:tc>
        <w:tc>
          <w:tcPr>
            <w:tcW w:w="292" w:type="dxa"/>
          </w:tcPr>
          <w:p w14:paraId="55CCD62C"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4" w:space="0" w:color="auto"/>
              <w:bottom w:val="single" w:sz="6" w:space="0" w:color="auto"/>
            </w:tcBorders>
          </w:tcPr>
          <w:p w14:paraId="2E414148"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18724532"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4" w:space="0" w:color="auto"/>
              <w:bottom w:val="single" w:sz="6" w:space="0" w:color="auto"/>
            </w:tcBorders>
          </w:tcPr>
          <w:p w14:paraId="72D54110"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51BD2BC0" w14:textId="77777777" w:rsidTr="005D7549">
        <w:tc>
          <w:tcPr>
            <w:tcW w:w="6279" w:type="dxa"/>
          </w:tcPr>
          <w:p w14:paraId="520E4402" w14:textId="7EB1A072"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i/>
                <w:sz w:val="20"/>
                <w:szCs w:val="20"/>
              </w:rPr>
            </w:pPr>
            <w:r w:rsidRPr="00C629B0">
              <w:rPr>
                <w:rFonts w:cstheme="majorHAnsi"/>
                <w:sz w:val="20"/>
                <w:szCs w:val="20"/>
              </w:rPr>
              <w:t>c.</w:t>
            </w:r>
            <w:r w:rsidRPr="00C629B0">
              <w:rPr>
                <w:rFonts w:cstheme="majorHAnsi"/>
                <w:sz w:val="20"/>
                <w:szCs w:val="20"/>
              </w:rPr>
              <w:tab/>
              <w:t>Item 1114(b)(2) and 1115(b), “Financial Information,” of Regulation AB</w:t>
            </w:r>
            <w:r w:rsidR="005651D0" w:rsidRPr="00C629B0">
              <w:rPr>
                <w:rFonts w:cstheme="majorHAnsi"/>
                <w:sz w:val="20"/>
                <w:szCs w:val="20"/>
              </w:rPr>
              <w:t>.</w:t>
            </w:r>
          </w:p>
        </w:tc>
        <w:tc>
          <w:tcPr>
            <w:tcW w:w="292" w:type="dxa"/>
          </w:tcPr>
          <w:p w14:paraId="0853F47F"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17D7519B"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3A6253E4"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69392E96"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47FDDF6F" w14:textId="77777777" w:rsidTr="005D7549">
        <w:tc>
          <w:tcPr>
            <w:tcW w:w="6279" w:type="dxa"/>
          </w:tcPr>
          <w:p w14:paraId="614436DF" w14:textId="7F6542A6"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i/>
                <w:sz w:val="20"/>
                <w:szCs w:val="20"/>
              </w:rPr>
            </w:pPr>
            <w:r w:rsidRPr="00C629B0">
              <w:rPr>
                <w:rFonts w:cstheme="majorHAnsi"/>
                <w:sz w:val="20"/>
                <w:szCs w:val="20"/>
              </w:rPr>
              <w:t>d.</w:t>
            </w:r>
            <w:r w:rsidRPr="00C629B0">
              <w:rPr>
                <w:rFonts w:cstheme="majorHAnsi"/>
                <w:sz w:val="20"/>
                <w:szCs w:val="20"/>
              </w:rPr>
              <w:tab/>
              <w:t>Item 1117, “Legal Proceedings,” of Regulation AB</w:t>
            </w:r>
            <w:r w:rsidR="005651D0" w:rsidRPr="00C629B0">
              <w:rPr>
                <w:rFonts w:cstheme="majorHAnsi"/>
                <w:sz w:val="20"/>
                <w:szCs w:val="20"/>
              </w:rPr>
              <w:t>.</w:t>
            </w:r>
          </w:p>
        </w:tc>
        <w:tc>
          <w:tcPr>
            <w:tcW w:w="292" w:type="dxa"/>
          </w:tcPr>
          <w:p w14:paraId="10F9E5DA"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5DF391B1"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642927AA"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19E381F9"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30387CB3" w14:textId="77777777" w:rsidTr="005D7549">
        <w:tc>
          <w:tcPr>
            <w:tcW w:w="6279" w:type="dxa"/>
          </w:tcPr>
          <w:p w14:paraId="71718514" w14:textId="6ABAE9A4"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i/>
                <w:sz w:val="20"/>
                <w:szCs w:val="20"/>
              </w:rPr>
            </w:pPr>
            <w:r w:rsidRPr="00C629B0">
              <w:rPr>
                <w:rFonts w:cstheme="majorHAnsi"/>
                <w:sz w:val="20"/>
                <w:szCs w:val="20"/>
              </w:rPr>
              <w:t>e.</w:t>
            </w:r>
            <w:r w:rsidRPr="00C629B0">
              <w:rPr>
                <w:rFonts w:cstheme="majorHAnsi"/>
                <w:sz w:val="20"/>
                <w:szCs w:val="20"/>
              </w:rPr>
              <w:tab/>
              <w:t>Item 1119, “Affiliations and Certain Relationships and Related Transactions,” of Regulation AB</w:t>
            </w:r>
            <w:r w:rsidR="005651D0" w:rsidRPr="00C629B0">
              <w:rPr>
                <w:rFonts w:cstheme="majorHAnsi"/>
                <w:sz w:val="20"/>
                <w:szCs w:val="20"/>
              </w:rPr>
              <w:t>.</w:t>
            </w:r>
          </w:p>
        </w:tc>
        <w:tc>
          <w:tcPr>
            <w:tcW w:w="292" w:type="dxa"/>
          </w:tcPr>
          <w:p w14:paraId="2B0B55B7"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6CE41449"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04EB2750"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4C4FE607"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6B405365" w14:textId="77777777" w:rsidTr="005D7549">
        <w:tc>
          <w:tcPr>
            <w:tcW w:w="6279" w:type="dxa"/>
          </w:tcPr>
          <w:p w14:paraId="0214B6EC" w14:textId="1FA224DA"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f.</w:t>
            </w:r>
            <w:r w:rsidRPr="00C629B0">
              <w:rPr>
                <w:rFonts w:cstheme="majorHAnsi"/>
                <w:sz w:val="20"/>
                <w:szCs w:val="20"/>
              </w:rPr>
              <w:tab/>
              <w:t>Item 1122, “Compliance with Applicable Service Criteria,” of Regulation AB</w:t>
            </w:r>
            <w:r w:rsidR="005651D0" w:rsidRPr="00C629B0">
              <w:rPr>
                <w:rFonts w:cstheme="majorHAnsi"/>
                <w:sz w:val="20"/>
                <w:szCs w:val="20"/>
              </w:rPr>
              <w:t>.</w:t>
            </w:r>
          </w:p>
        </w:tc>
        <w:tc>
          <w:tcPr>
            <w:tcW w:w="292" w:type="dxa"/>
          </w:tcPr>
          <w:p w14:paraId="6FBA31AE"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5510D806"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023C39AC"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5B7D26A4"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2B2CEAA4" w14:textId="77777777" w:rsidTr="005D7549">
        <w:tc>
          <w:tcPr>
            <w:tcW w:w="6279" w:type="dxa"/>
          </w:tcPr>
          <w:p w14:paraId="1DCC372A" w14:textId="77777777" w:rsidR="00853832" w:rsidRPr="00C629B0" w:rsidDel="00F51390" w:rsidRDefault="00853832" w:rsidP="008458AB">
            <w:pPr>
              <w:pStyle w:val="levelb"/>
              <w:tabs>
                <w:tab w:val="clear" w:pos="576"/>
                <w:tab w:val="clear" w:pos="1152"/>
              </w:tabs>
              <w:spacing w:before="120" w:after="120" w:line="240" w:lineRule="atLeast"/>
              <w:ind w:left="520" w:hanging="234"/>
              <w:rPr>
                <w:rFonts w:cstheme="majorHAnsi"/>
                <w:sz w:val="20"/>
                <w:szCs w:val="20"/>
              </w:rPr>
            </w:pPr>
            <w:r w:rsidRPr="00C629B0">
              <w:rPr>
                <w:rFonts w:cstheme="majorHAnsi"/>
                <w:sz w:val="20"/>
                <w:szCs w:val="20"/>
              </w:rPr>
              <w:t>g.</w:t>
            </w:r>
            <w:r w:rsidRPr="00C629B0">
              <w:rPr>
                <w:rFonts w:cstheme="majorHAnsi"/>
                <w:sz w:val="20"/>
                <w:szCs w:val="20"/>
              </w:rPr>
              <w:tab/>
              <w:t>Item 1123, “Servicer Compliance Statement,” of Regulation AB.</w:t>
            </w:r>
          </w:p>
        </w:tc>
        <w:tc>
          <w:tcPr>
            <w:tcW w:w="292" w:type="dxa"/>
          </w:tcPr>
          <w:p w14:paraId="3E6D0845" w14:textId="77777777" w:rsidR="00853832" w:rsidRPr="00C629B0" w:rsidRDefault="00853832" w:rsidP="00C629B0">
            <w:pPr>
              <w:pStyle w:val="levela"/>
              <w:spacing w:before="120" w:after="120" w:line="240" w:lineRule="atLeast"/>
              <w:rPr>
                <w:rFonts w:cstheme="majorHAnsi"/>
                <w:sz w:val="20"/>
                <w:szCs w:val="20"/>
                <w:highlight w:val="yellow"/>
              </w:rPr>
            </w:pPr>
          </w:p>
        </w:tc>
        <w:tc>
          <w:tcPr>
            <w:tcW w:w="1152" w:type="dxa"/>
            <w:tcBorders>
              <w:top w:val="single" w:sz="6" w:space="0" w:color="auto"/>
              <w:bottom w:val="single" w:sz="6" w:space="0" w:color="auto"/>
            </w:tcBorders>
          </w:tcPr>
          <w:p w14:paraId="77E319E0"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334" w:type="dxa"/>
          </w:tcPr>
          <w:p w14:paraId="5E64AC45" w14:textId="77777777" w:rsidR="00853832" w:rsidRPr="008458AB" w:rsidRDefault="00853832" w:rsidP="00C629B0">
            <w:pPr>
              <w:pStyle w:val="levela"/>
              <w:spacing w:before="120" w:after="120" w:line="240" w:lineRule="atLeast"/>
              <w:rPr>
                <w:rFonts w:cstheme="majorHAnsi"/>
                <w:bCs/>
                <w:sz w:val="20"/>
                <w:szCs w:val="20"/>
                <w:highlight w:val="yellow"/>
              </w:rPr>
            </w:pPr>
          </w:p>
        </w:tc>
        <w:tc>
          <w:tcPr>
            <w:tcW w:w="1303" w:type="dxa"/>
            <w:tcBorders>
              <w:top w:val="single" w:sz="6" w:space="0" w:color="auto"/>
              <w:bottom w:val="single" w:sz="6" w:space="0" w:color="auto"/>
            </w:tcBorders>
          </w:tcPr>
          <w:p w14:paraId="5731C3AF" w14:textId="77777777" w:rsidR="00853832" w:rsidRPr="008458AB" w:rsidRDefault="00853832" w:rsidP="00C629B0">
            <w:pPr>
              <w:pStyle w:val="levela"/>
              <w:spacing w:before="120" w:after="120" w:line="240" w:lineRule="atLeast"/>
              <w:rPr>
                <w:rFonts w:cstheme="majorHAnsi"/>
                <w:bCs/>
                <w:sz w:val="20"/>
                <w:szCs w:val="20"/>
                <w:highlight w:val="yellow"/>
              </w:rPr>
            </w:pPr>
          </w:p>
        </w:tc>
      </w:tr>
      <w:tr w:rsidR="00853832" w:rsidRPr="00C629B0" w14:paraId="0DE35CC8" w14:textId="77777777" w:rsidTr="005D7549">
        <w:tc>
          <w:tcPr>
            <w:tcW w:w="6279" w:type="dxa"/>
          </w:tcPr>
          <w:p w14:paraId="753255CA" w14:textId="202CC2FE" w:rsidR="00853832" w:rsidRPr="00C629B0" w:rsidDel="00F51390" w:rsidRDefault="00853832" w:rsidP="00C629B0">
            <w:pPr>
              <w:pStyle w:val="levelb"/>
              <w:tabs>
                <w:tab w:val="clear" w:pos="576"/>
                <w:tab w:val="clear" w:pos="1152"/>
              </w:tabs>
              <w:spacing w:before="120" w:after="120" w:line="240" w:lineRule="atLeast"/>
              <w:ind w:left="250" w:hanging="259"/>
              <w:rPr>
                <w:rFonts w:cstheme="majorHAnsi"/>
                <w:sz w:val="20"/>
                <w:szCs w:val="20"/>
              </w:rPr>
            </w:pPr>
            <w:r w:rsidRPr="00C629B0">
              <w:rPr>
                <w:rFonts w:cstheme="majorHAnsi"/>
                <w:i/>
                <w:sz w:val="20"/>
                <w:szCs w:val="20"/>
              </w:rPr>
              <w:tab/>
            </w:r>
            <w:r w:rsidRPr="00C629B0">
              <w:rPr>
                <w:rFonts w:cstheme="majorHAnsi"/>
                <w:b/>
                <w:i/>
                <w:sz w:val="20"/>
                <w:szCs w:val="20"/>
              </w:rPr>
              <w:t xml:space="preserve">Signatures </w:t>
            </w:r>
            <w:r w:rsidRPr="00C629B0">
              <w:rPr>
                <w:rFonts w:cstheme="majorHAnsi"/>
                <w:b/>
                <w:sz w:val="20"/>
                <w:szCs w:val="20"/>
              </w:rPr>
              <w:t xml:space="preserve">— </w:t>
            </w:r>
            <w:r w:rsidRPr="00C629B0">
              <w:rPr>
                <w:rFonts w:cstheme="majorHAnsi"/>
                <w:sz w:val="20"/>
                <w:szCs w:val="20"/>
              </w:rPr>
              <w:t>The form must be signed either (a) on behalf of the depositor by the senior officer in charge of securitization of the depositor or (b) on behalf of the issuing entity by the senior officer in charge of the servi</w:t>
            </w:r>
            <w:r w:rsidR="005651D0" w:rsidRPr="00C629B0">
              <w:rPr>
                <w:rFonts w:cstheme="majorHAnsi"/>
                <w:sz w:val="20"/>
                <w:szCs w:val="20"/>
              </w:rPr>
              <w:t xml:space="preserve">cing function of the servicer. </w:t>
            </w:r>
            <w:r w:rsidRPr="00C629B0">
              <w:rPr>
                <w:rFonts w:cstheme="majorHAnsi"/>
                <w:sz w:val="20"/>
                <w:szCs w:val="20"/>
              </w:rPr>
              <w:t>If multiple servicers are involved, the senior officer in charge of the master servicer (or entity performing the equivalent function) must sign.</w:t>
            </w:r>
          </w:p>
        </w:tc>
        <w:tc>
          <w:tcPr>
            <w:tcW w:w="292" w:type="dxa"/>
          </w:tcPr>
          <w:p w14:paraId="271219C6"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bottom w:val="single" w:sz="6" w:space="0" w:color="auto"/>
            </w:tcBorders>
          </w:tcPr>
          <w:p w14:paraId="69559A01" w14:textId="77777777" w:rsidR="00853832" w:rsidRPr="008458AB" w:rsidRDefault="00853832" w:rsidP="00C629B0">
            <w:pPr>
              <w:pStyle w:val="levela"/>
              <w:spacing w:before="120" w:after="120" w:line="240" w:lineRule="atLeast"/>
              <w:rPr>
                <w:rFonts w:cstheme="majorHAnsi"/>
                <w:bCs/>
                <w:sz w:val="20"/>
                <w:szCs w:val="20"/>
              </w:rPr>
            </w:pPr>
          </w:p>
        </w:tc>
        <w:tc>
          <w:tcPr>
            <w:tcW w:w="334" w:type="dxa"/>
          </w:tcPr>
          <w:p w14:paraId="14020CE1"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bottom w:val="single" w:sz="6" w:space="0" w:color="auto"/>
            </w:tcBorders>
          </w:tcPr>
          <w:p w14:paraId="2DB4D886" w14:textId="77777777" w:rsidR="00853832" w:rsidRPr="008458AB" w:rsidRDefault="00853832" w:rsidP="00C629B0">
            <w:pPr>
              <w:pStyle w:val="levela"/>
              <w:spacing w:before="120" w:after="120" w:line="240" w:lineRule="atLeast"/>
              <w:rPr>
                <w:rFonts w:cstheme="majorHAnsi"/>
                <w:bCs/>
                <w:sz w:val="20"/>
                <w:szCs w:val="20"/>
              </w:rPr>
            </w:pPr>
          </w:p>
        </w:tc>
      </w:tr>
      <w:tr w:rsidR="00853832" w:rsidRPr="00C629B0" w14:paraId="08E38728" w14:textId="77777777" w:rsidTr="00CB4DBD">
        <w:trPr>
          <w:cantSplit/>
        </w:trPr>
        <w:tc>
          <w:tcPr>
            <w:tcW w:w="6279" w:type="dxa"/>
            <w:tcBorders>
              <w:bottom w:val="single" w:sz="4" w:space="0" w:color="63666A"/>
            </w:tcBorders>
          </w:tcPr>
          <w:p w14:paraId="666B1ECC" w14:textId="0D284A91" w:rsidR="00853832" w:rsidRPr="00C629B0" w:rsidRDefault="00853832" w:rsidP="00C629B0">
            <w:pPr>
              <w:pStyle w:val="levela"/>
              <w:tabs>
                <w:tab w:val="clear" w:pos="576"/>
              </w:tabs>
              <w:spacing w:before="120" w:after="120" w:line="240" w:lineRule="atLeast"/>
              <w:ind w:left="340" w:hanging="340"/>
              <w:rPr>
                <w:rFonts w:cstheme="majorHAnsi"/>
                <w:i/>
                <w:sz w:val="20"/>
                <w:szCs w:val="20"/>
              </w:rPr>
            </w:pPr>
            <w:r w:rsidRPr="00C629B0">
              <w:rPr>
                <w:rFonts w:cstheme="majorHAnsi"/>
                <w:sz w:val="20"/>
                <w:szCs w:val="20"/>
              </w:rPr>
              <w:lastRenderedPageBreak/>
              <w:t>10.</w:t>
            </w:r>
            <w:r w:rsidRPr="00C629B0">
              <w:rPr>
                <w:rFonts w:cstheme="majorHAnsi"/>
                <w:b/>
                <w:sz w:val="20"/>
                <w:szCs w:val="20"/>
              </w:rPr>
              <w:tab/>
              <w:t>Information as to Employee Stock Purchase, Savings, and Similar Plans</w:t>
            </w:r>
            <w:r w:rsidRPr="00C629B0">
              <w:rPr>
                <w:rFonts w:cstheme="majorHAnsi"/>
                <w:sz w:val="20"/>
                <w:szCs w:val="20"/>
              </w:rPr>
              <w:t xml:space="preserve"> — Attention is directed to Rule 15d-21, which provides that separate annual and other reports need not be filed pursuant to Section 15(d) of the Act with respect to any employee stock purchase, savings, or similar plan if the issuer of the stock or other securities offered to employees pursuant to the plan furnishes to the SEC, as part of its annual report on such form, the financial statements required on Form 11-K with respect to the plan within 120 days after the end of the fis</w:t>
            </w:r>
            <w:r w:rsidR="005651D0" w:rsidRPr="00C629B0">
              <w:rPr>
                <w:rFonts w:cstheme="majorHAnsi"/>
                <w:sz w:val="20"/>
                <w:szCs w:val="20"/>
              </w:rPr>
              <w:t xml:space="preserve">cal year of the plan provided. </w:t>
            </w:r>
            <w:r w:rsidRPr="00C629B0">
              <w:rPr>
                <w:rFonts w:cstheme="majorHAnsi"/>
                <w:sz w:val="20"/>
                <w:szCs w:val="20"/>
              </w:rPr>
              <w:t>If a plan is subject to the Employee Retirement Income Security Act of 1974 and uses the procedure permitted by Rule 15d-21, the financial statements required by Form 11-K shall be filed within 180 days aft</w:t>
            </w:r>
            <w:r w:rsidR="005651D0" w:rsidRPr="00C629B0">
              <w:rPr>
                <w:rFonts w:cstheme="majorHAnsi"/>
                <w:sz w:val="20"/>
                <w:szCs w:val="20"/>
              </w:rPr>
              <w:t xml:space="preserve">er the plan’s fiscal year-end. </w:t>
            </w:r>
            <w:r w:rsidRPr="00C629B0">
              <w:rPr>
                <w:rFonts w:cstheme="majorHAnsi"/>
                <w:sz w:val="20"/>
                <w:szCs w:val="20"/>
              </w:rPr>
              <w:t>See Rule 15d-21 of the Exchange Act Rules.</w:t>
            </w:r>
          </w:p>
        </w:tc>
        <w:tc>
          <w:tcPr>
            <w:tcW w:w="292" w:type="dxa"/>
            <w:tcBorders>
              <w:bottom w:val="single" w:sz="4" w:space="0" w:color="63666A"/>
            </w:tcBorders>
          </w:tcPr>
          <w:p w14:paraId="36897684" w14:textId="77777777" w:rsidR="00853832" w:rsidRPr="00C629B0" w:rsidRDefault="00853832" w:rsidP="00C629B0">
            <w:pPr>
              <w:pStyle w:val="levela"/>
              <w:spacing w:before="120" w:after="120" w:line="240" w:lineRule="atLeast"/>
              <w:rPr>
                <w:rFonts w:cstheme="majorHAnsi"/>
                <w:sz w:val="20"/>
                <w:szCs w:val="20"/>
              </w:rPr>
            </w:pPr>
          </w:p>
        </w:tc>
        <w:tc>
          <w:tcPr>
            <w:tcW w:w="1152" w:type="dxa"/>
            <w:tcBorders>
              <w:top w:val="single" w:sz="6" w:space="0" w:color="auto"/>
              <w:bottom w:val="single" w:sz="4" w:space="0" w:color="63666A"/>
            </w:tcBorders>
          </w:tcPr>
          <w:p w14:paraId="529469D6" w14:textId="77777777" w:rsidR="00853832" w:rsidRPr="008458AB" w:rsidRDefault="00853832" w:rsidP="00C629B0">
            <w:pPr>
              <w:pStyle w:val="levela"/>
              <w:spacing w:before="120" w:after="120" w:line="240" w:lineRule="atLeast"/>
              <w:rPr>
                <w:rFonts w:cstheme="majorHAnsi"/>
                <w:bCs/>
                <w:sz w:val="20"/>
                <w:szCs w:val="20"/>
              </w:rPr>
            </w:pPr>
          </w:p>
        </w:tc>
        <w:tc>
          <w:tcPr>
            <w:tcW w:w="334" w:type="dxa"/>
            <w:tcBorders>
              <w:bottom w:val="single" w:sz="4" w:space="0" w:color="63666A"/>
            </w:tcBorders>
          </w:tcPr>
          <w:p w14:paraId="22AD2650" w14:textId="77777777" w:rsidR="00853832" w:rsidRPr="008458AB" w:rsidRDefault="00853832" w:rsidP="00C629B0">
            <w:pPr>
              <w:pStyle w:val="levela"/>
              <w:spacing w:before="120" w:after="120" w:line="240" w:lineRule="atLeast"/>
              <w:rPr>
                <w:rFonts w:cstheme="majorHAnsi"/>
                <w:bCs/>
                <w:sz w:val="20"/>
                <w:szCs w:val="20"/>
              </w:rPr>
            </w:pPr>
          </w:p>
        </w:tc>
        <w:tc>
          <w:tcPr>
            <w:tcW w:w="1303" w:type="dxa"/>
            <w:tcBorders>
              <w:top w:val="single" w:sz="6" w:space="0" w:color="auto"/>
              <w:bottom w:val="single" w:sz="4" w:space="0" w:color="63666A"/>
            </w:tcBorders>
          </w:tcPr>
          <w:p w14:paraId="67A3904B" w14:textId="77777777" w:rsidR="00853832" w:rsidRPr="008458AB" w:rsidRDefault="00853832" w:rsidP="00C629B0">
            <w:pPr>
              <w:pStyle w:val="levela"/>
              <w:spacing w:before="120" w:after="120" w:line="240" w:lineRule="atLeast"/>
              <w:rPr>
                <w:rFonts w:cstheme="majorHAnsi"/>
                <w:bCs/>
                <w:sz w:val="20"/>
                <w:szCs w:val="20"/>
              </w:rPr>
            </w:pPr>
          </w:p>
        </w:tc>
      </w:tr>
    </w:tbl>
    <w:p w14:paraId="1BC4D151" w14:textId="77777777" w:rsidR="000617CF" w:rsidRPr="00D33019" w:rsidRDefault="000617CF" w:rsidP="00D33019">
      <w:pPr>
        <w:spacing w:line="240" w:lineRule="atLeast"/>
        <w:rPr>
          <w:rFonts w:asciiTheme="majorHAnsi" w:hAnsiTheme="majorHAnsi" w:cstheme="majorHAnsi"/>
          <w:sz w:val="18"/>
          <w:szCs w:val="18"/>
        </w:rPr>
      </w:pPr>
    </w:p>
    <w:tbl>
      <w:tblPr>
        <w:tblW w:w="5000" w:type="pct"/>
        <w:tblLayout w:type="fixed"/>
        <w:tblLook w:val="0000" w:firstRow="0" w:lastRow="0" w:firstColumn="0" w:lastColumn="0" w:noHBand="0" w:noVBand="0"/>
      </w:tblPr>
      <w:tblGrid>
        <w:gridCol w:w="6574"/>
        <w:gridCol w:w="1235"/>
        <w:gridCol w:w="12"/>
        <w:gridCol w:w="236"/>
        <w:gridCol w:w="22"/>
        <w:gridCol w:w="1281"/>
      </w:tblGrid>
      <w:tr w:rsidR="008458AB" w:rsidRPr="008458AB" w14:paraId="50A2470A" w14:textId="77777777" w:rsidTr="00FD5532">
        <w:trPr>
          <w:tblHeader/>
        </w:trPr>
        <w:tc>
          <w:tcPr>
            <w:tcW w:w="6574" w:type="dxa"/>
            <w:vAlign w:val="bottom"/>
          </w:tcPr>
          <w:p w14:paraId="689EC459" w14:textId="77777777" w:rsidR="008458AB" w:rsidRPr="008458AB" w:rsidRDefault="008458AB" w:rsidP="008458AB">
            <w:pPr>
              <w:pStyle w:val="Heading1"/>
              <w:keepNext w:val="0"/>
              <w:keepLines w:val="0"/>
              <w:widowControl w:val="0"/>
              <w:spacing w:before="120" w:after="120" w:line="240" w:lineRule="atLeast"/>
              <w:rPr>
                <w:rFonts w:cstheme="majorHAnsi"/>
                <w:sz w:val="20"/>
                <w:szCs w:val="20"/>
              </w:rPr>
            </w:pPr>
            <w:r w:rsidRPr="008458AB">
              <w:rPr>
                <w:rFonts w:cstheme="majorHAnsi"/>
                <w:sz w:val="20"/>
                <w:szCs w:val="20"/>
              </w:rPr>
              <w:br w:type="page"/>
            </w:r>
          </w:p>
        </w:tc>
        <w:tc>
          <w:tcPr>
            <w:tcW w:w="1235" w:type="dxa"/>
            <w:tcBorders>
              <w:bottom w:val="single" w:sz="6" w:space="0" w:color="auto"/>
            </w:tcBorders>
            <w:vAlign w:val="center"/>
          </w:tcPr>
          <w:p w14:paraId="2DDF85D1" w14:textId="295C9F0C" w:rsidR="008458AB" w:rsidRPr="00293D08" w:rsidRDefault="008458AB" w:rsidP="00623E87">
            <w:pPr>
              <w:pStyle w:val="levela"/>
              <w:widowControl w:val="0"/>
              <w:spacing w:before="120" w:after="120" w:line="240" w:lineRule="atLeast"/>
              <w:ind w:left="0" w:firstLine="0"/>
              <w:jc w:val="center"/>
              <w:rPr>
                <w:rFonts w:cstheme="majorHAnsi"/>
                <w:b/>
                <w:sz w:val="20"/>
                <w:szCs w:val="20"/>
              </w:rPr>
            </w:pPr>
            <w:r w:rsidRPr="00293D08">
              <w:rPr>
                <w:rFonts w:cstheme="majorHAnsi"/>
                <w:b/>
                <w:sz w:val="20"/>
                <w:szCs w:val="20"/>
              </w:rPr>
              <w:t xml:space="preserve">Complied </w:t>
            </w:r>
            <w:r w:rsidR="00623E87">
              <w:rPr>
                <w:rFonts w:cstheme="majorHAnsi"/>
                <w:b/>
                <w:sz w:val="20"/>
                <w:szCs w:val="20"/>
              </w:rPr>
              <w:t>W</w:t>
            </w:r>
            <w:r w:rsidR="00623E87" w:rsidRPr="00293D08">
              <w:rPr>
                <w:rFonts w:cstheme="majorHAnsi"/>
                <w:b/>
                <w:sz w:val="20"/>
                <w:szCs w:val="20"/>
              </w:rPr>
              <w:t>ith</w:t>
            </w:r>
          </w:p>
        </w:tc>
        <w:tc>
          <w:tcPr>
            <w:tcW w:w="270" w:type="dxa"/>
            <w:gridSpan w:val="3"/>
            <w:vAlign w:val="center"/>
          </w:tcPr>
          <w:p w14:paraId="731D6396" w14:textId="77777777" w:rsidR="008458AB" w:rsidRPr="00293D08" w:rsidRDefault="008458AB" w:rsidP="00623E87">
            <w:pPr>
              <w:pStyle w:val="levela"/>
              <w:widowControl w:val="0"/>
              <w:spacing w:before="120" w:after="120" w:line="240" w:lineRule="atLeast"/>
              <w:ind w:left="0" w:firstLine="0"/>
              <w:jc w:val="center"/>
              <w:rPr>
                <w:rFonts w:cstheme="majorHAnsi"/>
                <w:b/>
                <w:sz w:val="20"/>
                <w:szCs w:val="20"/>
              </w:rPr>
            </w:pPr>
          </w:p>
        </w:tc>
        <w:tc>
          <w:tcPr>
            <w:tcW w:w="1281" w:type="dxa"/>
            <w:tcBorders>
              <w:bottom w:val="single" w:sz="6" w:space="0" w:color="auto"/>
            </w:tcBorders>
            <w:vAlign w:val="center"/>
          </w:tcPr>
          <w:p w14:paraId="49826854" w14:textId="77777777" w:rsidR="008458AB" w:rsidRPr="00293D08" w:rsidRDefault="008458AB" w:rsidP="00623E87">
            <w:pPr>
              <w:pStyle w:val="levela"/>
              <w:widowControl w:val="0"/>
              <w:spacing w:before="120" w:after="120" w:line="240" w:lineRule="atLeast"/>
              <w:ind w:left="0" w:firstLine="0"/>
              <w:jc w:val="center"/>
              <w:rPr>
                <w:rFonts w:cstheme="majorHAnsi"/>
                <w:b/>
                <w:sz w:val="20"/>
                <w:szCs w:val="20"/>
              </w:rPr>
            </w:pPr>
            <w:r w:rsidRPr="00293D08">
              <w:rPr>
                <w:rFonts w:cstheme="majorHAnsi"/>
                <w:b/>
                <w:sz w:val="20"/>
                <w:szCs w:val="20"/>
              </w:rPr>
              <w:t>Where Disclosed or Reason Omitted</w:t>
            </w:r>
          </w:p>
        </w:tc>
      </w:tr>
      <w:tr w:rsidR="008458AB" w:rsidRPr="008458AB" w14:paraId="7EA79A7C" w14:textId="77777777" w:rsidTr="4F4C4721">
        <w:tc>
          <w:tcPr>
            <w:tcW w:w="6574" w:type="dxa"/>
            <w:shd w:val="clear" w:color="auto" w:fill="C7C8CA" w:themeFill="accent6" w:themeFillTint="66"/>
            <w:vAlign w:val="bottom"/>
          </w:tcPr>
          <w:p w14:paraId="7C8C2E82" w14:textId="77777777" w:rsidR="008458AB" w:rsidRPr="00BC787F" w:rsidRDefault="008458AB" w:rsidP="008458AB">
            <w:pPr>
              <w:pStyle w:val="Heading1"/>
              <w:keepNext w:val="0"/>
              <w:keepLines w:val="0"/>
              <w:widowControl w:val="0"/>
              <w:spacing w:before="120" w:after="120" w:line="240" w:lineRule="atLeast"/>
              <w:rPr>
                <w:rFonts w:cstheme="majorHAnsi"/>
                <w:b/>
                <w:bCs w:val="0"/>
                <w:sz w:val="20"/>
                <w:szCs w:val="20"/>
              </w:rPr>
            </w:pPr>
            <w:bookmarkStart w:id="3" w:name="_PART_I_OF_FORM_10-K"/>
            <w:bookmarkEnd w:id="3"/>
            <w:r w:rsidRPr="00BC787F">
              <w:rPr>
                <w:rFonts w:cstheme="majorHAnsi"/>
                <w:b/>
                <w:bCs w:val="0"/>
                <w:sz w:val="20"/>
                <w:szCs w:val="20"/>
              </w:rPr>
              <w:t>P</w:t>
            </w:r>
            <w:bookmarkStart w:id="4" w:name="Part_1"/>
            <w:bookmarkEnd w:id="4"/>
            <w:r w:rsidRPr="00BC787F">
              <w:rPr>
                <w:rFonts w:cstheme="majorHAnsi"/>
                <w:b/>
                <w:bCs w:val="0"/>
                <w:sz w:val="20"/>
                <w:szCs w:val="20"/>
              </w:rPr>
              <w:t>ART I OF FORM 10-K</w:t>
            </w:r>
          </w:p>
        </w:tc>
        <w:tc>
          <w:tcPr>
            <w:tcW w:w="1247" w:type="dxa"/>
            <w:gridSpan w:val="2"/>
            <w:shd w:val="clear" w:color="auto" w:fill="C7C8CA" w:themeFill="accent6" w:themeFillTint="66"/>
            <w:vAlign w:val="bottom"/>
          </w:tcPr>
          <w:p w14:paraId="28E1364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shd w:val="clear" w:color="auto" w:fill="C7C8CA" w:themeFill="accent6" w:themeFillTint="66"/>
            <w:vAlign w:val="bottom"/>
          </w:tcPr>
          <w:p w14:paraId="62ECF23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shd w:val="clear" w:color="auto" w:fill="C7C8CA" w:themeFill="accent6" w:themeFillTint="66"/>
            <w:vAlign w:val="bottom"/>
          </w:tcPr>
          <w:p w14:paraId="3715752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5C32BBEC" w14:textId="77777777" w:rsidTr="4F4C4721">
        <w:tc>
          <w:tcPr>
            <w:tcW w:w="6574" w:type="dxa"/>
            <w:vAlign w:val="bottom"/>
          </w:tcPr>
          <w:p w14:paraId="7EDE7CC1" w14:textId="0585E503"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Item 1 — Business</w:t>
            </w:r>
          </w:p>
        </w:tc>
        <w:tc>
          <w:tcPr>
            <w:tcW w:w="1247" w:type="dxa"/>
            <w:gridSpan w:val="2"/>
            <w:vAlign w:val="bottom"/>
          </w:tcPr>
          <w:p w14:paraId="3865061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6A7F56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447D4D3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7D9DCCA9" w14:textId="77777777" w:rsidTr="4F4C4721">
        <w:tc>
          <w:tcPr>
            <w:tcW w:w="6574" w:type="dxa"/>
            <w:vAlign w:val="bottom"/>
          </w:tcPr>
          <w:p w14:paraId="21604226" w14:textId="7264D5E1" w:rsidR="008458AB" w:rsidRPr="008458AB" w:rsidRDefault="008458AB" w:rsidP="008458AB">
            <w:pPr>
              <w:pStyle w:val="levela"/>
              <w:widowControl w:val="0"/>
              <w:tabs>
                <w:tab w:val="clear" w:pos="576"/>
              </w:tabs>
              <w:spacing w:before="120" w:after="120" w:line="240" w:lineRule="atLeast"/>
              <w:ind w:left="250" w:hanging="250"/>
              <w:rPr>
                <w:rFonts w:cstheme="majorHAnsi"/>
                <w:b/>
                <w:sz w:val="20"/>
                <w:szCs w:val="20"/>
              </w:rPr>
            </w:pPr>
            <w:r w:rsidRPr="008458AB">
              <w:rPr>
                <w:rFonts w:cstheme="majorHAnsi"/>
                <w:sz w:val="20"/>
                <w:szCs w:val="20"/>
              </w:rPr>
              <w:t>1.</w:t>
            </w:r>
            <w:r w:rsidRPr="008458AB">
              <w:rPr>
                <w:rFonts w:cstheme="majorHAnsi"/>
                <w:sz w:val="20"/>
                <w:szCs w:val="20"/>
              </w:rPr>
              <w:tab/>
              <w:t xml:space="preserve">Provide the disclosures called for by Regulation S-K, Item 101, “Description of Business.” </w:t>
            </w:r>
            <w:r w:rsidRPr="001571FF">
              <w:rPr>
                <w:rFonts w:cstheme="majorHAnsi"/>
                <w:sz w:val="20"/>
                <w:szCs w:val="20"/>
              </w:rPr>
              <w:t xml:space="preserve">Refer to </w:t>
            </w:r>
            <w:r w:rsidRPr="001571FF">
              <w:rPr>
                <w:rFonts w:cstheme="majorHAnsi"/>
                <w:i/>
                <w:sz w:val="20"/>
                <w:szCs w:val="20"/>
              </w:rPr>
              <w:t>SEC Compliance Checklist — General</w:t>
            </w:r>
            <w:r w:rsidRPr="001571FF">
              <w:rPr>
                <w:rFonts w:cstheme="majorHAnsi"/>
                <w:sz w:val="20"/>
                <w:szCs w:val="20"/>
              </w:rPr>
              <w:t>,</w:t>
            </w:r>
            <w:r w:rsidRPr="001571FF">
              <w:rPr>
                <w:rFonts w:cstheme="majorHAnsi"/>
                <w:i/>
                <w:sz w:val="20"/>
                <w:szCs w:val="20"/>
              </w:rPr>
              <w:t xml:space="preserve"> </w:t>
            </w:r>
            <w:r w:rsidRPr="001571FF">
              <w:rPr>
                <w:rFonts w:cstheme="majorHAnsi"/>
                <w:sz w:val="20"/>
                <w:szCs w:val="20"/>
              </w:rPr>
              <w:t>for detailed guidance.</w:t>
            </w:r>
          </w:p>
        </w:tc>
        <w:tc>
          <w:tcPr>
            <w:tcW w:w="1247" w:type="dxa"/>
            <w:gridSpan w:val="2"/>
            <w:tcBorders>
              <w:bottom w:val="single" w:sz="6" w:space="0" w:color="auto"/>
            </w:tcBorders>
            <w:vAlign w:val="bottom"/>
          </w:tcPr>
          <w:p w14:paraId="04D6777C"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2B2950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080D1F1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9853551" w14:textId="77777777" w:rsidTr="4F4C4721">
        <w:tc>
          <w:tcPr>
            <w:tcW w:w="6574" w:type="dxa"/>
            <w:vAlign w:val="bottom"/>
          </w:tcPr>
          <w:p w14:paraId="29C17598" w14:textId="4E062780" w:rsidR="008458AB" w:rsidRPr="008458AB" w:rsidRDefault="008458AB" w:rsidP="00BC787F">
            <w:pPr>
              <w:pStyle w:val="levela"/>
              <w:keepLines/>
              <w:widowControl w:val="0"/>
              <w:tabs>
                <w:tab w:val="clear" w:pos="576"/>
              </w:tabs>
              <w:spacing w:before="120" w:after="120" w:line="240" w:lineRule="atLeast"/>
              <w:ind w:left="245" w:hanging="245"/>
              <w:rPr>
                <w:rFonts w:cstheme="majorHAnsi"/>
                <w:sz w:val="20"/>
                <w:szCs w:val="20"/>
              </w:rPr>
            </w:pPr>
            <w:r w:rsidRPr="008458AB">
              <w:rPr>
                <w:rFonts w:cstheme="majorHAnsi"/>
                <w:sz w:val="20"/>
                <w:szCs w:val="20"/>
              </w:rPr>
              <w:t>2.</w:t>
            </w:r>
            <w:r w:rsidRPr="008458AB">
              <w:rPr>
                <w:rFonts w:cstheme="majorHAnsi"/>
                <w:sz w:val="20"/>
                <w:szCs w:val="20"/>
              </w:rPr>
              <w:tab/>
              <w:t>The discussion of the development of the registrant’s business need only include developments since the</w:t>
            </w:r>
            <w:r w:rsidR="00923C06">
              <w:rPr>
                <w:rFonts w:cstheme="majorHAnsi"/>
                <w:sz w:val="20"/>
                <w:szCs w:val="20"/>
              </w:rPr>
              <w:t xml:space="preserve"> beginning of the fiscal year for which the report is filed.</w:t>
            </w:r>
          </w:p>
        </w:tc>
        <w:tc>
          <w:tcPr>
            <w:tcW w:w="1247" w:type="dxa"/>
            <w:gridSpan w:val="2"/>
            <w:vAlign w:val="bottom"/>
          </w:tcPr>
          <w:p w14:paraId="7DC907F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2444182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635E6BD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384B4D73" w14:textId="77777777" w:rsidTr="4F4C4721">
        <w:tc>
          <w:tcPr>
            <w:tcW w:w="6574" w:type="dxa"/>
            <w:vAlign w:val="bottom"/>
          </w:tcPr>
          <w:p w14:paraId="165B2DDC" w14:textId="3493D128"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Item 1A — Risk Factors</w:t>
            </w:r>
          </w:p>
        </w:tc>
        <w:tc>
          <w:tcPr>
            <w:tcW w:w="1247" w:type="dxa"/>
            <w:gridSpan w:val="2"/>
            <w:tcBorders>
              <w:top w:val="single" w:sz="6" w:space="0" w:color="auto"/>
            </w:tcBorders>
            <w:vAlign w:val="bottom"/>
          </w:tcPr>
          <w:p w14:paraId="42FB04B3"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32F00E36"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top w:val="single" w:sz="6" w:space="0" w:color="auto"/>
            </w:tcBorders>
            <w:vAlign w:val="bottom"/>
          </w:tcPr>
          <w:p w14:paraId="3E5DF686"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r>
      <w:tr w:rsidR="008458AB" w:rsidRPr="008458AB" w14:paraId="3E224EB3" w14:textId="77777777" w:rsidTr="4F4C4721">
        <w:tc>
          <w:tcPr>
            <w:tcW w:w="6574" w:type="dxa"/>
            <w:vAlign w:val="bottom"/>
          </w:tcPr>
          <w:p w14:paraId="3BE6FB10" w14:textId="5E81725B" w:rsidR="008458AB" w:rsidRPr="008458AB" w:rsidRDefault="008458AB" w:rsidP="00BB5D19">
            <w:pPr>
              <w:pStyle w:val="levela"/>
              <w:widowControl w:val="0"/>
              <w:tabs>
                <w:tab w:val="clear" w:pos="576"/>
              </w:tabs>
              <w:spacing w:before="120" w:after="120" w:line="240" w:lineRule="atLeast"/>
              <w:ind w:left="250" w:hanging="250"/>
              <w:rPr>
                <w:rFonts w:cstheme="majorHAnsi"/>
                <w:sz w:val="20"/>
                <w:szCs w:val="20"/>
              </w:rPr>
            </w:pPr>
            <w:r w:rsidRPr="008458AB">
              <w:rPr>
                <w:rFonts w:cstheme="majorHAnsi"/>
                <w:sz w:val="20"/>
                <w:szCs w:val="20"/>
              </w:rPr>
              <w:t>1.</w:t>
            </w:r>
            <w:r w:rsidRPr="008458AB">
              <w:rPr>
                <w:rFonts w:cstheme="majorHAnsi"/>
                <w:sz w:val="20"/>
                <w:szCs w:val="20"/>
              </w:rPr>
              <w:tab/>
              <w:t xml:space="preserve">Provide the disclosures called for by Regulation S-K, Item 105. </w:t>
            </w:r>
            <w:r w:rsidR="00802FD2">
              <w:rPr>
                <w:rFonts w:cstheme="majorHAnsi"/>
                <w:sz w:val="20"/>
                <w:szCs w:val="20"/>
              </w:rPr>
              <w:t xml:space="preserve">Refer to the </w:t>
            </w:r>
            <w:r w:rsidR="00802FD2">
              <w:rPr>
                <w:rFonts w:cstheme="majorHAnsi"/>
                <w:i/>
                <w:iCs/>
                <w:sz w:val="20"/>
                <w:szCs w:val="20"/>
              </w:rPr>
              <w:t xml:space="preserve">SEC </w:t>
            </w:r>
            <w:r w:rsidR="00A7322B">
              <w:rPr>
                <w:rFonts w:cstheme="majorHAnsi"/>
                <w:i/>
                <w:iCs/>
                <w:sz w:val="20"/>
                <w:szCs w:val="20"/>
              </w:rPr>
              <w:t xml:space="preserve">Compliance </w:t>
            </w:r>
            <w:r w:rsidR="00802FD2">
              <w:rPr>
                <w:rFonts w:cstheme="majorHAnsi"/>
                <w:i/>
                <w:iCs/>
                <w:sz w:val="20"/>
                <w:szCs w:val="20"/>
              </w:rPr>
              <w:t xml:space="preserve">Checklist – General </w:t>
            </w:r>
            <w:r w:rsidR="00802FD2">
              <w:rPr>
                <w:rFonts w:cstheme="majorHAnsi"/>
                <w:sz w:val="20"/>
                <w:szCs w:val="20"/>
              </w:rPr>
              <w:t xml:space="preserve">for detailed guidance. </w:t>
            </w:r>
            <w:r w:rsidRPr="008458AB">
              <w:rPr>
                <w:rFonts w:cstheme="majorHAnsi"/>
                <w:sz w:val="20"/>
                <w:szCs w:val="20"/>
              </w:rPr>
              <w:t>The registrant must furnish this information in plain English</w:t>
            </w:r>
            <w:r w:rsidR="00BA1498">
              <w:rPr>
                <w:rFonts w:cstheme="majorHAnsi"/>
                <w:sz w:val="20"/>
                <w:szCs w:val="20"/>
              </w:rPr>
              <w:t>.</w:t>
            </w:r>
          </w:p>
        </w:tc>
        <w:tc>
          <w:tcPr>
            <w:tcW w:w="1247" w:type="dxa"/>
            <w:gridSpan w:val="2"/>
            <w:tcBorders>
              <w:bottom w:val="single" w:sz="4" w:space="0" w:color="auto"/>
            </w:tcBorders>
            <w:vAlign w:val="bottom"/>
          </w:tcPr>
          <w:p w14:paraId="273A56D3"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0421B778"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bottom w:val="single" w:sz="4" w:space="0" w:color="auto"/>
            </w:tcBorders>
            <w:vAlign w:val="bottom"/>
          </w:tcPr>
          <w:p w14:paraId="1C882FC4"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r>
      <w:tr w:rsidR="008458AB" w:rsidRPr="008458AB" w14:paraId="0E7089C7" w14:textId="77777777" w:rsidTr="4F4C4721">
        <w:tc>
          <w:tcPr>
            <w:tcW w:w="6574" w:type="dxa"/>
            <w:vAlign w:val="bottom"/>
          </w:tcPr>
          <w:p w14:paraId="3840F981" w14:textId="04B39B6A" w:rsidR="008458AB" w:rsidRPr="008458AB" w:rsidRDefault="008458AB" w:rsidP="00BB5D19">
            <w:pPr>
              <w:pStyle w:val="levela"/>
              <w:widowControl w:val="0"/>
              <w:tabs>
                <w:tab w:val="clear" w:pos="576"/>
              </w:tabs>
              <w:spacing w:before="120" w:after="120" w:line="240" w:lineRule="atLeast"/>
              <w:ind w:left="250" w:hanging="250"/>
              <w:rPr>
                <w:rFonts w:cstheme="majorHAnsi"/>
                <w:sz w:val="20"/>
                <w:szCs w:val="20"/>
              </w:rPr>
            </w:pPr>
            <w:r w:rsidRPr="008458AB">
              <w:rPr>
                <w:rFonts w:cstheme="majorHAnsi"/>
                <w:sz w:val="20"/>
                <w:szCs w:val="20"/>
              </w:rPr>
              <w:t>2.</w:t>
            </w:r>
            <w:r w:rsidR="00BB5D19">
              <w:rPr>
                <w:rFonts w:cstheme="majorHAnsi"/>
                <w:sz w:val="20"/>
                <w:szCs w:val="20"/>
              </w:rPr>
              <w:tab/>
            </w:r>
            <w:r w:rsidRPr="008458AB">
              <w:rPr>
                <w:rFonts w:cstheme="majorHAnsi"/>
                <w:sz w:val="20"/>
                <w:szCs w:val="20"/>
              </w:rPr>
              <w:t xml:space="preserve">If there is </w:t>
            </w:r>
            <w:r w:rsidR="0047244A">
              <w:rPr>
                <w:rFonts w:cstheme="majorHAnsi"/>
                <w:sz w:val="20"/>
                <w:szCs w:val="20"/>
              </w:rPr>
              <w:t xml:space="preserve">exposure to emerging issues (see the ADDITIONAL CONSIDERATIONS section of the </w:t>
            </w:r>
            <w:r w:rsidR="0047244A" w:rsidRPr="001571FF">
              <w:rPr>
                <w:rFonts w:cstheme="majorHAnsi"/>
                <w:i/>
                <w:sz w:val="20"/>
                <w:szCs w:val="20"/>
              </w:rPr>
              <w:t>SEC Compliance Checklist — General</w:t>
            </w:r>
            <w:r w:rsidR="0047244A">
              <w:rPr>
                <w:rFonts w:cstheme="majorHAnsi"/>
                <w:iCs/>
                <w:sz w:val="20"/>
                <w:szCs w:val="20"/>
              </w:rPr>
              <w:t xml:space="preserve"> checklist)</w:t>
            </w:r>
            <w:r w:rsidRPr="008458AB">
              <w:rPr>
                <w:rFonts w:cstheme="majorHAnsi"/>
                <w:sz w:val="20"/>
                <w:szCs w:val="20"/>
              </w:rPr>
              <w:t xml:space="preserve"> the company would need to consider risk factors to be tailored to the company. </w:t>
            </w:r>
          </w:p>
        </w:tc>
        <w:tc>
          <w:tcPr>
            <w:tcW w:w="1247" w:type="dxa"/>
            <w:gridSpan w:val="2"/>
            <w:tcBorders>
              <w:bottom w:val="single" w:sz="4" w:space="0" w:color="auto"/>
            </w:tcBorders>
            <w:vAlign w:val="bottom"/>
          </w:tcPr>
          <w:p w14:paraId="2FB0AD12"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27EC51E6"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bottom w:val="single" w:sz="4" w:space="0" w:color="auto"/>
            </w:tcBorders>
            <w:vAlign w:val="bottom"/>
          </w:tcPr>
          <w:p w14:paraId="300EAD89"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r>
      <w:tr w:rsidR="008458AB" w:rsidRPr="008458AB" w14:paraId="4D058240" w14:textId="77777777" w:rsidTr="00FD5532">
        <w:tc>
          <w:tcPr>
            <w:tcW w:w="6574" w:type="dxa"/>
            <w:vAlign w:val="bottom"/>
          </w:tcPr>
          <w:p w14:paraId="4531ED5D" w14:textId="77777777"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 xml:space="preserve">Item 1B — Unresolved Staff Comments </w:t>
            </w:r>
          </w:p>
        </w:tc>
        <w:tc>
          <w:tcPr>
            <w:tcW w:w="1247" w:type="dxa"/>
            <w:gridSpan w:val="2"/>
            <w:tcBorders>
              <w:top w:val="single" w:sz="4" w:space="0" w:color="auto"/>
            </w:tcBorders>
            <w:vAlign w:val="bottom"/>
          </w:tcPr>
          <w:p w14:paraId="276BD570"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236" w:type="dxa"/>
            <w:tcBorders>
              <w:left w:val="nil"/>
            </w:tcBorders>
            <w:vAlign w:val="bottom"/>
          </w:tcPr>
          <w:p w14:paraId="6EE7FC8E"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top w:val="single" w:sz="4" w:space="0" w:color="auto"/>
            </w:tcBorders>
            <w:vAlign w:val="bottom"/>
          </w:tcPr>
          <w:p w14:paraId="54D0CFBE"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r>
      <w:tr w:rsidR="008458AB" w:rsidRPr="008458AB" w14:paraId="0906524F" w14:textId="77777777" w:rsidTr="00FD5532">
        <w:tc>
          <w:tcPr>
            <w:tcW w:w="6574" w:type="dxa"/>
            <w:vAlign w:val="bottom"/>
          </w:tcPr>
          <w:p w14:paraId="4FA65EE3" w14:textId="77393BCA" w:rsidR="008458AB" w:rsidRPr="00AA4B51" w:rsidRDefault="008458AB" w:rsidP="00616D96">
            <w:pPr>
              <w:pStyle w:val="standard"/>
              <w:widowControl w:val="0"/>
              <w:numPr>
                <w:ilvl w:val="0"/>
                <w:numId w:val="1"/>
              </w:numPr>
              <w:tabs>
                <w:tab w:val="clear" w:pos="360"/>
                <w:tab w:val="clear" w:pos="576"/>
                <w:tab w:val="clear" w:pos="1152"/>
              </w:tabs>
              <w:spacing w:before="120" w:after="120" w:line="240" w:lineRule="atLeast"/>
              <w:ind w:left="250" w:hanging="250"/>
              <w:rPr>
                <w:rFonts w:cstheme="majorHAnsi"/>
                <w:sz w:val="20"/>
                <w:szCs w:val="20"/>
              </w:rPr>
            </w:pPr>
            <w:r w:rsidRPr="008458AB">
              <w:rPr>
                <w:rFonts w:cstheme="majorHAnsi"/>
                <w:sz w:val="20"/>
                <w:szCs w:val="20"/>
              </w:rPr>
              <w:t xml:space="preserve">If the registrant is an accelerated filer or a large accelerated filer (as defined in Rule 12b-2 of the Exchange Act) or is a well-known seasoned issuer as defined in Rule 405 of the Securities Act of 1933 (the “Securities Act”) and has received written comments from the staff regarding its periodic or </w:t>
            </w:r>
            <w:r w:rsidRPr="008458AB">
              <w:rPr>
                <w:rFonts w:cstheme="majorHAnsi"/>
                <w:sz w:val="20"/>
                <w:szCs w:val="20"/>
              </w:rPr>
              <w:lastRenderedPageBreak/>
              <w:t>current reports under the Exchange Act more than 180 days before the end of its fiscal year to which the annual report relates and such comments remain unresolved, the registrant must disclose, to the extent they are deemed material by the registrant, the substance of any such unresolved comments.  The disclosures may provide other information, including the position of the registrant with respect to any such comment. If there are SEC staff comments that have been resolved, including those the company and the SEC staff have agreed will be addressed in future Exchange Act reports, are not required to be disclosed in this item.</w:t>
            </w:r>
          </w:p>
        </w:tc>
        <w:tc>
          <w:tcPr>
            <w:tcW w:w="1247" w:type="dxa"/>
            <w:gridSpan w:val="2"/>
            <w:tcBorders>
              <w:bottom w:val="single" w:sz="4" w:space="0" w:color="auto"/>
            </w:tcBorders>
            <w:vAlign w:val="bottom"/>
          </w:tcPr>
          <w:p w14:paraId="3C93196F"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72439189"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bottom w:val="single" w:sz="4" w:space="0" w:color="auto"/>
            </w:tcBorders>
            <w:vAlign w:val="bottom"/>
          </w:tcPr>
          <w:p w14:paraId="25332949" w14:textId="77777777" w:rsidR="008458AB" w:rsidRPr="008458AB" w:rsidRDefault="008458AB" w:rsidP="008458AB">
            <w:pPr>
              <w:pStyle w:val="levela"/>
              <w:widowControl w:val="0"/>
              <w:spacing w:before="120" w:after="120" w:line="240" w:lineRule="atLeast"/>
              <w:ind w:left="0" w:firstLine="0"/>
              <w:rPr>
                <w:rFonts w:cstheme="majorHAnsi"/>
                <w:bCs/>
                <w:sz w:val="20"/>
                <w:szCs w:val="20"/>
                <w:highlight w:val="yellow"/>
              </w:rPr>
            </w:pPr>
          </w:p>
        </w:tc>
      </w:tr>
      <w:tr w:rsidR="008458AB" w:rsidRPr="008458AB" w14:paraId="0BF5D17D" w14:textId="77777777" w:rsidTr="00FD5532">
        <w:tc>
          <w:tcPr>
            <w:tcW w:w="6574" w:type="dxa"/>
            <w:vAlign w:val="bottom"/>
          </w:tcPr>
          <w:p w14:paraId="529056B9" w14:textId="77777777" w:rsidR="008458AB" w:rsidRPr="008458AB" w:rsidRDefault="008458AB" w:rsidP="000D61E0">
            <w:pPr>
              <w:pStyle w:val="standard"/>
              <w:keepNext/>
              <w:widowControl w:val="0"/>
              <w:spacing w:before="120" w:after="120" w:line="240" w:lineRule="atLeast"/>
              <w:rPr>
                <w:rFonts w:cstheme="majorHAnsi"/>
                <w:b/>
                <w:sz w:val="20"/>
                <w:szCs w:val="20"/>
              </w:rPr>
            </w:pPr>
            <w:r w:rsidRPr="008458AB">
              <w:rPr>
                <w:rFonts w:cstheme="majorHAnsi"/>
                <w:b/>
                <w:sz w:val="20"/>
                <w:szCs w:val="20"/>
              </w:rPr>
              <w:t>Item 2 — Properties</w:t>
            </w:r>
          </w:p>
        </w:tc>
        <w:tc>
          <w:tcPr>
            <w:tcW w:w="1247" w:type="dxa"/>
            <w:gridSpan w:val="2"/>
            <w:tcBorders>
              <w:top w:val="single" w:sz="4" w:space="0" w:color="auto"/>
            </w:tcBorders>
            <w:vAlign w:val="bottom"/>
          </w:tcPr>
          <w:p w14:paraId="065BCFA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0B38ED7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21FBAF6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5EE9DBF0" w14:textId="77777777" w:rsidTr="4F4C4721">
        <w:tc>
          <w:tcPr>
            <w:tcW w:w="6574" w:type="dxa"/>
            <w:vAlign w:val="bottom"/>
          </w:tcPr>
          <w:p w14:paraId="707255E4" w14:textId="36224A4B" w:rsidR="008458AB" w:rsidRPr="008458AB" w:rsidRDefault="008458AB" w:rsidP="008458AB">
            <w:pPr>
              <w:pStyle w:val="levela"/>
              <w:widowControl w:val="0"/>
              <w:tabs>
                <w:tab w:val="clear" w:pos="576"/>
              </w:tabs>
              <w:spacing w:before="120" w:after="120" w:line="240" w:lineRule="atLeast"/>
              <w:ind w:left="250" w:hanging="250"/>
              <w:rPr>
                <w:rFonts w:cstheme="majorHAnsi"/>
                <w:b/>
                <w:sz w:val="20"/>
                <w:szCs w:val="20"/>
              </w:rPr>
            </w:pPr>
            <w:r w:rsidRPr="008458AB">
              <w:rPr>
                <w:rFonts w:cstheme="majorHAnsi"/>
                <w:sz w:val="20"/>
                <w:szCs w:val="20"/>
              </w:rPr>
              <w:t>1.</w:t>
            </w:r>
            <w:r w:rsidRPr="008458AB">
              <w:rPr>
                <w:rFonts w:cstheme="majorHAnsi"/>
                <w:sz w:val="20"/>
                <w:szCs w:val="20"/>
              </w:rPr>
              <w:tab/>
              <w:t>Provide the information called for by Regulation</w:t>
            </w:r>
            <w:r w:rsidRPr="008458AB">
              <w:rPr>
                <w:rFonts w:cstheme="majorHAnsi"/>
                <w:sz w:val="20"/>
                <w:szCs w:val="20"/>
              </w:rPr>
              <w:br/>
              <w:t xml:space="preserve">S-K, Item 102, “Description of Property.” This includes properties that are material and </w:t>
            </w:r>
            <w:r w:rsidR="002F066E">
              <w:rPr>
                <w:rFonts w:cstheme="majorHAnsi"/>
                <w:sz w:val="20"/>
                <w:szCs w:val="20"/>
              </w:rPr>
              <w:t xml:space="preserve">identification of </w:t>
            </w:r>
            <w:r w:rsidRPr="008458AB">
              <w:rPr>
                <w:rFonts w:cstheme="majorHAnsi"/>
                <w:sz w:val="20"/>
                <w:szCs w:val="20"/>
              </w:rPr>
              <w:t xml:space="preserve">the business segment(s) that use these properties. </w:t>
            </w:r>
            <w:r w:rsidR="004D6125">
              <w:rPr>
                <w:rFonts w:cstheme="majorHAnsi"/>
                <w:sz w:val="20"/>
                <w:szCs w:val="20"/>
              </w:rPr>
              <w:t xml:space="preserve">Also, disclose if any such </w:t>
            </w:r>
            <w:r w:rsidR="004D6125">
              <w:rPr>
                <w:rFonts w:cstheme="majorHAnsi"/>
                <w:sz w:val="20"/>
                <w:szCs w:val="20"/>
              </w:rPr>
              <w:t xml:space="preserve">property is not held in fee </w:t>
            </w:r>
            <w:r w:rsidR="00A7322B">
              <w:rPr>
                <w:rFonts w:cstheme="majorHAnsi"/>
                <w:sz w:val="20"/>
                <w:szCs w:val="20"/>
              </w:rPr>
              <w:t xml:space="preserve">or </w:t>
            </w:r>
            <w:r w:rsidR="004D6125">
              <w:rPr>
                <w:rFonts w:cstheme="majorHAnsi"/>
                <w:sz w:val="20"/>
                <w:szCs w:val="20"/>
              </w:rPr>
              <w:t>is held subject to an encumbrance that is material to the registrant.</w:t>
            </w:r>
          </w:p>
        </w:tc>
        <w:tc>
          <w:tcPr>
            <w:tcW w:w="1247" w:type="dxa"/>
            <w:gridSpan w:val="2"/>
            <w:tcBorders>
              <w:bottom w:val="single" w:sz="6" w:space="0" w:color="auto"/>
            </w:tcBorders>
            <w:vAlign w:val="bottom"/>
          </w:tcPr>
          <w:p w14:paraId="6D55EF7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4D1320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38780EA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0291C70" w14:textId="77777777" w:rsidTr="4F4C4721">
        <w:tc>
          <w:tcPr>
            <w:tcW w:w="6574" w:type="dxa"/>
            <w:vAlign w:val="bottom"/>
          </w:tcPr>
          <w:p w14:paraId="4CA76412" w14:textId="17461A84" w:rsidR="008458AB" w:rsidRPr="008458AB" w:rsidRDefault="008458AB" w:rsidP="00BB5D19">
            <w:pPr>
              <w:pStyle w:val="standard"/>
              <w:keepNext/>
              <w:widowControl w:val="0"/>
              <w:spacing w:before="120" w:after="120" w:line="240" w:lineRule="atLeast"/>
              <w:rPr>
                <w:rFonts w:cstheme="majorHAnsi"/>
                <w:b/>
                <w:sz w:val="20"/>
                <w:szCs w:val="20"/>
              </w:rPr>
            </w:pPr>
            <w:r w:rsidRPr="008458AB">
              <w:rPr>
                <w:rFonts w:cstheme="majorHAnsi"/>
                <w:b/>
                <w:sz w:val="20"/>
                <w:szCs w:val="20"/>
              </w:rPr>
              <w:t>Item 3 — Legal Proceedings</w:t>
            </w:r>
          </w:p>
        </w:tc>
        <w:tc>
          <w:tcPr>
            <w:tcW w:w="1247" w:type="dxa"/>
            <w:gridSpan w:val="2"/>
            <w:vAlign w:val="bottom"/>
          </w:tcPr>
          <w:p w14:paraId="4CB6F73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2237737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44557EB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2F66707F" w14:textId="77777777" w:rsidTr="4F4C4721">
        <w:tc>
          <w:tcPr>
            <w:tcW w:w="6574" w:type="dxa"/>
            <w:vAlign w:val="bottom"/>
          </w:tcPr>
          <w:p w14:paraId="11B07DBA" w14:textId="79305293" w:rsidR="00BB5D19" w:rsidRDefault="008458AB" w:rsidP="005414D4">
            <w:pPr>
              <w:pStyle w:val="levela"/>
              <w:widowControl w:val="0"/>
              <w:numPr>
                <w:ilvl w:val="0"/>
                <w:numId w:val="25"/>
              </w:numPr>
              <w:tabs>
                <w:tab w:val="clear" w:pos="576"/>
              </w:tabs>
              <w:spacing w:before="120" w:after="120" w:line="240" w:lineRule="atLeast"/>
              <w:ind w:left="250" w:hanging="250"/>
              <w:rPr>
                <w:rFonts w:cstheme="majorHAnsi"/>
                <w:sz w:val="20"/>
                <w:szCs w:val="20"/>
              </w:rPr>
            </w:pPr>
            <w:r w:rsidRPr="008458AB">
              <w:rPr>
                <w:rFonts w:cstheme="majorHAnsi"/>
                <w:sz w:val="20"/>
                <w:szCs w:val="20"/>
              </w:rPr>
              <w:t>Provide the disclosures required by Regulation S-K, Item 103, “Legal Proceedings.” Registrants may wish to hyperlink or cross-refer to the description of legal proceedings to the financial statements or elsewhere where legal matters are described.</w:t>
            </w:r>
          </w:p>
          <w:p w14:paraId="1434A146" w14:textId="2942B193" w:rsidR="008458AB" w:rsidRPr="008458AB" w:rsidRDefault="008458AB" w:rsidP="00BB5D19">
            <w:pPr>
              <w:pStyle w:val="levela"/>
              <w:widowControl w:val="0"/>
              <w:tabs>
                <w:tab w:val="clear" w:pos="576"/>
              </w:tabs>
              <w:spacing w:before="120" w:after="120" w:line="240" w:lineRule="atLeast"/>
              <w:ind w:left="250" w:firstLine="0"/>
              <w:rPr>
                <w:rFonts w:cstheme="majorHAnsi"/>
                <w:sz w:val="20"/>
                <w:szCs w:val="20"/>
              </w:rPr>
            </w:pPr>
            <w:r w:rsidRPr="008458AB">
              <w:rPr>
                <w:rFonts w:cstheme="majorHAnsi"/>
                <w:b/>
                <w:sz w:val="20"/>
                <w:szCs w:val="20"/>
              </w:rPr>
              <w:t>Note:</w:t>
            </w:r>
            <w:r w:rsidRPr="008458AB">
              <w:rPr>
                <w:rFonts w:cstheme="majorHAnsi"/>
                <w:sz w:val="20"/>
                <w:szCs w:val="20"/>
              </w:rPr>
              <w:t xml:space="preserve"> Item 103 disclosures should be focused on the legal facts, underlying loss contingency, the related exposure (i.e., estimated loss or range of reasonably possible losses), and the likelihood of a loss.</w:t>
            </w:r>
          </w:p>
        </w:tc>
        <w:tc>
          <w:tcPr>
            <w:tcW w:w="1247" w:type="dxa"/>
            <w:gridSpan w:val="2"/>
            <w:vAlign w:val="bottom"/>
          </w:tcPr>
          <w:p w14:paraId="421BB0D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B5B89E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41C681C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36FEC0B" w14:textId="77777777" w:rsidTr="4F4C4721">
        <w:tc>
          <w:tcPr>
            <w:tcW w:w="6574" w:type="dxa"/>
            <w:vAlign w:val="bottom"/>
          </w:tcPr>
          <w:p w14:paraId="07F6864A" w14:textId="14A308B1" w:rsidR="008458AB" w:rsidRPr="008458AB" w:rsidRDefault="008458AB" w:rsidP="008458AB">
            <w:pPr>
              <w:pStyle w:val="levela"/>
              <w:widowControl w:val="0"/>
              <w:tabs>
                <w:tab w:val="clear" w:pos="576"/>
              </w:tabs>
              <w:spacing w:before="120" w:after="120" w:line="240" w:lineRule="atLeast"/>
              <w:ind w:left="250" w:hanging="250"/>
              <w:rPr>
                <w:rFonts w:cstheme="majorHAnsi"/>
                <w:b/>
                <w:sz w:val="20"/>
                <w:szCs w:val="20"/>
              </w:rPr>
            </w:pPr>
            <w:r w:rsidRPr="008458AB">
              <w:rPr>
                <w:rFonts w:cstheme="majorHAnsi"/>
                <w:sz w:val="20"/>
                <w:szCs w:val="20"/>
              </w:rPr>
              <w:t>2.</w:t>
            </w:r>
            <w:r w:rsidRPr="008458AB">
              <w:rPr>
                <w:rFonts w:cstheme="majorHAnsi"/>
                <w:sz w:val="20"/>
                <w:szCs w:val="20"/>
              </w:rPr>
              <w:tab/>
              <w:t>If any legal proceeding was terminated during the fourth quarter of the fiscal year covered by the Form 10-K, provide information similar to that called for by Regulation S-K, Item 103. Such disclosure should include the date of termination and a description of the disposition with respect to the registrant and its subsidiaries.</w:t>
            </w:r>
          </w:p>
        </w:tc>
        <w:tc>
          <w:tcPr>
            <w:tcW w:w="1247" w:type="dxa"/>
            <w:gridSpan w:val="2"/>
            <w:tcBorders>
              <w:top w:val="single" w:sz="6" w:space="0" w:color="auto"/>
              <w:bottom w:val="single" w:sz="6" w:space="0" w:color="auto"/>
            </w:tcBorders>
            <w:vAlign w:val="bottom"/>
          </w:tcPr>
          <w:p w14:paraId="178A89A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8D0353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269685D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FF6ED3F" w14:textId="77777777" w:rsidTr="4F4C4721">
        <w:tc>
          <w:tcPr>
            <w:tcW w:w="6574" w:type="dxa"/>
            <w:vAlign w:val="bottom"/>
          </w:tcPr>
          <w:p w14:paraId="57BF51B7" w14:textId="77777777"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Item 4 — Mine Safety Disclosures</w:t>
            </w:r>
          </w:p>
          <w:p w14:paraId="61AEACA6" w14:textId="7060A40E" w:rsidR="008458AB" w:rsidRPr="008458AB" w:rsidRDefault="008458AB" w:rsidP="005414D4">
            <w:pPr>
              <w:pStyle w:val="levela"/>
              <w:widowControl w:val="0"/>
              <w:numPr>
                <w:ilvl w:val="0"/>
                <w:numId w:val="19"/>
              </w:numPr>
              <w:tabs>
                <w:tab w:val="clear" w:pos="576"/>
              </w:tabs>
              <w:spacing w:before="120" w:after="120" w:line="240" w:lineRule="atLeast"/>
              <w:ind w:left="250" w:hanging="250"/>
              <w:rPr>
                <w:rFonts w:cstheme="majorHAnsi"/>
                <w:b/>
                <w:sz w:val="20"/>
                <w:szCs w:val="20"/>
              </w:rPr>
            </w:pPr>
            <w:r w:rsidRPr="008458AB">
              <w:rPr>
                <w:rFonts w:cstheme="majorHAnsi"/>
                <w:sz w:val="20"/>
                <w:szCs w:val="20"/>
              </w:rPr>
              <w:t>If applicable, disclose that the information related to mine safety violations or other regulatory matters as required by Section 1503(a) of the Dodd-Frank Wall Street Reform and Consumer Protection Act and Item 104 of Regulation S-K is included in Exhibit 95 to the Form 10-K</w:t>
            </w:r>
            <w:r w:rsidR="00A7322B">
              <w:rPr>
                <w:rFonts w:cstheme="majorHAnsi"/>
                <w:sz w:val="20"/>
                <w:szCs w:val="20"/>
              </w:rPr>
              <w:t>.</w:t>
            </w:r>
            <w:r w:rsidRPr="008458AB">
              <w:rPr>
                <w:rFonts w:cstheme="majorHAnsi"/>
                <w:sz w:val="20"/>
                <w:szCs w:val="20"/>
              </w:rPr>
              <w:t xml:space="preserve"> Refer to rule at </w:t>
            </w:r>
            <w:hyperlink r:id="rId17" w:history="1">
              <w:r w:rsidRPr="008458AB">
                <w:rPr>
                  <w:rStyle w:val="Hyperlink"/>
                  <w:rFonts w:cstheme="majorHAnsi"/>
                  <w:sz w:val="20"/>
                  <w:szCs w:val="20"/>
                </w:rPr>
                <w:t>https://www.sec.gov/rules/final/2011/33-9286.pdf</w:t>
              </w:r>
            </w:hyperlink>
            <w:r w:rsidRPr="008458AB">
              <w:rPr>
                <w:rStyle w:val="Hyperlink"/>
                <w:rFonts w:cstheme="majorHAnsi"/>
                <w:color w:val="auto"/>
                <w:sz w:val="20"/>
                <w:szCs w:val="20"/>
              </w:rPr>
              <w:t>.</w:t>
            </w:r>
          </w:p>
        </w:tc>
        <w:tc>
          <w:tcPr>
            <w:tcW w:w="1247" w:type="dxa"/>
            <w:gridSpan w:val="2"/>
            <w:tcBorders>
              <w:top w:val="single" w:sz="6" w:space="0" w:color="auto"/>
              <w:bottom w:val="single" w:sz="4" w:space="0" w:color="auto"/>
            </w:tcBorders>
            <w:vAlign w:val="bottom"/>
          </w:tcPr>
          <w:p w14:paraId="05224DF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01611F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39BCEA2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85E02C0" w14:textId="77777777" w:rsidTr="4F4C4721">
        <w:tc>
          <w:tcPr>
            <w:tcW w:w="6574" w:type="dxa"/>
            <w:shd w:val="clear" w:color="auto" w:fill="C7C8CA" w:themeFill="accent6" w:themeFillTint="66"/>
            <w:vAlign w:val="bottom"/>
          </w:tcPr>
          <w:p w14:paraId="5EF85D81" w14:textId="77777777" w:rsidR="008458AB" w:rsidRPr="00BB5D19" w:rsidRDefault="008458AB" w:rsidP="008458AB">
            <w:pPr>
              <w:pStyle w:val="Heading1"/>
              <w:keepNext w:val="0"/>
              <w:keepLines w:val="0"/>
              <w:widowControl w:val="0"/>
              <w:spacing w:before="120" w:after="120" w:line="240" w:lineRule="atLeast"/>
              <w:rPr>
                <w:rFonts w:cstheme="majorHAnsi"/>
                <w:b/>
                <w:bCs w:val="0"/>
                <w:sz w:val="20"/>
                <w:szCs w:val="20"/>
              </w:rPr>
            </w:pPr>
            <w:bookmarkStart w:id="5" w:name="_PART_II_OF_FORM_10-K"/>
            <w:bookmarkEnd w:id="5"/>
            <w:r w:rsidRPr="00BB5D19">
              <w:rPr>
                <w:rFonts w:cstheme="majorHAnsi"/>
                <w:b/>
                <w:bCs w:val="0"/>
                <w:sz w:val="20"/>
                <w:szCs w:val="20"/>
              </w:rPr>
              <w:t>P</w:t>
            </w:r>
            <w:bookmarkStart w:id="6" w:name="Part_2"/>
            <w:bookmarkEnd w:id="6"/>
            <w:r w:rsidRPr="00BB5D19">
              <w:rPr>
                <w:rFonts w:cstheme="majorHAnsi"/>
                <w:b/>
                <w:bCs w:val="0"/>
                <w:sz w:val="20"/>
                <w:szCs w:val="20"/>
              </w:rPr>
              <w:t>ART II OF FORM 10-K</w:t>
            </w:r>
          </w:p>
        </w:tc>
        <w:tc>
          <w:tcPr>
            <w:tcW w:w="1247" w:type="dxa"/>
            <w:gridSpan w:val="2"/>
            <w:tcBorders>
              <w:top w:val="single" w:sz="4" w:space="0" w:color="auto"/>
            </w:tcBorders>
            <w:shd w:val="clear" w:color="auto" w:fill="C7C8CA" w:themeFill="accent6" w:themeFillTint="66"/>
            <w:vAlign w:val="bottom"/>
          </w:tcPr>
          <w:p w14:paraId="792812F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shd w:val="clear" w:color="auto" w:fill="C7C8CA" w:themeFill="accent6" w:themeFillTint="66"/>
            <w:vAlign w:val="bottom"/>
          </w:tcPr>
          <w:p w14:paraId="116CD6F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shd w:val="clear" w:color="auto" w:fill="C7C8CA" w:themeFill="accent6" w:themeFillTint="66"/>
            <w:vAlign w:val="bottom"/>
          </w:tcPr>
          <w:p w14:paraId="17807D8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2AC4197F" w14:textId="77777777" w:rsidTr="4F4C4721">
        <w:tc>
          <w:tcPr>
            <w:tcW w:w="6574" w:type="dxa"/>
            <w:vAlign w:val="bottom"/>
          </w:tcPr>
          <w:p w14:paraId="699C38FE" w14:textId="77777777"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Item 5 — Market for Registrant’s Common Equity, Related Stockholder Matters, and Issuer Purchases of Equity Securities</w:t>
            </w:r>
          </w:p>
        </w:tc>
        <w:tc>
          <w:tcPr>
            <w:tcW w:w="1247" w:type="dxa"/>
            <w:gridSpan w:val="2"/>
            <w:vAlign w:val="bottom"/>
          </w:tcPr>
          <w:p w14:paraId="29435FC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8BE70F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5D01AB5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0A09E2A" w14:textId="77777777" w:rsidTr="4F4C4721">
        <w:tc>
          <w:tcPr>
            <w:tcW w:w="6574" w:type="dxa"/>
            <w:vAlign w:val="bottom"/>
          </w:tcPr>
          <w:p w14:paraId="4012F4CE" w14:textId="73DDDE85" w:rsidR="008458AB" w:rsidRPr="008458AB" w:rsidRDefault="008458AB" w:rsidP="005414D4">
            <w:pPr>
              <w:pStyle w:val="levela"/>
              <w:widowControl w:val="0"/>
              <w:numPr>
                <w:ilvl w:val="0"/>
                <w:numId w:val="20"/>
              </w:numPr>
              <w:tabs>
                <w:tab w:val="clear" w:pos="576"/>
              </w:tabs>
              <w:spacing w:before="120" w:after="120" w:line="240" w:lineRule="atLeast"/>
              <w:ind w:left="250" w:hanging="250"/>
              <w:rPr>
                <w:rFonts w:cstheme="majorHAnsi"/>
                <w:sz w:val="20"/>
                <w:szCs w:val="20"/>
              </w:rPr>
            </w:pPr>
            <w:r w:rsidRPr="008458AB">
              <w:rPr>
                <w:rFonts w:cstheme="majorHAnsi"/>
                <w:sz w:val="20"/>
                <w:szCs w:val="20"/>
              </w:rPr>
              <w:lastRenderedPageBreak/>
              <w:t>Provide the information required by Item 201 of Regulation S-K, “Market Price of and Dividends on the Registrant’s Common Equity and Related Stockholder Matters,” and Item 701 of Regulation S-K, “Recent Sales of Unregistered Securities — Use of Proceeds From Registered Securities,” as to all equity securities sold by the registrant during the period covered by the report that were not registered under the Securities Act other than unregistered sales made in reliance on Regulation S.  Item 701 information previously provided in Form 10-Q or Form 8-K need not be repeated.</w:t>
            </w:r>
          </w:p>
        </w:tc>
        <w:tc>
          <w:tcPr>
            <w:tcW w:w="1247" w:type="dxa"/>
            <w:gridSpan w:val="2"/>
            <w:tcBorders>
              <w:bottom w:val="single" w:sz="4" w:space="0" w:color="auto"/>
            </w:tcBorders>
            <w:vAlign w:val="bottom"/>
          </w:tcPr>
          <w:p w14:paraId="32464A3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D9B0A55"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4FE8489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492A163" w14:textId="77777777" w:rsidTr="4F4C4721">
        <w:tc>
          <w:tcPr>
            <w:tcW w:w="6574" w:type="dxa"/>
            <w:vAlign w:val="bottom"/>
          </w:tcPr>
          <w:p w14:paraId="4209C2F4" w14:textId="08C7526D" w:rsidR="008458AB" w:rsidRPr="008458AB" w:rsidRDefault="008458AB" w:rsidP="005414D4">
            <w:pPr>
              <w:pStyle w:val="levela"/>
              <w:widowControl w:val="0"/>
              <w:numPr>
                <w:ilvl w:val="0"/>
                <w:numId w:val="20"/>
              </w:numPr>
              <w:tabs>
                <w:tab w:val="clear" w:pos="576"/>
              </w:tabs>
              <w:spacing w:before="120" w:after="120" w:line="240" w:lineRule="atLeast"/>
              <w:ind w:left="250" w:hanging="250"/>
              <w:rPr>
                <w:rFonts w:cstheme="majorHAnsi"/>
                <w:b/>
                <w:sz w:val="20"/>
                <w:szCs w:val="20"/>
              </w:rPr>
            </w:pPr>
            <w:r w:rsidRPr="008458AB">
              <w:rPr>
                <w:rFonts w:cstheme="majorHAnsi"/>
                <w:sz w:val="20"/>
                <w:szCs w:val="20"/>
              </w:rPr>
              <w:t>If required by Rule 463 of the Securities Act (17 CFR 230.463), furnish the information required by Item 701(f) of Regulation S-K, “Use of Proceeds.” Rule 463 requires that following the effective date of the first registration statement filed under the Securities Act by an issuer, the issuer or successor issuer shall report the use of proceeds on its first periodic report filed pursuant to sections 13(a) and 15(d) of the Exchange Act after effectiveness of its Securities Act registration statement, and thereafter on each of its subsequent periodic reports filed pursuant to sections 13(a) and 15(d) of the Exchange Act through the later of disclosure of the application of all the offering proceeds or disclosure of the termination of the offering.</w:t>
            </w:r>
          </w:p>
        </w:tc>
        <w:tc>
          <w:tcPr>
            <w:tcW w:w="1247" w:type="dxa"/>
            <w:gridSpan w:val="2"/>
            <w:vAlign w:val="bottom"/>
          </w:tcPr>
          <w:p w14:paraId="0B88E5C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DE2F22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2670C89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391AAB64" w14:textId="77777777" w:rsidTr="4F4C4721">
        <w:tc>
          <w:tcPr>
            <w:tcW w:w="6574" w:type="dxa"/>
            <w:vAlign w:val="bottom"/>
          </w:tcPr>
          <w:p w14:paraId="68464048" w14:textId="56AABD16" w:rsidR="008458AB" w:rsidRPr="008458AB" w:rsidRDefault="008458AB" w:rsidP="005414D4">
            <w:pPr>
              <w:pStyle w:val="levela"/>
              <w:widowControl w:val="0"/>
              <w:numPr>
                <w:ilvl w:val="0"/>
                <w:numId w:val="20"/>
              </w:numPr>
              <w:tabs>
                <w:tab w:val="clear" w:pos="576"/>
              </w:tabs>
              <w:spacing w:before="120" w:after="120" w:line="240" w:lineRule="atLeast"/>
              <w:ind w:left="250" w:hanging="250"/>
              <w:rPr>
                <w:rFonts w:cstheme="majorHAnsi"/>
                <w:sz w:val="20"/>
                <w:szCs w:val="20"/>
              </w:rPr>
            </w:pPr>
            <w:r w:rsidRPr="008458AB">
              <w:rPr>
                <w:rFonts w:cstheme="majorHAnsi"/>
                <w:sz w:val="20"/>
                <w:szCs w:val="20"/>
              </w:rPr>
              <w:t>Furnish the information required by Item 703 of Regulation S-K for any repurchase made in a month within the fourth quarter of the fiscal year covered by the Form 10-K. Provide disclosures covering repurchases made on a monthly basis.</w:t>
            </w:r>
          </w:p>
        </w:tc>
        <w:tc>
          <w:tcPr>
            <w:tcW w:w="1247" w:type="dxa"/>
            <w:gridSpan w:val="2"/>
            <w:tcBorders>
              <w:top w:val="single" w:sz="4" w:space="0" w:color="auto"/>
            </w:tcBorders>
            <w:vAlign w:val="bottom"/>
          </w:tcPr>
          <w:p w14:paraId="6A1D0AE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7375C2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21D8805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706F0D5A" w14:textId="77777777" w:rsidTr="00CD6276">
        <w:tc>
          <w:tcPr>
            <w:tcW w:w="6574" w:type="dxa"/>
            <w:vAlign w:val="bottom"/>
          </w:tcPr>
          <w:p w14:paraId="4F2DF085" w14:textId="78CA803F"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 xml:space="preserve">Item 6 — </w:t>
            </w:r>
            <w:r w:rsidR="00EF1561">
              <w:rPr>
                <w:rFonts w:cstheme="majorHAnsi"/>
                <w:b/>
                <w:sz w:val="20"/>
                <w:szCs w:val="20"/>
              </w:rPr>
              <w:t>Reserved</w:t>
            </w:r>
          </w:p>
        </w:tc>
        <w:tc>
          <w:tcPr>
            <w:tcW w:w="1247" w:type="dxa"/>
            <w:gridSpan w:val="2"/>
            <w:tcBorders>
              <w:top w:val="single" w:sz="4" w:space="0" w:color="auto"/>
            </w:tcBorders>
            <w:vAlign w:val="bottom"/>
          </w:tcPr>
          <w:p w14:paraId="30710C5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BF2256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139230D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93EE2D3" w14:textId="77777777" w:rsidTr="00CD6276">
        <w:tc>
          <w:tcPr>
            <w:tcW w:w="6574" w:type="dxa"/>
            <w:vAlign w:val="bottom"/>
          </w:tcPr>
          <w:p w14:paraId="5BF09005" w14:textId="77777777" w:rsidR="008458AB" w:rsidRPr="008458AB" w:rsidRDefault="008458AB" w:rsidP="00C37ABA">
            <w:pPr>
              <w:pStyle w:val="standard"/>
              <w:keepNext/>
              <w:widowControl w:val="0"/>
              <w:spacing w:before="120" w:after="120" w:line="240" w:lineRule="atLeast"/>
              <w:rPr>
                <w:rFonts w:cstheme="majorHAnsi"/>
                <w:bCs/>
                <w:sz w:val="20"/>
                <w:szCs w:val="20"/>
              </w:rPr>
            </w:pPr>
            <w:r w:rsidRPr="008458AB">
              <w:rPr>
                <w:rFonts w:cstheme="majorHAnsi"/>
                <w:b/>
                <w:sz w:val="20"/>
                <w:szCs w:val="20"/>
              </w:rPr>
              <w:t>Item 7 — Management’s Discussion and Analysis of Financial Condition and Results of Operations</w:t>
            </w:r>
          </w:p>
        </w:tc>
        <w:tc>
          <w:tcPr>
            <w:tcW w:w="1247" w:type="dxa"/>
            <w:gridSpan w:val="2"/>
            <w:vAlign w:val="bottom"/>
          </w:tcPr>
          <w:p w14:paraId="36D1FB7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0A9C4E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7BF47BC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D931B6C" w14:textId="77777777" w:rsidTr="00CD6276">
        <w:tc>
          <w:tcPr>
            <w:tcW w:w="6574" w:type="dxa"/>
            <w:vAlign w:val="bottom"/>
          </w:tcPr>
          <w:p w14:paraId="0C909917" w14:textId="1BC8803F" w:rsidR="008458AB" w:rsidRPr="008458AB" w:rsidRDefault="008458AB" w:rsidP="005414D4">
            <w:pPr>
              <w:pStyle w:val="levela"/>
              <w:widowControl w:val="0"/>
              <w:numPr>
                <w:ilvl w:val="0"/>
                <w:numId w:val="22"/>
              </w:numPr>
              <w:tabs>
                <w:tab w:val="clear" w:pos="576"/>
              </w:tabs>
              <w:spacing w:before="120" w:after="120" w:line="240" w:lineRule="atLeast"/>
              <w:ind w:left="250" w:hanging="250"/>
              <w:rPr>
                <w:rFonts w:cstheme="majorHAnsi"/>
                <w:b/>
                <w:sz w:val="20"/>
                <w:szCs w:val="20"/>
              </w:rPr>
            </w:pPr>
            <w:r w:rsidRPr="008458AB">
              <w:rPr>
                <w:rFonts w:cstheme="majorHAnsi"/>
                <w:sz w:val="20"/>
                <w:szCs w:val="20"/>
              </w:rPr>
              <w:t xml:space="preserve">Provide the disclosure called for by Regulation S-K, Item 303, “Management’s Discussion and Analysis of Financial Condition and Results of Operations.” </w:t>
            </w:r>
            <w:r w:rsidRPr="001571FF">
              <w:rPr>
                <w:rFonts w:cstheme="majorHAnsi"/>
                <w:sz w:val="20"/>
                <w:szCs w:val="20"/>
              </w:rPr>
              <w:t xml:space="preserve">Refer to </w:t>
            </w:r>
            <w:r w:rsidRPr="001571FF">
              <w:rPr>
                <w:rFonts w:cstheme="majorHAnsi"/>
                <w:i/>
                <w:sz w:val="20"/>
                <w:szCs w:val="20"/>
              </w:rPr>
              <w:t>SEC Compliance Checklist — General</w:t>
            </w:r>
            <w:r w:rsidRPr="001571FF">
              <w:rPr>
                <w:rFonts w:cstheme="majorHAnsi"/>
                <w:sz w:val="20"/>
                <w:szCs w:val="20"/>
              </w:rPr>
              <w:t>,</w:t>
            </w:r>
            <w:r w:rsidRPr="001571FF">
              <w:rPr>
                <w:rFonts w:cstheme="majorHAnsi"/>
                <w:i/>
                <w:sz w:val="20"/>
                <w:szCs w:val="20"/>
              </w:rPr>
              <w:t xml:space="preserve"> </w:t>
            </w:r>
            <w:r w:rsidRPr="001571FF">
              <w:rPr>
                <w:rFonts w:cstheme="majorHAnsi"/>
                <w:sz w:val="20"/>
                <w:szCs w:val="20"/>
              </w:rPr>
              <w:t>for detailed guidance</w:t>
            </w:r>
            <w:r w:rsidRPr="008458AB">
              <w:rPr>
                <w:rFonts w:cstheme="majorHAnsi"/>
                <w:sz w:val="20"/>
                <w:szCs w:val="20"/>
              </w:rPr>
              <w:t>.</w:t>
            </w:r>
          </w:p>
        </w:tc>
        <w:tc>
          <w:tcPr>
            <w:tcW w:w="1247" w:type="dxa"/>
            <w:gridSpan w:val="2"/>
            <w:tcBorders>
              <w:bottom w:val="single" w:sz="4" w:space="0" w:color="auto"/>
            </w:tcBorders>
            <w:vAlign w:val="bottom"/>
          </w:tcPr>
          <w:p w14:paraId="224DB21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9B4FE2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4F8819E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C37ABA" w:rsidRPr="008458AB" w14:paraId="0F3E53F6" w14:textId="77777777" w:rsidTr="008868E3">
        <w:tc>
          <w:tcPr>
            <w:tcW w:w="6574" w:type="dxa"/>
            <w:vAlign w:val="bottom"/>
          </w:tcPr>
          <w:p w14:paraId="6F02BB3D" w14:textId="0A7E4ABC" w:rsidR="00C37ABA" w:rsidRPr="008458AB" w:rsidRDefault="00C37ABA" w:rsidP="00FD5532">
            <w:pPr>
              <w:pStyle w:val="levela"/>
              <w:widowControl w:val="0"/>
              <w:numPr>
                <w:ilvl w:val="0"/>
                <w:numId w:val="22"/>
              </w:numPr>
              <w:tabs>
                <w:tab w:val="clear" w:pos="576"/>
              </w:tabs>
              <w:spacing w:before="120" w:after="120" w:line="240" w:lineRule="atLeast"/>
              <w:ind w:left="250" w:hanging="250"/>
              <w:rPr>
                <w:rFonts w:cstheme="majorHAnsi"/>
                <w:sz w:val="20"/>
                <w:szCs w:val="20"/>
              </w:rPr>
            </w:pPr>
            <w:r w:rsidRPr="008458AB">
              <w:rPr>
                <w:rFonts w:cstheme="majorHAnsi"/>
                <w:sz w:val="20"/>
                <w:szCs w:val="20"/>
              </w:rPr>
              <w:t xml:space="preserve">The SEC staff continues to focus on enhancing disclosures, particularly in Management’s Discussion and Analysis of Financial Condition and Results of Operations (MD&amp;A). The SEC staff has expressed that an executive summary at the beginning of MD&amp;A would be useful to set the stage for the following discussion and that the involvement of executive management in the preparation and review of MD&amp;A is critical.  The SEC staff’s views are encompassed in an interpretive release (Release 33-8350) issued on December 19, 2003. The full text of the interpretation can be found at </w:t>
            </w:r>
            <w:hyperlink r:id="rId18" w:history="1">
              <w:r w:rsidRPr="0004289F">
                <w:rPr>
                  <w:rFonts w:cstheme="majorHAnsi"/>
                  <w:color w:val="62B5E5"/>
                  <w:sz w:val="20"/>
                  <w:szCs w:val="20"/>
                  <w:u w:val="single"/>
                </w:rPr>
                <w:t>http://www.sec.gov/rules/interp/33-8350.htm</w:t>
              </w:r>
            </w:hyperlink>
            <w:r w:rsidRPr="008458AB">
              <w:rPr>
                <w:rFonts w:cstheme="majorHAnsi"/>
                <w:sz w:val="20"/>
                <w:szCs w:val="20"/>
              </w:rPr>
              <w:t>.</w:t>
            </w:r>
          </w:p>
        </w:tc>
        <w:tc>
          <w:tcPr>
            <w:tcW w:w="1247" w:type="dxa"/>
            <w:gridSpan w:val="2"/>
            <w:tcBorders>
              <w:top w:val="single" w:sz="4" w:space="0" w:color="auto"/>
            </w:tcBorders>
            <w:vAlign w:val="bottom"/>
          </w:tcPr>
          <w:p w14:paraId="56D61323"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6DA908D8"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08C52C3A"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r>
      <w:tr w:rsidR="00C37ABA" w:rsidRPr="008458AB" w14:paraId="49F2D30E" w14:textId="77777777" w:rsidTr="008868E3">
        <w:tc>
          <w:tcPr>
            <w:tcW w:w="6574" w:type="dxa"/>
            <w:vAlign w:val="bottom"/>
          </w:tcPr>
          <w:p w14:paraId="710E3E54" w14:textId="7C018CF0" w:rsidR="00C37ABA" w:rsidRPr="008458AB" w:rsidRDefault="00C37ABA" w:rsidP="005414D4">
            <w:pPr>
              <w:pStyle w:val="levela"/>
              <w:widowControl w:val="0"/>
              <w:numPr>
                <w:ilvl w:val="0"/>
                <w:numId w:val="22"/>
              </w:numPr>
              <w:tabs>
                <w:tab w:val="clear" w:pos="576"/>
              </w:tabs>
              <w:spacing w:before="120" w:after="120" w:line="240" w:lineRule="atLeast"/>
              <w:ind w:left="250" w:hanging="250"/>
              <w:rPr>
                <w:rFonts w:cstheme="majorHAnsi"/>
                <w:sz w:val="20"/>
                <w:szCs w:val="20"/>
              </w:rPr>
            </w:pPr>
            <w:r w:rsidRPr="008458AB">
              <w:rPr>
                <w:rFonts w:cstheme="majorHAnsi"/>
                <w:sz w:val="20"/>
                <w:szCs w:val="20"/>
              </w:rPr>
              <w:t>The Deloitte publication</w:t>
            </w:r>
            <w:r w:rsidRPr="0004289F">
              <w:rPr>
                <w:rFonts w:cstheme="majorHAnsi"/>
                <w:color w:val="62B5E5"/>
                <w:sz w:val="20"/>
                <w:szCs w:val="20"/>
                <w:u w:val="single"/>
              </w:rPr>
              <w:t xml:space="preserve">, </w:t>
            </w:r>
            <w:hyperlink r:id="rId19" w:history="1">
              <w:r w:rsidRPr="0004289F">
                <w:rPr>
                  <w:rFonts w:cstheme="majorHAnsi"/>
                  <w:color w:val="62B5E5"/>
                  <w:sz w:val="20"/>
                  <w:szCs w:val="20"/>
                  <w:u w:val="single"/>
                </w:rPr>
                <w:t>SEC Comment Letter Considerations, Including Industry Insights</w:t>
              </w:r>
            </w:hyperlink>
            <w:r w:rsidRPr="008458AB">
              <w:rPr>
                <w:rFonts w:cstheme="majorHAnsi"/>
                <w:sz w:val="20"/>
                <w:szCs w:val="20"/>
              </w:rPr>
              <w:t xml:space="preserve">, and various Deloitte Heads Up publications on the annual </w:t>
            </w:r>
            <w:r w:rsidRPr="008458AB">
              <w:rPr>
                <w:rFonts w:cstheme="majorHAnsi"/>
                <w:sz w:val="20"/>
                <w:szCs w:val="20"/>
              </w:rPr>
              <w:lastRenderedPageBreak/>
              <w:t>AICPA-SEC Conference can provide additional insight into the SEC’s views on disclosure in MD&amp;A and areas of frequent SEC comments in MD&amp;A.</w:t>
            </w:r>
          </w:p>
        </w:tc>
        <w:tc>
          <w:tcPr>
            <w:tcW w:w="1247" w:type="dxa"/>
            <w:gridSpan w:val="2"/>
            <w:tcBorders>
              <w:bottom w:val="single" w:sz="4" w:space="0" w:color="auto"/>
            </w:tcBorders>
            <w:vAlign w:val="bottom"/>
          </w:tcPr>
          <w:p w14:paraId="4A7A1BF8"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98FD1E2"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2D73AE4F"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r>
      <w:tr w:rsidR="00C37ABA" w:rsidRPr="008458AB" w14:paraId="20CD2A75" w14:textId="77777777" w:rsidTr="008868E3">
        <w:tc>
          <w:tcPr>
            <w:tcW w:w="6574" w:type="dxa"/>
            <w:vAlign w:val="bottom"/>
          </w:tcPr>
          <w:p w14:paraId="6878C716" w14:textId="5C890286" w:rsidR="00C37ABA" w:rsidRPr="008458AB" w:rsidRDefault="007F16D1" w:rsidP="4F4C4721">
            <w:pPr>
              <w:pStyle w:val="levela"/>
              <w:widowControl w:val="0"/>
              <w:numPr>
                <w:ilvl w:val="0"/>
                <w:numId w:val="22"/>
              </w:numPr>
              <w:tabs>
                <w:tab w:val="clear" w:pos="576"/>
              </w:tabs>
              <w:spacing w:before="120" w:after="120" w:line="240" w:lineRule="atLeast"/>
              <w:ind w:left="250" w:hanging="250"/>
              <w:rPr>
                <w:rFonts w:cstheme="majorBidi"/>
                <w:sz w:val="20"/>
                <w:szCs w:val="20"/>
              </w:rPr>
            </w:pPr>
            <w:r w:rsidRPr="4F4C4721">
              <w:rPr>
                <w:rFonts w:cstheme="majorBidi"/>
                <w:sz w:val="20"/>
                <w:szCs w:val="20"/>
              </w:rPr>
              <w:t xml:space="preserve">Pursuant to </w:t>
            </w:r>
            <w:r w:rsidRPr="4F4C4721">
              <w:rPr>
                <w:rFonts w:cstheme="majorBidi"/>
                <w:sz w:val="20"/>
                <w:szCs w:val="20"/>
              </w:rPr>
              <w:t>Instructions</w:t>
            </w:r>
            <w:r w:rsidR="00B53B33" w:rsidRPr="4F4C4721">
              <w:rPr>
                <w:rFonts w:cstheme="majorBidi"/>
                <w:sz w:val="20"/>
                <w:szCs w:val="20"/>
              </w:rPr>
              <w:t xml:space="preserve"> to paragraph (b) of Item 303 of </w:t>
            </w:r>
            <w:r w:rsidR="00C37ABA" w:rsidRPr="4F4C4721">
              <w:rPr>
                <w:rFonts w:cstheme="majorBidi"/>
                <w:sz w:val="20"/>
                <w:szCs w:val="20"/>
              </w:rPr>
              <w:t>Regulation S-K, registrants may omit discussion of the earliest year if such discussion was already included in any of the registrants’ prior EDGAR filings that required such information. Registrants electing to omit discussion of the earliest year must disclose, in the current filing, the location of such discussion in the prior filing</w:t>
            </w:r>
            <w:r w:rsidR="00AE2ED1" w:rsidRPr="4F4C4721">
              <w:rPr>
                <w:rFonts w:cstheme="majorBidi"/>
                <w:sz w:val="20"/>
                <w:szCs w:val="20"/>
              </w:rPr>
              <w:t xml:space="preserve">, and expressly </w:t>
            </w:r>
            <w:r w:rsidR="00A7322B">
              <w:rPr>
                <w:rFonts w:cstheme="majorBidi"/>
                <w:sz w:val="20"/>
                <w:szCs w:val="20"/>
              </w:rPr>
              <w:t xml:space="preserve">incorporate </w:t>
            </w:r>
            <w:r w:rsidR="00AE2ED1" w:rsidRPr="4F4C4721">
              <w:rPr>
                <w:rFonts w:cstheme="majorBidi"/>
                <w:sz w:val="20"/>
                <w:szCs w:val="20"/>
              </w:rPr>
              <w:t>by reference its discussion from the previous filing</w:t>
            </w:r>
            <w:r w:rsidR="00E6600E" w:rsidRPr="4F4C4721">
              <w:rPr>
                <w:rFonts w:cstheme="majorBidi"/>
                <w:sz w:val="20"/>
                <w:szCs w:val="20"/>
              </w:rPr>
              <w:t>.</w:t>
            </w:r>
            <w:r w:rsidR="00C37ABA" w:rsidRPr="4F4C4721">
              <w:rPr>
                <w:rFonts w:cstheme="majorBidi"/>
                <w:sz w:val="20"/>
                <w:szCs w:val="20"/>
              </w:rPr>
              <w:t xml:space="preserve"> Registrants should consider the total mix of available information, including the impact of any recastable events (e.g., a discontinued operation or other retrospective accounting change), on the prior-period MD&amp;A when determining whether to omit discussion of the earliest year and the most appropriate form of presentation. If a registrant concludes that it is necessary to discuss operations related to the earliest period presented, it may limit the discussion to the information that has changed or has been determined to be significant to its operations or financial condition. The SEC issued </w:t>
            </w:r>
            <w:hyperlink r:id="rId20" w:anchor="110.02" w:history="1">
              <w:r w:rsidR="00C37ABA" w:rsidRPr="4F4C4721">
                <w:rPr>
                  <w:rStyle w:val="Hyperlink"/>
                  <w:rFonts w:cstheme="majorBidi"/>
                  <w:sz w:val="20"/>
                  <w:szCs w:val="20"/>
                </w:rPr>
                <w:t>CD&amp;Is section 110</w:t>
              </w:r>
            </w:hyperlink>
            <w:r w:rsidR="00E6600E" w:rsidRPr="4F4C4721">
              <w:rPr>
                <w:rStyle w:val="Hyperlink"/>
                <w:rFonts w:cstheme="majorBidi"/>
                <w:sz w:val="20"/>
                <w:szCs w:val="20"/>
              </w:rPr>
              <w:t>.02</w:t>
            </w:r>
            <w:r w:rsidR="00E6600E" w:rsidRPr="00CD6276">
              <w:rPr>
                <w:rStyle w:val="Hyperlink"/>
                <w:rFonts w:cstheme="majorBidi"/>
                <w:color w:val="auto"/>
                <w:sz w:val="20"/>
                <w:szCs w:val="20"/>
                <w:u w:val="none"/>
              </w:rPr>
              <w:t>, which</w:t>
            </w:r>
            <w:r w:rsidR="00C37ABA" w:rsidRPr="4F4C4721">
              <w:rPr>
                <w:rFonts w:cstheme="majorBidi"/>
                <w:sz w:val="20"/>
                <w:szCs w:val="20"/>
              </w:rPr>
              <w:t xml:space="preserve"> states </w:t>
            </w:r>
            <w:r w:rsidR="00271518" w:rsidRPr="4F4C4721">
              <w:rPr>
                <w:rFonts w:cstheme="majorBidi"/>
                <w:sz w:val="20"/>
                <w:szCs w:val="20"/>
              </w:rPr>
              <w:t xml:space="preserve">that </w:t>
            </w:r>
            <w:r w:rsidR="00C37ABA" w:rsidRPr="4F4C4721">
              <w:rPr>
                <w:rFonts w:cstheme="majorBidi"/>
                <w:sz w:val="20"/>
                <w:szCs w:val="20"/>
              </w:rPr>
              <w:t xml:space="preserve">merely identifying the location in a prior filing where the omitted discussion can be found does not incorporate such disclosure into the filing unless the registrant expressly states that the information is incorporated by reference.  </w:t>
            </w:r>
          </w:p>
        </w:tc>
        <w:tc>
          <w:tcPr>
            <w:tcW w:w="1247" w:type="dxa"/>
            <w:gridSpan w:val="2"/>
            <w:tcBorders>
              <w:top w:val="single" w:sz="4" w:space="0" w:color="auto"/>
              <w:bottom w:val="single" w:sz="4" w:space="0" w:color="auto"/>
            </w:tcBorders>
            <w:vAlign w:val="bottom"/>
          </w:tcPr>
          <w:p w14:paraId="7C7A838F"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03160CB9"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7FF2CDC6" w14:textId="77777777" w:rsidR="00C37ABA" w:rsidRPr="008458AB" w:rsidRDefault="00C37ABA" w:rsidP="008458AB">
            <w:pPr>
              <w:pStyle w:val="levela"/>
              <w:widowControl w:val="0"/>
              <w:spacing w:before="120" w:after="120" w:line="240" w:lineRule="atLeast"/>
              <w:ind w:left="0" w:firstLine="0"/>
              <w:rPr>
                <w:rFonts w:cstheme="majorHAnsi"/>
                <w:bCs/>
                <w:sz w:val="20"/>
                <w:szCs w:val="20"/>
              </w:rPr>
            </w:pPr>
          </w:p>
        </w:tc>
      </w:tr>
      <w:tr w:rsidR="0012211B" w:rsidRPr="008458AB" w14:paraId="70F49D16" w14:textId="77777777" w:rsidTr="00CD6276">
        <w:tc>
          <w:tcPr>
            <w:tcW w:w="6574" w:type="dxa"/>
            <w:vAlign w:val="bottom"/>
          </w:tcPr>
          <w:p w14:paraId="7AFF597B" w14:textId="7D09FEBB" w:rsidR="0012211B" w:rsidRDefault="009647F8" w:rsidP="005414D4">
            <w:pPr>
              <w:pStyle w:val="levela"/>
              <w:widowControl w:val="0"/>
              <w:numPr>
                <w:ilvl w:val="0"/>
                <w:numId w:val="22"/>
              </w:numPr>
              <w:tabs>
                <w:tab w:val="clear" w:pos="576"/>
              </w:tabs>
              <w:spacing w:before="120" w:after="120" w:line="240" w:lineRule="atLeast"/>
              <w:ind w:left="250" w:hanging="250"/>
              <w:rPr>
                <w:rFonts w:cstheme="majorHAnsi"/>
                <w:sz w:val="20"/>
                <w:szCs w:val="20"/>
              </w:rPr>
            </w:pPr>
            <w:r>
              <w:rPr>
                <w:rFonts w:cstheme="majorHAnsi"/>
                <w:sz w:val="20"/>
                <w:szCs w:val="20"/>
              </w:rPr>
              <w:t>Provide the disclosures required by Regulation S-X Rule 13-01 if the parent company elects to provide such disclosures in the MD&amp;</w:t>
            </w:r>
            <w:r w:rsidR="00B804C2">
              <w:rPr>
                <w:rFonts w:cstheme="majorHAnsi"/>
                <w:sz w:val="20"/>
                <w:szCs w:val="20"/>
              </w:rPr>
              <w:t>A</w:t>
            </w:r>
            <w:r w:rsidR="00D76205">
              <w:rPr>
                <w:rFonts w:cstheme="majorHAnsi"/>
                <w:sz w:val="20"/>
                <w:szCs w:val="20"/>
              </w:rPr>
              <w:t xml:space="preserve"> (see </w:t>
            </w:r>
            <w:r w:rsidR="00D76205" w:rsidRPr="003B68D1">
              <w:rPr>
                <w:rFonts w:cstheme="majorHAnsi"/>
                <w:i/>
                <w:iCs/>
                <w:sz w:val="20"/>
                <w:szCs w:val="20"/>
              </w:rPr>
              <w:t>SEC Compliance Checklist – General</w:t>
            </w:r>
            <w:r w:rsidR="00D76205">
              <w:rPr>
                <w:rFonts w:cstheme="majorHAnsi"/>
                <w:sz w:val="20"/>
                <w:szCs w:val="20"/>
              </w:rPr>
              <w:t>).</w:t>
            </w:r>
          </w:p>
        </w:tc>
        <w:tc>
          <w:tcPr>
            <w:tcW w:w="1247" w:type="dxa"/>
            <w:gridSpan w:val="2"/>
            <w:tcBorders>
              <w:top w:val="single" w:sz="4" w:space="0" w:color="auto"/>
              <w:bottom w:val="single" w:sz="4" w:space="0" w:color="auto"/>
            </w:tcBorders>
            <w:vAlign w:val="bottom"/>
          </w:tcPr>
          <w:p w14:paraId="3118C862" w14:textId="77777777" w:rsidR="0012211B" w:rsidRPr="008458AB" w:rsidRDefault="0012211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ECC2574" w14:textId="77777777" w:rsidR="0012211B" w:rsidRPr="008458AB" w:rsidRDefault="0012211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18C5A26B" w14:textId="77777777" w:rsidR="0012211B" w:rsidRPr="008458AB" w:rsidRDefault="0012211B" w:rsidP="008458AB">
            <w:pPr>
              <w:pStyle w:val="levela"/>
              <w:widowControl w:val="0"/>
              <w:spacing w:before="120" w:after="120" w:line="240" w:lineRule="atLeast"/>
              <w:ind w:left="0" w:firstLine="0"/>
              <w:rPr>
                <w:rFonts w:cstheme="majorHAnsi"/>
                <w:bCs/>
                <w:sz w:val="20"/>
                <w:szCs w:val="20"/>
              </w:rPr>
            </w:pPr>
          </w:p>
        </w:tc>
      </w:tr>
      <w:tr w:rsidR="008458AB" w:rsidRPr="008458AB" w14:paraId="225053DD" w14:textId="77777777" w:rsidTr="00CD6276">
        <w:tc>
          <w:tcPr>
            <w:tcW w:w="6574" w:type="dxa"/>
            <w:vAlign w:val="bottom"/>
          </w:tcPr>
          <w:p w14:paraId="50E8CA05" w14:textId="77777777" w:rsidR="008458AB" w:rsidRPr="008458AB" w:rsidRDefault="008458AB" w:rsidP="008458AB">
            <w:pPr>
              <w:pStyle w:val="standard"/>
              <w:widowControl w:val="0"/>
              <w:spacing w:before="120" w:after="120" w:line="240" w:lineRule="atLeast"/>
              <w:rPr>
                <w:rFonts w:cstheme="majorHAnsi"/>
                <w:b/>
                <w:sz w:val="20"/>
                <w:szCs w:val="20"/>
              </w:rPr>
            </w:pPr>
            <w:r w:rsidRPr="008458AB">
              <w:rPr>
                <w:rFonts w:cstheme="majorHAnsi"/>
                <w:b/>
                <w:sz w:val="20"/>
                <w:szCs w:val="20"/>
              </w:rPr>
              <w:t>Item 7A — Quantitative and Qualitative Disclosures About Market Risk</w:t>
            </w:r>
          </w:p>
        </w:tc>
        <w:tc>
          <w:tcPr>
            <w:tcW w:w="1247" w:type="dxa"/>
            <w:gridSpan w:val="2"/>
            <w:tcBorders>
              <w:top w:val="single" w:sz="4" w:space="0" w:color="auto"/>
            </w:tcBorders>
            <w:vAlign w:val="bottom"/>
          </w:tcPr>
          <w:p w14:paraId="0D9B116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0F6C83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666B201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B92889D" w14:textId="77777777" w:rsidTr="4F4C4721">
        <w:tc>
          <w:tcPr>
            <w:tcW w:w="6574" w:type="dxa"/>
            <w:vAlign w:val="bottom"/>
          </w:tcPr>
          <w:p w14:paraId="7EAE1A66" w14:textId="58F8B1F4" w:rsidR="008458AB" w:rsidRPr="008458AB" w:rsidRDefault="008458AB" w:rsidP="005414D4">
            <w:pPr>
              <w:pStyle w:val="levela"/>
              <w:widowControl w:val="0"/>
              <w:numPr>
                <w:ilvl w:val="0"/>
                <w:numId w:val="23"/>
              </w:numPr>
              <w:tabs>
                <w:tab w:val="clear" w:pos="576"/>
              </w:tabs>
              <w:spacing w:before="120" w:after="120" w:line="240" w:lineRule="atLeast"/>
              <w:ind w:left="250" w:hanging="250"/>
              <w:rPr>
                <w:rFonts w:cstheme="majorHAnsi"/>
                <w:b/>
                <w:sz w:val="20"/>
                <w:szCs w:val="20"/>
              </w:rPr>
            </w:pPr>
            <w:r w:rsidRPr="008458AB">
              <w:rPr>
                <w:rFonts w:cstheme="majorHAnsi"/>
                <w:sz w:val="20"/>
                <w:szCs w:val="20"/>
              </w:rPr>
              <w:t xml:space="preserve">Furnish the information required by Item 305 of Regulation S-K. </w:t>
            </w:r>
            <w:r w:rsidRPr="00715DF9">
              <w:rPr>
                <w:rFonts w:cstheme="majorHAnsi"/>
                <w:sz w:val="20"/>
                <w:szCs w:val="20"/>
              </w:rPr>
              <w:t xml:space="preserve">Refer to </w:t>
            </w:r>
            <w:r w:rsidRPr="00715DF9">
              <w:rPr>
                <w:rFonts w:cstheme="majorHAnsi"/>
                <w:i/>
                <w:sz w:val="20"/>
                <w:szCs w:val="20"/>
              </w:rPr>
              <w:t>SEC Compliance Checklist — General</w:t>
            </w:r>
            <w:r w:rsidRPr="00715DF9">
              <w:rPr>
                <w:rFonts w:cstheme="majorHAnsi"/>
                <w:sz w:val="20"/>
                <w:szCs w:val="20"/>
              </w:rPr>
              <w:t>, for detailed guidance.</w:t>
            </w:r>
          </w:p>
        </w:tc>
        <w:tc>
          <w:tcPr>
            <w:tcW w:w="1247" w:type="dxa"/>
            <w:gridSpan w:val="2"/>
            <w:tcBorders>
              <w:bottom w:val="single" w:sz="4" w:space="0" w:color="auto"/>
            </w:tcBorders>
            <w:vAlign w:val="bottom"/>
          </w:tcPr>
          <w:p w14:paraId="7837C87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0F118DF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2F7FFA6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08A3C3A" w14:textId="77777777" w:rsidTr="4F4C4721">
        <w:tc>
          <w:tcPr>
            <w:tcW w:w="6574" w:type="dxa"/>
            <w:vAlign w:val="bottom"/>
          </w:tcPr>
          <w:p w14:paraId="6F8FF035" w14:textId="77777777" w:rsidR="008458AB" w:rsidRPr="008458AB" w:rsidRDefault="008458AB" w:rsidP="00BB5D19">
            <w:pPr>
              <w:pStyle w:val="standard"/>
              <w:keepNext/>
              <w:widowControl w:val="0"/>
              <w:spacing w:before="120" w:after="120" w:line="240" w:lineRule="atLeast"/>
              <w:rPr>
                <w:rFonts w:cstheme="majorHAnsi"/>
                <w:sz w:val="20"/>
                <w:szCs w:val="20"/>
              </w:rPr>
            </w:pPr>
            <w:r w:rsidRPr="008458AB">
              <w:rPr>
                <w:rFonts w:cstheme="majorHAnsi"/>
                <w:b/>
                <w:sz w:val="20"/>
                <w:szCs w:val="20"/>
              </w:rPr>
              <w:t xml:space="preserve">Item 8 — Financial Statements and Supplementary Data </w:t>
            </w:r>
          </w:p>
        </w:tc>
        <w:tc>
          <w:tcPr>
            <w:tcW w:w="1247" w:type="dxa"/>
            <w:gridSpan w:val="2"/>
            <w:vAlign w:val="bottom"/>
          </w:tcPr>
          <w:p w14:paraId="7FFF272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A8DCD6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2D0E826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F96CA2" w:rsidRPr="008458AB" w14:paraId="503F1856" w14:textId="77777777" w:rsidTr="4F4C4721">
        <w:tc>
          <w:tcPr>
            <w:tcW w:w="6574" w:type="dxa"/>
            <w:vAlign w:val="bottom"/>
          </w:tcPr>
          <w:p w14:paraId="7DD1321A" w14:textId="23625C00" w:rsidR="00F96CA2" w:rsidRPr="008458AB" w:rsidRDefault="00F96CA2" w:rsidP="005414D4">
            <w:pPr>
              <w:pStyle w:val="levela"/>
              <w:widowControl w:val="0"/>
              <w:numPr>
                <w:ilvl w:val="0"/>
                <w:numId w:val="24"/>
              </w:numPr>
              <w:tabs>
                <w:tab w:val="clear" w:pos="576"/>
              </w:tabs>
              <w:spacing w:before="120" w:after="120" w:line="240" w:lineRule="atLeast"/>
              <w:ind w:left="250" w:hanging="250"/>
              <w:rPr>
                <w:rFonts w:cstheme="majorHAnsi"/>
                <w:sz w:val="20"/>
                <w:szCs w:val="20"/>
              </w:rPr>
            </w:pPr>
            <w:r w:rsidRPr="008458AB">
              <w:rPr>
                <w:rFonts w:cstheme="majorHAnsi"/>
                <w:sz w:val="20"/>
                <w:szCs w:val="20"/>
              </w:rPr>
              <w:t>Provide financial statements meeting the</w:t>
            </w:r>
            <w:r>
              <w:rPr>
                <w:rFonts w:cstheme="majorHAnsi"/>
                <w:sz w:val="20"/>
                <w:szCs w:val="20"/>
              </w:rPr>
              <w:t xml:space="preserve"> </w:t>
            </w:r>
            <w:r w:rsidRPr="008458AB">
              <w:rPr>
                <w:rFonts w:cstheme="majorHAnsi"/>
                <w:sz w:val="20"/>
                <w:szCs w:val="20"/>
              </w:rPr>
              <w:t>requirements of Regulation S-X (except for Rule</w:t>
            </w:r>
            <w:r>
              <w:rPr>
                <w:rFonts w:cstheme="majorHAnsi"/>
                <w:sz w:val="20"/>
                <w:szCs w:val="20"/>
              </w:rPr>
              <w:t xml:space="preserve"> </w:t>
            </w:r>
            <w:r w:rsidRPr="008458AB">
              <w:rPr>
                <w:rFonts w:cstheme="majorHAnsi"/>
                <w:sz w:val="20"/>
                <w:szCs w:val="20"/>
              </w:rPr>
              <w:t xml:space="preserve">3-05, Rule 3-14, and Article 11) and the supplementary financial information required by Item 302 of Regulation S-K. </w:t>
            </w:r>
          </w:p>
        </w:tc>
        <w:tc>
          <w:tcPr>
            <w:tcW w:w="1247" w:type="dxa"/>
            <w:gridSpan w:val="2"/>
            <w:tcBorders>
              <w:bottom w:val="single" w:sz="4" w:space="0" w:color="auto"/>
            </w:tcBorders>
            <w:vAlign w:val="bottom"/>
          </w:tcPr>
          <w:p w14:paraId="5D7C1976" w14:textId="77777777" w:rsidR="00F96CA2" w:rsidRPr="008458AB" w:rsidRDefault="00F96CA2"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CE9B42E" w14:textId="77777777" w:rsidR="00F96CA2" w:rsidRPr="008458AB" w:rsidRDefault="00F96CA2"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2CB253A1" w14:textId="77777777" w:rsidR="00F96CA2" w:rsidRPr="008458AB" w:rsidRDefault="00F96CA2" w:rsidP="008458AB">
            <w:pPr>
              <w:pStyle w:val="levela"/>
              <w:widowControl w:val="0"/>
              <w:spacing w:before="120" w:after="120" w:line="240" w:lineRule="atLeast"/>
              <w:ind w:left="0" w:firstLine="0"/>
              <w:rPr>
                <w:rFonts w:cstheme="majorHAnsi"/>
                <w:bCs/>
                <w:sz w:val="20"/>
                <w:szCs w:val="20"/>
              </w:rPr>
            </w:pPr>
          </w:p>
        </w:tc>
      </w:tr>
      <w:tr w:rsidR="008458AB" w:rsidRPr="008458AB" w14:paraId="0122298C" w14:textId="77777777" w:rsidTr="4F4C4721">
        <w:tc>
          <w:tcPr>
            <w:tcW w:w="6574" w:type="dxa"/>
            <w:vAlign w:val="bottom"/>
          </w:tcPr>
          <w:p w14:paraId="569887DB" w14:textId="7D5436F2" w:rsidR="008458AB" w:rsidRPr="008458AB" w:rsidRDefault="008458AB" w:rsidP="005414D4">
            <w:pPr>
              <w:pStyle w:val="levela"/>
              <w:widowControl w:val="0"/>
              <w:numPr>
                <w:ilvl w:val="0"/>
                <w:numId w:val="24"/>
              </w:numPr>
              <w:tabs>
                <w:tab w:val="clear" w:pos="576"/>
              </w:tabs>
              <w:spacing w:before="120" w:after="120" w:line="240" w:lineRule="atLeast"/>
              <w:ind w:left="250" w:hanging="250"/>
              <w:rPr>
                <w:rFonts w:cstheme="majorHAnsi"/>
                <w:sz w:val="20"/>
                <w:szCs w:val="20"/>
              </w:rPr>
            </w:pPr>
            <w:r w:rsidRPr="008458AB">
              <w:rPr>
                <w:rFonts w:cstheme="majorHAnsi"/>
                <w:sz w:val="20"/>
                <w:szCs w:val="20"/>
              </w:rPr>
              <w:t>The following audited consolidated financial statements of the registrant and its subsidiaries are required in comparative columnar form:</w:t>
            </w:r>
          </w:p>
        </w:tc>
        <w:tc>
          <w:tcPr>
            <w:tcW w:w="1247" w:type="dxa"/>
            <w:gridSpan w:val="2"/>
            <w:tcBorders>
              <w:top w:val="single" w:sz="4" w:space="0" w:color="auto"/>
            </w:tcBorders>
            <w:vAlign w:val="bottom"/>
          </w:tcPr>
          <w:p w14:paraId="34A0B58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45FBA4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377A1A4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A1C47A9" w14:textId="77777777" w:rsidTr="4F4C4721">
        <w:tc>
          <w:tcPr>
            <w:tcW w:w="6574" w:type="dxa"/>
            <w:vAlign w:val="bottom"/>
          </w:tcPr>
          <w:p w14:paraId="16A0968F" w14:textId="5666E062"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Balance sheet as of the end of each of the last</w:t>
            </w:r>
            <w:r w:rsidR="00D21BF3">
              <w:rPr>
                <w:rFonts w:cstheme="majorHAnsi"/>
                <w:sz w:val="20"/>
                <w:szCs w:val="20"/>
              </w:rPr>
              <w:t xml:space="preserve"> </w:t>
            </w:r>
            <w:r w:rsidRPr="008458AB">
              <w:rPr>
                <w:rFonts w:cstheme="majorHAnsi"/>
                <w:sz w:val="20"/>
                <w:szCs w:val="20"/>
              </w:rPr>
              <w:t>two years.</w:t>
            </w:r>
          </w:p>
        </w:tc>
        <w:tc>
          <w:tcPr>
            <w:tcW w:w="1247" w:type="dxa"/>
            <w:gridSpan w:val="2"/>
            <w:tcBorders>
              <w:bottom w:val="single" w:sz="6" w:space="0" w:color="auto"/>
            </w:tcBorders>
            <w:vAlign w:val="bottom"/>
          </w:tcPr>
          <w:p w14:paraId="29BCB65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7AC8E3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41D8012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B407B03" w14:textId="77777777" w:rsidTr="008868E3">
        <w:tc>
          <w:tcPr>
            <w:tcW w:w="6574" w:type="dxa"/>
            <w:vAlign w:val="bottom"/>
          </w:tcPr>
          <w:p w14:paraId="49F5EA5F" w14:textId="383D2E46"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t>Statement of comprehensive income for each of the three latest years.</w:t>
            </w:r>
          </w:p>
        </w:tc>
        <w:tc>
          <w:tcPr>
            <w:tcW w:w="1247" w:type="dxa"/>
            <w:gridSpan w:val="2"/>
            <w:tcBorders>
              <w:top w:val="single" w:sz="6" w:space="0" w:color="auto"/>
              <w:bottom w:val="single" w:sz="6" w:space="0" w:color="auto"/>
            </w:tcBorders>
            <w:vAlign w:val="bottom"/>
          </w:tcPr>
          <w:p w14:paraId="7A2D1F6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01A3A3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7937FF4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361A278B" w14:textId="77777777" w:rsidTr="008868E3">
        <w:tc>
          <w:tcPr>
            <w:tcW w:w="6574" w:type="dxa"/>
            <w:vAlign w:val="bottom"/>
          </w:tcPr>
          <w:p w14:paraId="13BBE95A" w14:textId="1E251643"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c.</w:t>
            </w:r>
            <w:r w:rsidRPr="008458AB">
              <w:rPr>
                <w:rFonts w:cstheme="majorHAnsi"/>
                <w:sz w:val="20"/>
                <w:szCs w:val="20"/>
              </w:rPr>
              <w:tab/>
              <w:t>Statement of cash flows for each of the three latest years.</w:t>
            </w:r>
          </w:p>
        </w:tc>
        <w:tc>
          <w:tcPr>
            <w:tcW w:w="1247" w:type="dxa"/>
            <w:gridSpan w:val="2"/>
            <w:tcBorders>
              <w:top w:val="single" w:sz="6" w:space="0" w:color="auto"/>
              <w:bottom w:val="single" w:sz="4" w:space="0" w:color="auto"/>
            </w:tcBorders>
            <w:vAlign w:val="bottom"/>
          </w:tcPr>
          <w:p w14:paraId="2AF3CB35"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65C77BD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30E764F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6714025" w14:textId="77777777" w:rsidTr="008868E3">
        <w:tc>
          <w:tcPr>
            <w:tcW w:w="6574" w:type="dxa"/>
            <w:vAlign w:val="bottom"/>
          </w:tcPr>
          <w:p w14:paraId="246BDC2F" w14:textId="77777777"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lastRenderedPageBreak/>
              <w:t>d.</w:t>
            </w:r>
            <w:r w:rsidRPr="008458AB">
              <w:rPr>
                <w:rFonts w:cstheme="majorHAnsi"/>
                <w:sz w:val="20"/>
                <w:szCs w:val="20"/>
              </w:rPr>
              <w:tab/>
              <w:t>Statement of shareholders’ equity (or footnote disclosure) — for each of the three latest years.</w:t>
            </w:r>
          </w:p>
        </w:tc>
        <w:tc>
          <w:tcPr>
            <w:tcW w:w="1247" w:type="dxa"/>
            <w:gridSpan w:val="2"/>
            <w:tcBorders>
              <w:top w:val="single" w:sz="4" w:space="0" w:color="auto"/>
              <w:bottom w:val="single" w:sz="4" w:space="0" w:color="auto"/>
            </w:tcBorders>
            <w:vAlign w:val="bottom"/>
          </w:tcPr>
          <w:p w14:paraId="58EAC50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194673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754991F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5CCAC032" w14:textId="77777777" w:rsidTr="0078434A">
        <w:tc>
          <w:tcPr>
            <w:tcW w:w="6574" w:type="dxa"/>
            <w:vAlign w:val="bottom"/>
          </w:tcPr>
          <w:p w14:paraId="6F3B7007" w14:textId="1946AF73" w:rsidR="008458AB" w:rsidRPr="008458AB" w:rsidRDefault="008458AB" w:rsidP="0078434A">
            <w:pPr>
              <w:pStyle w:val="levela"/>
              <w:widowControl w:val="0"/>
              <w:tabs>
                <w:tab w:val="clear" w:pos="576"/>
              </w:tabs>
              <w:spacing w:before="120" w:after="120" w:line="240" w:lineRule="atLeast"/>
              <w:ind w:left="250" w:firstLine="0"/>
              <w:rPr>
                <w:rFonts w:cstheme="majorHAnsi"/>
                <w:b/>
                <w:sz w:val="20"/>
                <w:szCs w:val="20"/>
              </w:rPr>
            </w:pPr>
            <w:r w:rsidRPr="008458AB">
              <w:rPr>
                <w:rFonts w:cstheme="majorHAnsi"/>
                <w:sz w:val="20"/>
                <w:szCs w:val="20"/>
              </w:rPr>
              <w:t>Other financial statements and schedules required under Regulation S-X may be filed as “Financial Statement Schedules” pursuant to Item 15, Exhibits, Financial Statement Schedules, and Reports on Form 8-K, of Form 10-K.</w:t>
            </w:r>
          </w:p>
        </w:tc>
        <w:tc>
          <w:tcPr>
            <w:tcW w:w="1247" w:type="dxa"/>
            <w:gridSpan w:val="2"/>
            <w:tcBorders>
              <w:top w:val="single" w:sz="4" w:space="0" w:color="auto"/>
              <w:bottom w:val="single" w:sz="4" w:space="0" w:color="auto"/>
            </w:tcBorders>
            <w:vAlign w:val="bottom"/>
          </w:tcPr>
          <w:p w14:paraId="5645B51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B418A5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2C6470D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868B1" w:rsidRPr="008458AB" w14:paraId="00B14E43" w14:textId="77777777" w:rsidTr="0078434A">
        <w:tc>
          <w:tcPr>
            <w:tcW w:w="6574" w:type="dxa"/>
            <w:vAlign w:val="bottom"/>
          </w:tcPr>
          <w:p w14:paraId="08521C1B" w14:textId="1F9BF09C" w:rsidR="008868B1" w:rsidRPr="008458AB" w:rsidRDefault="008868B1" w:rsidP="00BB5D19">
            <w:pPr>
              <w:pStyle w:val="levela"/>
              <w:widowControl w:val="0"/>
              <w:tabs>
                <w:tab w:val="clear" w:pos="576"/>
              </w:tabs>
              <w:spacing w:before="120" w:after="120" w:line="240" w:lineRule="atLeast"/>
              <w:ind w:left="250" w:firstLine="0"/>
              <w:rPr>
                <w:rFonts w:cstheme="majorHAnsi"/>
                <w:sz w:val="20"/>
                <w:szCs w:val="20"/>
              </w:rPr>
            </w:pPr>
            <w:r w:rsidRPr="008458AB">
              <w:rPr>
                <w:rFonts w:cstheme="majorHAnsi"/>
                <w:sz w:val="20"/>
                <w:szCs w:val="20"/>
              </w:rPr>
              <w:t>Note: A</w:t>
            </w:r>
            <w:r>
              <w:rPr>
                <w:rFonts w:cstheme="majorHAnsi"/>
                <w:sz w:val="20"/>
                <w:szCs w:val="20"/>
              </w:rPr>
              <w:t>n</w:t>
            </w:r>
            <w:r w:rsidRPr="008458AB">
              <w:rPr>
                <w:rFonts w:cstheme="majorHAnsi"/>
                <w:sz w:val="20"/>
                <w:szCs w:val="20"/>
              </w:rPr>
              <w:t xml:space="preserve"> SRC may provide the information required by Article 8 of Regulation S-X in lieu of any financial statements required by Item 8 of the Form 10-K. Article 8 of Regulation S-X requires SRCs to file an audited balance sheet as of the end of the two most recent fiscal years and audited statements of comprehensive income, cash flows and changes in stockholders’ equity and noncontrolling interests for the two most recent fiscal years. SRCs that choose to prepare their financial statements in accordance with Article 8 are not required to follow the presentation requirements of Rules 5-02 and 5-03 of Regulation S-X or provide the related note disclosures. SRCs can also omit the financial schedules required by Rule 5-04 and any note disclosures required by Rule 4-08 (with the exception of the derivative accounting policy disclosures in Rule 4-08(n)).</w:t>
            </w:r>
          </w:p>
        </w:tc>
        <w:tc>
          <w:tcPr>
            <w:tcW w:w="1247" w:type="dxa"/>
            <w:gridSpan w:val="2"/>
            <w:tcBorders>
              <w:top w:val="single" w:sz="4" w:space="0" w:color="auto"/>
            </w:tcBorders>
            <w:vAlign w:val="bottom"/>
          </w:tcPr>
          <w:p w14:paraId="510CEC1C" w14:textId="77777777" w:rsidR="008868B1" w:rsidRPr="008458AB" w:rsidRDefault="008868B1"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7CABFC4" w14:textId="77777777" w:rsidR="008868B1" w:rsidRPr="008458AB" w:rsidRDefault="008868B1"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382BBAFD" w14:textId="77777777" w:rsidR="008868B1" w:rsidRPr="008458AB" w:rsidRDefault="008868B1" w:rsidP="008458AB">
            <w:pPr>
              <w:pStyle w:val="levela"/>
              <w:widowControl w:val="0"/>
              <w:spacing w:before="120" w:after="120" w:line="240" w:lineRule="atLeast"/>
              <w:ind w:left="0" w:firstLine="0"/>
              <w:rPr>
                <w:rFonts w:cstheme="majorHAnsi"/>
                <w:bCs/>
                <w:sz w:val="20"/>
                <w:szCs w:val="20"/>
              </w:rPr>
            </w:pPr>
          </w:p>
        </w:tc>
      </w:tr>
      <w:tr w:rsidR="0004289F" w:rsidRPr="008458AB" w14:paraId="7923C43A" w14:textId="77777777" w:rsidTr="4F4C4721">
        <w:tc>
          <w:tcPr>
            <w:tcW w:w="6574" w:type="dxa"/>
            <w:vAlign w:val="bottom"/>
          </w:tcPr>
          <w:p w14:paraId="657E8A58" w14:textId="568EC72F" w:rsidR="0004289F" w:rsidRPr="008458AB" w:rsidRDefault="0004289F" w:rsidP="0004289F">
            <w:pPr>
              <w:pStyle w:val="levelb"/>
              <w:widowControl w:val="0"/>
              <w:numPr>
                <w:ilvl w:val="0"/>
                <w:numId w:val="24"/>
              </w:numPr>
              <w:tabs>
                <w:tab w:val="clear" w:pos="576"/>
                <w:tab w:val="clear" w:pos="1152"/>
              </w:tabs>
              <w:spacing w:before="120" w:after="120" w:line="240" w:lineRule="atLeast"/>
              <w:ind w:left="525" w:hanging="525"/>
              <w:rPr>
                <w:rFonts w:cstheme="majorHAnsi"/>
                <w:sz w:val="20"/>
                <w:szCs w:val="20"/>
              </w:rPr>
            </w:pPr>
            <w:r w:rsidRPr="008458AB">
              <w:rPr>
                <w:rFonts w:cstheme="majorHAnsi"/>
                <w:b/>
                <w:sz w:val="20"/>
                <w:szCs w:val="20"/>
              </w:rPr>
              <w:t>Notes to financial statements.</w:t>
            </w:r>
          </w:p>
        </w:tc>
        <w:tc>
          <w:tcPr>
            <w:tcW w:w="1247" w:type="dxa"/>
            <w:gridSpan w:val="2"/>
            <w:vAlign w:val="bottom"/>
          </w:tcPr>
          <w:p w14:paraId="428E5159" w14:textId="77777777" w:rsidR="0004289F" w:rsidRPr="008458AB" w:rsidRDefault="0004289F"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68D39514" w14:textId="77777777" w:rsidR="0004289F" w:rsidRPr="008458AB" w:rsidRDefault="0004289F"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180B00A0" w14:textId="77777777" w:rsidR="0004289F" w:rsidRPr="008458AB" w:rsidRDefault="0004289F" w:rsidP="008458AB">
            <w:pPr>
              <w:pStyle w:val="levela"/>
              <w:widowControl w:val="0"/>
              <w:spacing w:before="120" w:after="120" w:line="240" w:lineRule="atLeast"/>
              <w:ind w:left="0" w:firstLine="0"/>
              <w:rPr>
                <w:rFonts w:cstheme="majorHAnsi"/>
                <w:bCs/>
                <w:sz w:val="20"/>
                <w:szCs w:val="20"/>
              </w:rPr>
            </w:pPr>
          </w:p>
        </w:tc>
      </w:tr>
      <w:tr w:rsidR="008458AB" w:rsidRPr="008458AB" w14:paraId="113B17C5" w14:textId="77777777" w:rsidTr="4F4C4721">
        <w:tc>
          <w:tcPr>
            <w:tcW w:w="6574" w:type="dxa"/>
            <w:vAlign w:val="bottom"/>
          </w:tcPr>
          <w:p w14:paraId="693C24BD" w14:textId="6206D189"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 xml:space="preserve">Notes to financial statements must cover all the years for which financial statements are required to be furnished, with the exception of the information required by the following provisions of Regulation S-X, which should be provided as of the most recent audited balance-sheet date. Refer to </w:t>
            </w:r>
            <w:r w:rsidRPr="008458AB">
              <w:rPr>
                <w:rFonts w:cstheme="majorHAnsi"/>
                <w:i/>
                <w:sz w:val="20"/>
                <w:szCs w:val="20"/>
              </w:rPr>
              <w:t>SEC Compliance Checklist — General</w:t>
            </w:r>
            <w:r w:rsidRPr="008458AB">
              <w:rPr>
                <w:rFonts w:cstheme="majorHAnsi"/>
                <w:sz w:val="20"/>
                <w:szCs w:val="20"/>
              </w:rPr>
              <w:t>,</w:t>
            </w:r>
            <w:r w:rsidRPr="008458AB">
              <w:rPr>
                <w:rFonts w:cstheme="majorHAnsi"/>
                <w:i/>
                <w:sz w:val="20"/>
                <w:szCs w:val="20"/>
              </w:rPr>
              <w:t xml:space="preserve"> </w:t>
            </w:r>
            <w:r w:rsidRPr="008458AB">
              <w:rPr>
                <w:rFonts w:cstheme="majorHAnsi"/>
                <w:sz w:val="20"/>
                <w:szCs w:val="20"/>
              </w:rPr>
              <w:t>for detailed guidance.</w:t>
            </w:r>
          </w:p>
        </w:tc>
        <w:tc>
          <w:tcPr>
            <w:tcW w:w="1247" w:type="dxa"/>
            <w:gridSpan w:val="2"/>
            <w:vAlign w:val="bottom"/>
          </w:tcPr>
          <w:p w14:paraId="435A5A0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C3D741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5C9ABE1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1662847" w14:textId="77777777" w:rsidTr="4F4C4721">
        <w:tc>
          <w:tcPr>
            <w:tcW w:w="6574" w:type="dxa"/>
            <w:vAlign w:val="bottom"/>
          </w:tcPr>
          <w:p w14:paraId="230B9E62" w14:textId="77777777"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Rule 4-08(b):</w:t>
            </w:r>
            <w:r w:rsidRPr="008458AB">
              <w:rPr>
                <w:rFonts w:cstheme="majorHAnsi"/>
                <w:sz w:val="20"/>
                <w:szCs w:val="20"/>
              </w:rPr>
              <w:tab/>
              <w:t>Assets subject to lien.</w:t>
            </w:r>
          </w:p>
        </w:tc>
        <w:tc>
          <w:tcPr>
            <w:tcW w:w="1247" w:type="dxa"/>
            <w:gridSpan w:val="2"/>
            <w:tcBorders>
              <w:bottom w:val="single" w:sz="6" w:space="0" w:color="auto"/>
            </w:tcBorders>
            <w:vAlign w:val="bottom"/>
          </w:tcPr>
          <w:p w14:paraId="0FC7E9D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0361FD6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6143F3CC"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3F9AFBA" w14:textId="77777777" w:rsidTr="4F4C4721">
        <w:tc>
          <w:tcPr>
            <w:tcW w:w="6574" w:type="dxa"/>
            <w:vAlign w:val="bottom"/>
          </w:tcPr>
          <w:p w14:paraId="072402A3" w14:textId="77777777"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Rule 4-08(c):</w:t>
            </w:r>
            <w:r w:rsidRPr="008458AB">
              <w:rPr>
                <w:rFonts w:cstheme="majorHAnsi"/>
                <w:sz w:val="20"/>
                <w:szCs w:val="20"/>
              </w:rPr>
              <w:tab/>
              <w:t>Defaults.</w:t>
            </w:r>
          </w:p>
        </w:tc>
        <w:tc>
          <w:tcPr>
            <w:tcW w:w="1247" w:type="dxa"/>
            <w:gridSpan w:val="2"/>
            <w:tcBorders>
              <w:bottom w:val="single" w:sz="6" w:space="0" w:color="auto"/>
            </w:tcBorders>
            <w:vAlign w:val="bottom"/>
          </w:tcPr>
          <w:p w14:paraId="0B85EEB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2C23077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56E15FA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7C5D526" w14:textId="77777777" w:rsidTr="4F4C4721">
        <w:tc>
          <w:tcPr>
            <w:tcW w:w="6574" w:type="dxa"/>
            <w:vAlign w:val="bottom"/>
          </w:tcPr>
          <w:p w14:paraId="6CD72EE3" w14:textId="77777777"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Rule 4-08(d):</w:t>
            </w:r>
            <w:r w:rsidRPr="008458AB">
              <w:rPr>
                <w:rFonts w:cstheme="majorHAnsi"/>
                <w:sz w:val="20"/>
                <w:szCs w:val="20"/>
              </w:rPr>
              <w:tab/>
              <w:t xml:space="preserve">Preferred shares. </w:t>
            </w:r>
          </w:p>
        </w:tc>
        <w:tc>
          <w:tcPr>
            <w:tcW w:w="1247" w:type="dxa"/>
            <w:gridSpan w:val="2"/>
            <w:tcBorders>
              <w:bottom w:val="single" w:sz="6" w:space="0" w:color="auto"/>
            </w:tcBorders>
            <w:vAlign w:val="bottom"/>
          </w:tcPr>
          <w:p w14:paraId="162E9CC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541176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7D2B51C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387578F6" w14:textId="77777777" w:rsidTr="4F4C4721">
        <w:tc>
          <w:tcPr>
            <w:tcW w:w="6574" w:type="dxa"/>
            <w:vAlign w:val="bottom"/>
          </w:tcPr>
          <w:p w14:paraId="2B8EF185" w14:textId="2735A5BB"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Rule 4-08(e):</w:t>
            </w:r>
            <w:r w:rsidRPr="008458AB">
              <w:rPr>
                <w:rFonts w:cstheme="majorHAnsi"/>
                <w:sz w:val="20"/>
                <w:szCs w:val="20"/>
              </w:rPr>
              <w:tab/>
              <w:t>Restrictions which limit the payment of dividends by the registrant; and which limit the payment of dividends, loans, and advances by subsidiaries to the parent should be disclosed when material.</w:t>
            </w:r>
          </w:p>
        </w:tc>
        <w:tc>
          <w:tcPr>
            <w:tcW w:w="1247" w:type="dxa"/>
            <w:gridSpan w:val="2"/>
            <w:tcBorders>
              <w:bottom w:val="single" w:sz="6" w:space="0" w:color="auto"/>
            </w:tcBorders>
            <w:vAlign w:val="bottom"/>
          </w:tcPr>
          <w:p w14:paraId="25D4363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5930869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35A91C7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5BF0299" w14:textId="77777777" w:rsidTr="4F4C4721">
        <w:tc>
          <w:tcPr>
            <w:tcW w:w="6574" w:type="dxa"/>
            <w:vAlign w:val="bottom"/>
          </w:tcPr>
          <w:p w14:paraId="0DAE3AAE" w14:textId="77777777"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Rule 4-08(f):</w:t>
            </w:r>
            <w:r w:rsidRPr="008458AB">
              <w:rPr>
                <w:rFonts w:cstheme="majorHAnsi"/>
                <w:sz w:val="20"/>
                <w:szCs w:val="20"/>
              </w:rPr>
              <w:tab/>
              <w:t>Significant changes in bonds, mortgages, and similar debt.</w:t>
            </w:r>
          </w:p>
        </w:tc>
        <w:tc>
          <w:tcPr>
            <w:tcW w:w="1247" w:type="dxa"/>
            <w:gridSpan w:val="2"/>
            <w:tcBorders>
              <w:top w:val="single" w:sz="6" w:space="0" w:color="auto"/>
              <w:bottom w:val="single" w:sz="6" w:space="0" w:color="auto"/>
            </w:tcBorders>
            <w:vAlign w:val="bottom"/>
          </w:tcPr>
          <w:p w14:paraId="700DD95C"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5E58887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0577582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8AB41E0" w14:textId="77777777" w:rsidTr="4F4C4721">
        <w:tc>
          <w:tcPr>
            <w:tcW w:w="6574" w:type="dxa"/>
            <w:vAlign w:val="bottom"/>
          </w:tcPr>
          <w:p w14:paraId="4BD37A4D" w14:textId="7B12F58B"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Further, the information required by Rule</w:t>
            </w:r>
            <w:r w:rsidR="00BC787F">
              <w:rPr>
                <w:rFonts w:cstheme="majorHAnsi"/>
                <w:sz w:val="20"/>
                <w:szCs w:val="20"/>
              </w:rPr>
              <w:t xml:space="preserve"> </w:t>
            </w:r>
            <w:r w:rsidRPr="008458AB">
              <w:rPr>
                <w:rFonts w:cstheme="majorHAnsi"/>
                <w:sz w:val="20"/>
                <w:szCs w:val="20"/>
              </w:rPr>
              <w:t xml:space="preserve">4-08(m), “Repurchase and Reverse Repurchase Agreements,” should be furnished at the date of </w:t>
            </w:r>
            <w:r w:rsidRPr="008458AB">
              <w:rPr>
                <w:rFonts w:cstheme="majorHAnsi"/>
                <w:sz w:val="20"/>
                <w:szCs w:val="20"/>
              </w:rPr>
              <w:lastRenderedPageBreak/>
              <w:t>the related balance sheet.</w:t>
            </w:r>
          </w:p>
        </w:tc>
        <w:tc>
          <w:tcPr>
            <w:tcW w:w="1247" w:type="dxa"/>
            <w:gridSpan w:val="2"/>
            <w:tcBorders>
              <w:top w:val="single" w:sz="6" w:space="0" w:color="auto"/>
              <w:bottom w:val="single" w:sz="4" w:space="0" w:color="auto"/>
            </w:tcBorders>
            <w:vAlign w:val="bottom"/>
          </w:tcPr>
          <w:p w14:paraId="0B07CA3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4E49B0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111D5F7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7E6FDED1" w14:textId="77777777" w:rsidTr="4F4C4721">
        <w:tc>
          <w:tcPr>
            <w:tcW w:w="6574" w:type="dxa"/>
            <w:vAlign w:val="bottom"/>
          </w:tcPr>
          <w:p w14:paraId="0D0B1D1F" w14:textId="0F8BAD74"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b/>
              <w:t xml:space="preserve">All companies must furnish the derivative accounting policy disclosures required by Rule 4-08(n), which requires disclosure of where, in the statement of cash flows, derivative financial instruments and their related gains and losses are reported. The disclosures are required only when material as required by ASC 235-10. </w:t>
            </w:r>
          </w:p>
        </w:tc>
        <w:tc>
          <w:tcPr>
            <w:tcW w:w="1247" w:type="dxa"/>
            <w:gridSpan w:val="2"/>
            <w:tcBorders>
              <w:top w:val="single" w:sz="4" w:space="0" w:color="auto"/>
            </w:tcBorders>
            <w:vAlign w:val="bottom"/>
          </w:tcPr>
          <w:p w14:paraId="7E68F39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B55028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274FC53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58E31EE5" w14:textId="77777777" w:rsidTr="4F4C4721">
        <w:tc>
          <w:tcPr>
            <w:tcW w:w="6574" w:type="dxa"/>
            <w:vAlign w:val="bottom"/>
          </w:tcPr>
          <w:p w14:paraId="24C3F0B6" w14:textId="7F4267DC"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t xml:space="preserve">Summarized financial information of unconsolidated subsidiary/subsidiaries and 50-percent-or-less-owned persons are required in footnotes (as of the same dates and for the same periods as the audited consolidated financial statements provided) </w:t>
            </w:r>
            <w:r w:rsidR="00320FE6">
              <w:rPr>
                <w:rFonts w:cstheme="majorHAnsi"/>
                <w:sz w:val="20"/>
                <w:szCs w:val="20"/>
              </w:rPr>
              <w:t>if the Significan</w:t>
            </w:r>
            <w:r w:rsidR="00DA2549">
              <w:rPr>
                <w:rFonts w:cstheme="majorHAnsi"/>
                <w:sz w:val="20"/>
                <w:szCs w:val="20"/>
              </w:rPr>
              <w:t xml:space="preserve">t Subsidiary Test in Part III of the </w:t>
            </w:r>
            <w:r w:rsidR="00DA2549" w:rsidRPr="003B68D1">
              <w:rPr>
                <w:rFonts w:cstheme="majorHAnsi"/>
                <w:i/>
                <w:iCs/>
                <w:sz w:val="20"/>
                <w:szCs w:val="20"/>
              </w:rPr>
              <w:t xml:space="preserve">SEC Compliance </w:t>
            </w:r>
            <w:r w:rsidR="002B76BB">
              <w:rPr>
                <w:rFonts w:cstheme="majorHAnsi"/>
                <w:i/>
                <w:iCs/>
                <w:sz w:val="20"/>
                <w:szCs w:val="20"/>
              </w:rPr>
              <w:t>C</w:t>
            </w:r>
            <w:r w:rsidR="00DA2549" w:rsidRPr="003B68D1">
              <w:rPr>
                <w:rFonts w:cstheme="majorHAnsi"/>
                <w:i/>
                <w:iCs/>
                <w:sz w:val="20"/>
                <w:szCs w:val="20"/>
              </w:rPr>
              <w:t>h</w:t>
            </w:r>
            <w:r w:rsidR="002B76BB">
              <w:rPr>
                <w:rFonts w:cstheme="majorHAnsi"/>
                <w:i/>
                <w:iCs/>
                <w:sz w:val="20"/>
                <w:szCs w:val="20"/>
              </w:rPr>
              <w:t>e</w:t>
            </w:r>
            <w:r w:rsidR="00DA2549" w:rsidRPr="003B68D1">
              <w:rPr>
                <w:rFonts w:cstheme="majorHAnsi"/>
                <w:i/>
                <w:iCs/>
                <w:sz w:val="20"/>
                <w:szCs w:val="20"/>
              </w:rPr>
              <w:t>cklist – General</w:t>
            </w:r>
            <w:r w:rsidR="00DA2549">
              <w:rPr>
                <w:rFonts w:cstheme="majorHAnsi"/>
                <w:sz w:val="20"/>
                <w:szCs w:val="20"/>
              </w:rPr>
              <w:t xml:space="preserve">, </w:t>
            </w:r>
            <w:r w:rsidRPr="008458AB">
              <w:rPr>
                <w:rFonts w:cstheme="majorHAnsi"/>
                <w:sz w:val="20"/>
                <w:szCs w:val="20"/>
              </w:rPr>
              <w:t>using 10 percent test, is met either individually or on an aggregated basis. Also see Regulation S-X Rule 4-08(g).</w:t>
            </w:r>
          </w:p>
        </w:tc>
        <w:tc>
          <w:tcPr>
            <w:tcW w:w="1247" w:type="dxa"/>
            <w:gridSpan w:val="2"/>
            <w:tcBorders>
              <w:top w:val="single" w:sz="4" w:space="0" w:color="auto"/>
              <w:bottom w:val="single" w:sz="4" w:space="0" w:color="auto"/>
            </w:tcBorders>
            <w:vAlign w:val="bottom"/>
          </w:tcPr>
          <w:p w14:paraId="0BF6487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0246C89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708AD82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73F01048" w14:textId="77777777" w:rsidTr="4F4C4721">
        <w:tc>
          <w:tcPr>
            <w:tcW w:w="6574" w:type="dxa"/>
            <w:vAlign w:val="bottom"/>
          </w:tcPr>
          <w:p w14:paraId="1C251C59" w14:textId="7CD68268" w:rsidR="008458AB" w:rsidRPr="008458AB" w:rsidRDefault="008458AB" w:rsidP="005414D4">
            <w:pPr>
              <w:pStyle w:val="levela"/>
              <w:widowControl w:val="0"/>
              <w:numPr>
                <w:ilvl w:val="0"/>
                <w:numId w:val="24"/>
              </w:numPr>
              <w:tabs>
                <w:tab w:val="clear" w:pos="576"/>
              </w:tabs>
              <w:spacing w:before="120" w:after="120" w:line="240" w:lineRule="atLeast"/>
              <w:ind w:left="250" w:hanging="250"/>
              <w:rPr>
                <w:rFonts w:cstheme="majorHAnsi"/>
                <w:b/>
                <w:sz w:val="20"/>
                <w:szCs w:val="20"/>
              </w:rPr>
            </w:pPr>
            <w:r w:rsidRPr="008458AB">
              <w:rPr>
                <w:rFonts w:cstheme="majorHAnsi"/>
                <w:sz w:val="20"/>
                <w:szCs w:val="20"/>
              </w:rPr>
              <w:t xml:space="preserve">Other financial statement requirements relating to specific situations covered in Regulation S-X and </w:t>
            </w:r>
            <w:r w:rsidRPr="008458AB">
              <w:rPr>
                <w:rFonts w:cstheme="majorHAnsi"/>
                <w:i/>
                <w:sz w:val="20"/>
                <w:szCs w:val="20"/>
              </w:rPr>
              <w:t>SEC Compliance Checklist — General</w:t>
            </w:r>
            <w:r w:rsidRPr="008458AB">
              <w:rPr>
                <w:rFonts w:cstheme="majorHAnsi"/>
                <w:sz w:val="20"/>
                <w:szCs w:val="20"/>
              </w:rPr>
              <w:t>, include:</w:t>
            </w:r>
          </w:p>
        </w:tc>
        <w:tc>
          <w:tcPr>
            <w:tcW w:w="1247" w:type="dxa"/>
            <w:gridSpan w:val="2"/>
            <w:tcBorders>
              <w:top w:val="single" w:sz="4" w:space="0" w:color="auto"/>
            </w:tcBorders>
            <w:vAlign w:val="bottom"/>
          </w:tcPr>
          <w:p w14:paraId="56BD3E0C"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50249A5"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33D01F6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E4A186A" w14:textId="77777777" w:rsidTr="4F4C4721">
        <w:tc>
          <w:tcPr>
            <w:tcW w:w="6574" w:type="dxa"/>
            <w:vAlign w:val="bottom"/>
          </w:tcPr>
          <w:p w14:paraId="5BAD8959" w14:textId="54BCAA85" w:rsidR="008458AB" w:rsidRPr="008458AB"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t>Rule 3-06:</w:t>
            </w:r>
            <w:r w:rsidRPr="008458AB">
              <w:rPr>
                <w:rFonts w:cstheme="majorHAnsi"/>
                <w:sz w:val="20"/>
                <w:szCs w:val="20"/>
              </w:rPr>
              <w:tab/>
              <w:t xml:space="preserve">Financial statements covering a period of 9 to 12 months. </w:t>
            </w:r>
          </w:p>
        </w:tc>
        <w:tc>
          <w:tcPr>
            <w:tcW w:w="1247" w:type="dxa"/>
            <w:gridSpan w:val="2"/>
            <w:tcBorders>
              <w:bottom w:val="single" w:sz="6" w:space="0" w:color="auto"/>
            </w:tcBorders>
            <w:vAlign w:val="bottom"/>
          </w:tcPr>
          <w:p w14:paraId="2B7B0A7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2A4CC5E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5E52015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BE15BA0" w14:textId="77777777" w:rsidTr="4F4C4721">
        <w:tc>
          <w:tcPr>
            <w:tcW w:w="6574" w:type="dxa"/>
            <w:vAlign w:val="bottom"/>
          </w:tcPr>
          <w:p w14:paraId="0B97782C" w14:textId="213EF16E" w:rsidR="008458AB" w:rsidRPr="008458AB" w:rsidRDefault="07F0694C" w:rsidP="061E52B3">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Bidi"/>
                <w:sz w:val="20"/>
                <w:szCs w:val="20"/>
              </w:rPr>
            </w:pPr>
            <w:r w:rsidRPr="061E52B3">
              <w:rPr>
                <w:rFonts w:cstheme="majorBidi"/>
                <w:sz w:val="20"/>
                <w:szCs w:val="20"/>
              </w:rPr>
              <w:t>Rule 3-09:</w:t>
            </w:r>
            <w:r w:rsidR="008458AB">
              <w:tab/>
            </w:r>
            <w:r w:rsidRPr="061E52B3">
              <w:rPr>
                <w:rFonts w:cstheme="majorBidi"/>
                <w:sz w:val="20"/>
                <w:szCs w:val="20"/>
              </w:rPr>
              <w:t>Separate financial statements of subsidiaries not consolidated and 50-percent-or-less-owned persons.</w:t>
            </w:r>
            <w:r w:rsidR="726D86DE" w:rsidRPr="061E52B3">
              <w:rPr>
                <w:rFonts w:cstheme="majorBidi"/>
                <w:sz w:val="20"/>
                <w:szCs w:val="20"/>
              </w:rPr>
              <w:t xml:space="preserve"> Refer to Deloitte publication </w:t>
            </w:r>
            <w:hyperlink r:id="rId21" w:history="1">
              <w:r w:rsidR="726D86DE" w:rsidRPr="0078434A">
                <w:rPr>
                  <w:rStyle w:val="Hyperlink"/>
                  <w:rFonts w:cstheme="majorBidi"/>
                  <w:i/>
                  <w:sz w:val="20"/>
                  <w:szCs w:val="20"/>
                </w:rPr>
                <w:t>SEC Reporting Considerations for Equity Method Investees</w:t>
              </w:r>
            </w:hyperlink>
            <w:r w:rsidR="726D86DE" w:rsidRPr="003B68D1">
              <w:rPr>
                <w:rFonts w:cstheme="majorBidi"/>
                <w:sz w:val="20"/>
                <w:szCs w:val="20"/>
              </w:rPr>
              <w:t>.</w:t>
            </w:r>
          </w:p>
        </w:tc>
        <w:tc>
          <w:tcPr>
            <w:tcW w:w="1247" w:type="dxa"/>
            <w:gridSpan w:val="2"/>
            <w:tcBorders>
              <w:bottom w:val="single" w:sz="6" w:space="0" w:color="auto"/>
            </w:tcBorders>
            <w:vAlign w:val="bottom"/>
          </w:tcPr>
          <w:p w14:paraId="4CE9E56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412B42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1C9703A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2B4E7654" w14:textId="77777777" w:rsidTr="4F4C4721">
        <w:tc>
          <w:tcPr>
            <w:tcW w:w="6574" w:type="dxa"/>
            <w:vAlign w:val="bottom"/>
          </w:tcPr>
          <w:p w14:paraId="3F84FCD1" w14:textId="31975BB5" w:rsidR="008458AB" w:rsidRPr="00EB65A2"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t>Rule 3-10:</w:t>
            </w:r>
            <w:r w:rsidRPr="008458AB">
              <w:rPr>
                <w:rFonts w:cstheme="majorHAnsi"/>
                <w:sz w:val="20"/>
                <w:szCs w:val="20"/>
              </w:rPr>
              <w:tab/>
              <w:t xml:space="preserve">Financial statements of guarantors and issuers of guaranteed securities registered or being registered. Refer to </w:t>
            </w:r>
            <w:r w:rsidR="007235B3">
              <w:rPr>
                <w:rFonts w:cstheme="majorHAnsi"/>
                <w:szCs w:val="22"/>
                <w:shd w:val="clear" w:color="auto" w:fill="FFFFFF"/>
              </w:rPr>
              <w:t xml:space="preserve">Deloitte </w:t>
            </w:r>
            <w:r w:rsidR="007235B3" w:rsidRPr="00080DAD">
              <w:rPr>
                <w:rFonts w:cstheme="majorHAnsi"/>
                <w:szCs w:val="22"/>
                <w:shd w:val="clear" w:color="auto" w:fill="FFFFFF"/>
              </w:rPr>
              <w:t xml:space="preserve">publication </w:t>
            </w:r>
            <w:hyperlink r:id="rId22" w:history="1">
              <w:r w:rsidR="007235B3" w:rsidRPr="00080DAD">
                <w:rPr>
                  <w:rStyle w:val="Hyperlink"/>
                  <w:rFonts w:cstheme="majorHAnsi"/>
                  <w:i/>
                  <w:iCs/>
                  <w:sz w:val="20"/>
                  <w:szCs w:val="20"/>
                  <w:shd w:val="clear" w:color="auto" w:fill="FFFFFF"/>
                </w:rPr>
                <w:t>SEC Reporting Considerations for Guarantees and Collaterializations</w:t>
              </w:r>
            </w:hyperlink>
            <w:r w:rsidR="00080DAD">
              <w:rPr>
                <w:rFonts w:cstheme="majorHAnsi"/>
                <w:i/>
                <w:iCs/>
                <w:sz w:val="20"/>
                <w:szCs w:val="20"/>
                <w:shd w:val="clear" w:color="auto" w:fill="FFFFFF"/>
              </w:rPr>
              <w:t>.</w:t>
            </w:r>
            <w:r w:rsidR="00EB65A2">
              <w:rPr>
                <w:rFonts w:cstheme="majorHAnsi"/>
                <w:i/>
                <w:iCs/>
                <w:sz w:val="20"/>
                <w:szCs w:val="20"/>
                <w:shd w:val="clear" w:color="auto" w:fill="FFFFFF"/>
              </w:rPr>
              <w:t xml:space="preserve"> </w:t>
            </w:r>
            <w:r w:rsidR="00EB65A2">
              <w:rPr>
                <w:rFonts w:cstheme="majorHAnsi"/>
                <w:sz w:val="20"/>
                <w:szCs w:val="20"/>
                <w:shd w:val="clear" w:color="auto" w:fill="FFFFFF"/>
              </w:rPr>
              <w:t xml:space="preserve">See also </w:t>
            </w:r>
            <w:hyperlink w:anchor="Rule_13_01" w:history="1">
              <w:r w:rsidR="00EB65A2" w:rsidRPr="003B68D1">
                <w:rPr>
                  <w:rStyle w:val="Hyperlink"/>
                  <w:rFonts w:cstheme="majorHAnsi"/>
                  <w:sz w:val="20"/>
                  <w:szCs w:val="20"/>
                  <w:shd w:val="clear" w:color="auto" w:fill="FFFFFF"/>
                </w:rPr>
                <w:t>Rule 13-01</w:t>
              </w:r>
            </w:hyperlink>
            <w:r w:rsidR="00EB65A2">
              <w:rPr>
                <w:rFonts w:cstheme="majorHAnsi"/>
                <w:sz w:val="20"/>
                <w:szCs w:val="20"/>
                <w:shd w:val="clear" w:color="auto" w:fill="FFFFFF"/>
              </w:rPr>
              <w:t xml:space="preserve"> below.</w:t>
            </w:r>
          </w:p>
        </w:tc>
        <w:tc>
          <w:tcPr>
            <w:tcW w:w="1247" w:type="dxa"/>
            <w:gridSpan w:val="2"/>
            <w:tcBorders>
              <w:bottom w:val="single" w:sz="6" w:space="0" w:color="auto"/>
            </w:tcBorders>
            <w:vAlign w:val="bottom"/>
          </w:tcPr>
          <w:p w14:paraId="6BE3A2C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6E8D01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7C83B88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6DEF89D" w14:textId="77777777" w:rsidTr="4F4C4721">
        <w:trPr>
          <w:trHeight w:val="495"/>
        </w:trPr>
        <w:tc>
          <w:tcPr>
            <w:tcW w:w="6574" w:type="dxa"/>
            <w:vAlign w:val="bottom"/>
          </w:tcPr>
          <w:p w14:paraId="7C1E37CC" w14:textId="14E01EA8" w:rsidR="008458AB" w:rsidRPr="008458AB" w:rsidRDefault="008458AB" w:rsidP="002B571B">
            <w:pPr>
              <w:pStyle w:val="levelb"/>
              <w:widowControl w:val="0"/>
              <w:tabs>
                <w:tab w:val="clear" w:pos="576"/>
                <w:tab w:val="clear" w:pos="1152"/>
                <w:tab w:val="clear" w:pos="1728"/>
                <w:tab w:val="clear" w:pos="2304"/>
                <w:tab w:val="clear" w:pos="2880"/>
              </w:tabs>
              <w:spacing w:before="120" w:after="120" w:line="240" w:lineRule="atLeast"/>
              <w:ind w:left="1330" w:hanging="1080"/>
              <w:rPr>
                <w:rFonts w:cstheme="majorHAnsi"/>
                <w:sz w:val="20"/>
                <w:szCs w:val="20"/>
              </w:rPr>
            </w:pPr>
            <w:r w:rsidRPr="008458AB">
              <w:rPr>
                <w:rFonts w:cstheme="majorHAnsi"/>
                <w:sz w:val="20"/>
                <w:szCs w:val="20"/>
              </w:rPr>
              <w:t>Rule 3-12(f):</w:t>
            </w:r>
            <w:r w:rsidR="00BB5D19">
              <w:rPr>
                <w:rFonts w:cstheme="majorHAnsi"/>
                <w:sz w:val="20"/>
                <w:szCs w:val="20"/>
              </w:rPr>
              <w:tab/>
            </w:r>
            <w:r w:rsidRPr="008458AB">
              <w:rPr>
                <w:rFonts w:cstheme="majorHAnsi"/>
                <w:sz w:val="20"/>
                <w:szCs w:val="20"/>
              </w:rPr>
              <w:t>Financial statements of a foreign business.</w:t>
            </w:r>
          </w:p>
        </w:tc>
        <w:tc>
          <w:tcPr>
            <w:tcW w:w="1247" w:type="dxa"/>
            <w:gridSpan w:val="2"/>
            <w:tcBorders>
              <w:bottom w:val="single" w:sz="6" w:space="0" w:color="auto"/>
            </w:tcBorders>
            <w:vAlign w:val="bottom"/>
          </w:tcPr>
          <w:p w14:paraId="2E4F91A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D93C04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68456E3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7B65277A" w14:textId="77777777" w:rsidTr="4F4C4721">
        <w:tc>
          <w:tcPr>
            <w:tcW w:w="6574" w:type="dxa"/>
            <w:vAlign w:val="bottom"/>
          </w:tcPr>
          <w:p w14:paraId="72F48802" w14:textId="205075C2" w:rsidR="008458AB" w:rsidRPr="008458AB"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t>Rule 3-15:</w:t>
            </w:r>
            <w:r w:rsidRPr="008458AB">
              <w:rPr>
                <w:rFonts w:cstheme="majorHAnsi"/>
                <w:sz w:val="20"/>
                <w:szCs w:val="20"/>
              </w:rPr>
              <w:tab/>
              <w:t>Special provisions as to real estate investment trusts.</w:t>
            </w:r>
          </w:p>
        </w:tc>
        <w:tc>
          <w:tcPr>
            <w:tcW w:w="1247" w:type="dxa"/>
            <w:gridSpan w:val="2"/>
            <w:tcBorders>
              <w:top w:val="single" w:sz="6" w:space="0" w:color="auto"/>
              <w:bottom w:val="single" w:sz="4" w:space="0" w:color="auto"/>
            </w:tcBorders>
            <w:vAlign w:val="bottom"/>
          </w:tcPr>
          <w:p w14:paraId="2A12A0E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27B462A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4E39E0E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16BCBD63" w14:textId="77777777" w:rsidTr="4F4C4721">
        <w:tc>
          <w:tcPr>
            <w:tcW w:w="6574" w:type="dxa"/>
            <w:vAlign w:val="bottom"/>
          </w:tcPr>
          <w:p w14:paraId="72A87551" w14:textId="16A6011A" w:rsidR="008458AB" w:rsidRPr="008458AB"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t>Rule 3-16:</w:t>
            </w:r>
            <w:r w:rsidRPr="008458AB">
              <w:rPr>
                <w:rFonts w:cstheme="majorHAnsi"/>
                <w:sz w:val="20"/>
                <w:szCs w:val="20"/>
              </w:rPr>
              <w:tab/>
              <w:t xml:space="preserve">Financial statements of affiliates whose securities collateralize an issue registered or being registered. Refer to </w:t>
            </w:r>
            <w:r w:rsidR="007235B3">
              <w:rPr>
                <w:rFonts w:cstheme="majorHAnsi"/>
                <w:szCs w:val="22"/>
                <w:shd w:val="clear" w:color="auto" w:fill="FFFFFF"/>
              </w:rPr>
              <w:t xml:space="preserve">Deloitte publication </w:t>
            </w:r>
            <w:hyperlink r:id="rId23" w:history="1">
              <w:r w:rsidR="007235B3" w:rsidRPr="00080DAD">
                <w:rPr>
                  <w:rStyle w:val="Hyperlink"/>
                  <w:rFonts w:cstheme="majorHAnsi"/>
                  <w:i/>
                  <w:iCs/>
                  <w:sz w:val="20"/>
                  <w:szCs w:val="20"/>
                  <w:shd w:val="clear" w:color="auto" w:fill="FFFFFF"/>
                </w:rPr>
                <w:t>SEC Reporting Considerations for Guarantees and Collaterializations</w:t>
              </w:r>
            </w:hyperlink>
            <w:r w:rsidR="00080DAD">
              <w:rPr>
                <w:rFonts w:cstheme="majorHAnsi"/>
                <w:szCs w:val="22"/>
                <w:shd w:val="clear" w:color="auto" w:fill="FFFFFF"/>
              </w:rPr>
              <w:t>.</w:t>
            </w:r>
          </w:p>
        </w:tc>
        <w:tc>
          <w:tcPr>
            <w:tcW w:w="1247" w:type="dxa"/>
            <w:gridSpan w:val="2"/>
            <w:tcBorders>
              <w:top w:val="single" w:sz="4" w:space="0" w:color="auto"/>
            </w:tcBorders>
            <w:vAlign w:val="bottom"/>
          </w:tcPr>
          <w:p w14:paraId="43A9AA5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5EF7FC6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6A9AFBD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22EDCD0" w14:textId="77777777" w:rsidTr="4F4C4721">
        <w:tc>
          <w:tcPr>
            <w:tcW w:w="6574" w:type="dxa"/>
            <w:vAlign w:val="bottom"/>
          </w:tcPr>
          <w:p w14:paraId="61BA4E50" w14:textId="40170E8F" w:rsidR="008458AB" w:rsidRPr="008458AB"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t>Rule 3-17:</w:t>
            </w:r>
            <w:r w:rsidRPr="008458AB">
              <w:rPr>
                <w:rFonts w:cstheme="majorHAnsi"/>
                <w:sz w:val="20"/>
                <w:szCs w:val="20"/>
              </w:rPr>
              <w:tab/>
              <w:t>Financial statements of natural persons.</w:t>
            </w:r>
          </w:p>
        </w:tc>
        <w:tc>
          <w:tcPr>
            <w:tcW w:w="1247" w:type="dxa"/>
            <w:gridSpan w:val="2"/>
            <w:tcBorders>
              <w:top w:val="single" w:sz="6" w:space="0" w:color="auto"/>
              <w:bottom w:val="single" w:sz="6" w:space="0" w:color="auto"/>
            </w:tcBorders>
            <w:vAlign w:val="bottom"/>
          </w:tcPr>
          <w:p w14:paraId="435B3A9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DE473E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60400B3C"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58849AB5" w14:textId="77777777" w:rsidTr="4F4C4721">
        <w:tc>
          <w:tcPr>
            <w:tcW w:w="6574" w:type="dxa"/>
            <w:vAlign w:val="bottom"/>
          </w:tcPr>
          <w:p w14:paraId="1AD9FEBE" w14:textId="4F965BEA" w:rsidR="008458AB" w:rsidRPr="008458AB"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t>Rule 3-18:</w:t>
            </w:r>
            <w:r w:rsidRPr="008458AB">
              <w:rPr>
                <w:rFonts w:cstheme="majorHAnsi"/>
                <w:sz w:val="20"/>
                <w:szCs w:val="20"/>
              </w:rPr>
              <w:tab/>
              <w:t xml:space="preserve">Special provisions as to registered management investment companies and companies required to be registered as management investment companies. </w:t>
            </w:r>
          </w:p>
        </w:tc>
        <w:tc>
          <w:tcPr>
            <w:tcW w:w="1247" w:type="dxa"/>
            <w:gridSpan w:val="2"/>
            <w:tcBorders>
              <w:top w:val="single" w:sz="6" w:space="0" w:color="auto"/>
              <w:bottom w:val="single" w:sz="4" w:space="0" w:color="auto"/>
            </w:tcBorders>
            <w:vAlign w:val="bottom"/>
          </w:tcPr>
          <w:p w14:paraId="380E771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DFAC24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37FC2EB5"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B149730" w14:textId="77777777" w:rsidTr="4F4C4721">
        <w:tc>
          <w:tcPr>
            <w:tcW w:w="6574" w:type="dxa"/>
            <w:vAlign w:val="bottom"/>
          </w:tcPr>
          <w:p w14:paraId="722FE6CB" w14:textId="77777777" w:rsidR="008458AB" w:rsidRPr="008458AB" w:rsidRDefault="008458AB" w:rsidP="00BB5D19">
            <w:pPr>
              <w:pStyle w:val="levelb"/>
              <w:widowControl w:val="0"/>
              <w:tabs>
                <w:tab w:val="clear" w:pos="576"/>
                <w:tab w:val="clear" w:pos="1152"/>
                <w:tab w:val="clear" w:pos="1728"/>
                <w:tab w:val="clear" w:pos="2304"/>
                <w:tab w:val="clear" w:pos="2880"/>
              </w:tabs>
              <w:spacing w:before="120" w:after="120" w:line="240" w:lineRule="atLeast"/>
              <w:ind w:left="1150" w:hanging="900"/>
              <w:rPr>
                <w:rFonts w:cstheme="majorHAnsi"/>
                <w:sz w:val="20"/>
                <w:szCs w:val="20"/>
              </w:rPr>
            </w:pPr>
            <w:r w:rsidRPr="008458AB">
              <w:rPr>
                <w:rFonts w:cstheme="majorHAnsi"/>
                <w:sz w:val="20"/>
                <w:szCs w:val="20"/>
              </w:rPr>
              <w:lastRenderedPageBreak/>
              <w:t>Rule 3-20:</w:t>
            </w:r>
            <w:r w:rsidRPr="008458AB">
              <w:rPr>
                <w:rFonts w:cstheme="majorHAnsi"/>
                <w:sz w:val="20"/>
                <w:szCs w:val="20"/>
              </w:rPr>
              <w:tab/>
              <w:t xml:space="preserve">Currency for financial statements of foreign private issuers. </w:t>
            </w:r>
          </w:p>
        </w:tc>
        <w:tc>
          <w:tcPr>
            <w:tcW w:w="1247" w:type="dxa"/>
            <w:gridSpan w:val="2"/>
            <w:tcBorders>
              <w:top w:val="single" w:sz="4" w:space="0" w:color="auto"/>
              <w:bottom w:val="single" w:sz="6" w:space="0" w:color="auto"/>
            </w:tcBorders>
            <w:vAlign w:val="bottom"/>
          </w:tcPr>
          <w:p w14:paraId="32B6002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0B31465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7C65485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CDF35E1" w14:textId="77777777" w:rsidTr="4F4C4721">
        <w:tc>
          <w:tcPr>
            <w:tcW w:w="6574" w:type="dxa"/>
            <w:vAlign w:val="bottom"/>
          </w:tcPr>
          <w:p w14:paraId="709AD853" w14:textId="2BD1F0AB" w:rsidR="008458AB" w:rsidRPr="00EB65A2" w:rsidRDefault="008458AB" w:rsidP="002B571B">
            <w:pPr>
              <w:pStyle w:val="levelb"/>
              <w:widowControl w:val="0"/>
              <w:tabs>
                <w:tab w:val="clear" w:pos="576"/>
                <w:tab w:val="clear" w:pos="1152"/>
                <w:tab w:val="clear" w:pos="1728"/>
                <w:tab w:val="clear" w:pos="2304"/>
                <w:tab w:val="clear" w:pos="2880"/>
              </w:tabs>
              <w:spacing w:before="120" w:after="120" w:line="240" w:lineRule="atLeast"/>
              <w:ind w:left="1240" w:hanging="990"/>
              <w:rPr>
                <w:rFonts w:cstheme="majorHAnsi"/>
                <w:sz w:val="20"/>
                <w:szCs w:val="20"/>
              </w:rPr>
            </w:pPr>
            <w:r w:rsidRPr="008458AB">
              <w:rPr>
                <w:rFonts w:cstheme="majorHAnsi"/>
                <w:sz w:val="20"/>
                <w:szCs w:val="20"/>
              </w:rPr>
              <w:t>Rule 13-01:</w:t>
            </w:r>
            <w:r w:rsidR="002B571B">
              <w:rPr>
                <w:rFonts w:cstheme="majorHAnsi"/>
                <w:sz w:val="20"/>
                <w:szCs w:val="20"/>
              </w:rPr>
              <w:tab/>
            </w:r>
            <w:bookmarkStart w:id="7" w:name="Rule_13_01"/>
            <w:bookmarkEnd w:id="7"/>
            <w:r w:rsidRPr="008458AB">
              <w:rPr>
                <w:rFonts w:cstheme="majorHAnsi"/>
                <w:sz w:val="20"/>
                <w:szCs w:val="20"/>
              </w:rPr>
              <w:t xml:space="preserve">Guarantors and Issuers of Guaranteed Securities Registered or Being Registered. </w:t>
            </w:r>
            <w:r w:rsidR="007235B3" w:rsidRPr="00080DAD">
              <w:rPr>
                <w:rFonts w:cstheme="majorHAnsi"/>
                <w:sz w:val="20"/>
                <w:szCs w:val="20"/>
              </w:rPr>
              <w:t xml:space="preserve">Refer to </w:t>
            </w:r>
            <w:r w:rsidR="007235B3" w:rsidRPr="00080DAD">
              <w:rPr>
                <w:rFonts w:cstheme="majorHAnsi"/>
                <w:sz w:val="20"/>
                <w:szCs w:val="20"/>
                <w:shd w:val="clear" w:color="auto" w:fill="FFFFFF"/>
              </w:rPr>
              <w:t xml:space="preserve">Deloitte publication </w:t>
            </w:r>
            <w:hyperlink r:id="rId24" w:history="1">
              <w:r w:rsidR="007235B3" w:rsidRPr="00080DAD">
                <w:rPr>
                  <w:rStyle w:val="Hyperlink"/>
                  <w:rFonts w:cstheme="majorHAnsi"/>
                  <w:i/>
                  <w:iCs/>
                  <w:sz w:val="20"/>
                  <w:szCs w:val="20"/>
                  <w:shd w:val="clear" w:color="auto" w:fill="FFFFFF"/>
                </w:rPr>
                <w:t>SEC Reporting Considerations for Guarantees and Collaterializations</w:t>
              </w:r>
            </w:hyperlink>
            <w:r w:rsidR="00080DAD">
              <w:rPr>
                <w:rFonts w:cstheme="majorHAnsi"/>
                <w:i/>
                <w:iCs/>
                <w:sz w:val="20"/>
                <w:szCs w:val="20"/>
                <w:shd w:val="clear" w:color="auto" w:fill="FFFFFF"/>
              </w:rPr>
              <w:t>.</w:t>
            </w:r>
            <w:r w:rsidR="00EB65A2">
              <w:rPr>
                <w:rFonts w:cstheme="majorHAnsi"/>
                <w:i/>
                <w:iCs/>
                <w:sz w:val="20"/>
                <w:szCs w:val="20"/>
                <w:shd w:val="clear" w:color="auto" w:fill="FFFFFF"/>
              </w:rPr>
              <w:t xml:space="preserve"> </w:t>
            </w:r>
            <w:r w:rsidR="00F408B8">
              <w:rPr>
                <w:rFonts w:cstheme="majorHAnsi"/>
                <w:sz w:val="20"/>
                <w:szCs w:val="20"/>
                <w:shd w:val="clear" w:color="auto" w:fill="FFFFFF"/>
              </w:rPr>
              <w:t>Provide the information required, unless the parent company elected to provide the information required in MD&amp;A</w:t>
            </w:r>
            <w:r w:rsidR="00451A67">
              <w:rPr>
                <w:rFonts w:cstheme="majorHAnsi"/>
                <w:sz w:val="20"/>
                <w:szCs w:val="20"/>
                <w:shd w:val="clear" w:color="auto" w:fill="FFFFFF"/>
              </w:rPr>
              <w:t>.</w:t>
            </w:r>
            <w:r w:rsidR="00511703">
              <w:rPr>
                <w:rFonts w:cstheme="majorHAnsi"/>
                <w:sz w:val="20"/>
                <w:szCs w:val="20"/>
                <w:shd w:val="clear" w:color="auto" w:fill="FFFFFF"/>
              </w:rPr>
              <w:t xml:space="preserve"> </w:t>
            </w:r>
            <w:r w:rsidR="00451A67">
              <w:rPr>
                <w:rFonts w:cstheme="majorHAnsi"/>
                <w:sz w:val="20"/>
                <w:szCs w:val="20"/>
              </w:rPr>
              <w:t>S</w:t>
            </w:r>
            <w:r w:rsidR="00511703">
              <w:rPr>
                <w:rFonts w:cstheme="majorHAnsi"/>
                <w:sz w:val="20"/>
                <w:szCs w:val="20"/>
              </w:rPr>
              <w:t xml:space="preserve">ee </w:t>
            </w:r>
            <w:r w:rsidR="00451A67">
              <w:rPr>
                <w:rFonts w:cstheme="majorHAnsi"/>
                <w:sz w:val="20"/>
                <w:szCs w:val="20"/>
              </w:rPr>
              <w:t xml:space="preserve">the </w:t>
            </w:r>
            <w:r w:rsidR="00511703" w:rsidRPr="002C62D1">
              <w:rPr>
                <w:rFonts w:cstheme="majorHAnsi"/>
                <w:i/>
                <w:iCs/>
                <w:sz w:val="20"/>
                <w:szCs w:val="20"/>
              </w:rPr>
              <w:t>SEC Compliance Checklist – General</w:t>
            </w:r>
            <w:r w:rsidR="00451A67">
              <w:rPr>
                <w:rFonts w:cstheme="majorHAnsi"/>
                <w:sz w:val="20"/>
                <w:szCs w:val="20"/>
              </w:rPr>
              <w:t xml:space="preserve"> for additional guidance.</w:t>
            </w:r>
          </w:p>
        </w:tc>
        <w:tc>
          <w:tcPr>
            <w:tcW w:w="1247" w:type="dxa"/>
            <w:gridSpan w:val="2"/>
            <w:tcBorders>
              <w:top w:val="single" w:sz="4" w:space="0" w:color="auto"/>
              <w:bottom w:val="single" w:sz="6" w:space="0" w:color="auto"/>
            </w:tcBorders>
            <w:vAlign w:val="bottom"/>
          </w:tcPr>
          <w:p w14:paraId="7F69DC4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B34F1B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592952BE"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7765E6D" w14:textId="77777777" w:rsidTr="4F4C4721">
        <w:tc>
          <w:tcPr>
            <w:tcW w:w="6574" w:type="dxa"/>
            <w:vAlign w:val="bottom"/>
          </w:tcPr>
          <w:p w14:paraId="62737DEB" w14:textId="792A34C0" w:rsidR="008458AB" w:rsidRPr="008458AB" w:rsidRDefault="008458AB" w:rsidP="002B571B">
            <w:pPr>
              <w:pStyle w:val="levelb"/>
              <w:widowControl w:val="0"/>
              <w:tabs>
                <w:tab w:val="clear" w:pos="576"/>
                <w:tab w:val="clear" w:pos="1152"/>
                <w:tab w:val="clear" w:pos="1728"/>
                <w:tab w:val="clear" w:pos="2304"/>
                <w:tab w:val="clear" w:pos="2880"/>
              </w:tabs>
              <w:spacing w:before="120" w:after="120" w:line="240" w:lineRule="atLeast"/>
              <w:ind w:left="1240" w:hanging="990"/>
              <w:rPr>
                <w:rFonts w:cstheme="majorHAnsi"/>
                <w:sz w:val="20"/>
                <w:szCs w:val="20"/>
              </w:rPr>
            </w:pPr>
            <w:r w:rsidRPr="008458AB">
              <w:rPr>
                <w:rFonts w:cstheme="majorHAnsi"/>
                <w:sz w:val="20"/>
                <w:szCs w:val="20"/>
              </w:rPr>
              <w:t>Rule 13-02:</w:t>
            </w:r>
            <w:r w:rsidR="002B571B">
              <w:rPr>
                <w:rFonts w:cstheme="majorHAnsi"/>
                <w:sz w:val="20"/>
                <w:szCs w:val="20"/>
              </w:rPr>
              <w:tab/>
            </w:r>
            <w:r w:rsidRPr="00080DAD">
              <w:rPr>
                <w:rFonts w:cstheme="majorHAnsi"/>
                <w:sz w:val="20"/>
                <w:szCs w:val="20"/>
              </w:rPr>
              <w:t>Affiliates Whose Securities Collateralize Securities Registered or Being Registered.</w:t>
            </w:r>
            <w:r w:rsidR="007235B3" w:rsidRPr="00080DAD">
              <w:rPr>
                <w:rFonts w:cstheme="majorHAnsi"/>
                <w:sz w:val="20"/>
                <w:szCs w:val="20"/>
              </w:rPr>
              <w:t xml:space="preserve"> Refer to </w:t>
            </w:r>
            <w:r w:rsidR="007235B3" w:rsidRPr="00080DAD">
              <w:rPr>
                <w:rFonts w:cstheme="majorHAnsi"/>
                <w:sz w:val="20"/>
                <w:szCs w:val="20"/>
                <w:shd w:val="clear" w:color="auto" w:fill="FFFFFF"/>
              </w:rPr>
              <w:t xml:space="preserve">Deloitte publication </w:t>
            </w:r>
            <w:hyperlink r:id="rId25" w:history="1">
              <w:r w:rsidR="007235B3" w:rsidRPr="00080DAD">
                <w:rPr>
                  <w:rStyle w:val="Hyperlink"/>
                  <w:rFonts w:cstheme="majorHAnsi"/>
                  <w:i/>
                  <w:iCs/>
                  <w:sz w:val="20"/>
                  <w:szCs w:val="20"/>
                  <w:shd w:val="clear" w:color="auto" w:fill="FFFFFF"/>
                </w:rPr>
                <w:t>SEC Reporting Considerations for Guarantees and Collaterializations</w:t>
              </w:r>
            </w:hyperlink>
            <w:r w:rsidR="00080DAD">
              <w:rPr>
                <w:rFonts w:cstheme="majorHAnsi"/>
                <w:i/>
                <w:iCs/>
                <w:szCs w:val="22"/>
                <w:shd w:val="clear" w:color="auto" w:fill="FFFFFF"/>
              </w:rPr>
              <w:t>.</w:t>
            </w:r>
            <w:r w:rsidR="00F65B5B">
              <w:rPr>
                <w:rFonts w:cstheme="majorHAnsi"/>
                <w:i/>
                <w:iCs/>
                <w:szCs w:val="22"/>
                <w:shd w:val="clear" w:color="auto" w:fill="FFFFFF"/>
              </w:rPr>
              <w:t xml:space="preserve"> </w:t>
            </w:r>
            <w:r w:rsidR="00F65B5B">
              <w:rPr>
                <w:rFonts w:cstheme="majorHAnsi"/>
                <w:sz w:val="20"/>
                <w:szCs w:val="20"/>
              </w:rPr>
              <w:t xml:space="preserve">See </w:t>
            </w:r>
            <w:r w:rsidR="00451A67">
              <w:rPr>
                <w:rFonts w:cstheme="majorHAnsi"/>
                <w:sz w:val="20"/>
                <w:szCs w:val="20"/>
              </w:rPr>
              <w:t xml:space="preserve">the </w:t>
            </w:r>
            <w:r w:rsidR="00F65B5B" w:rsidRPr="002C62D1">
              <w:rPr>
                <w:rFonts w:cstheme="majorHAnsi"/>
                <w:i/>
                <w:iCs/>
                <w:sz w:val="20"/>
                <w:szCs w:val="20"/>
              </w:rPr>
              <w:t>SEC Compliance Checklist – General</w:t>
            </w:r>
            <w:r w:rsidR="00451A67">
              <w:rPr>
                <w:rFonts w:cstheme="majorHAnsi"/>
                <w:sz w:val="20"/>
                <w:szCs w:val="20"/>
              </w:rPr>
              <w:t xml:space="preserve"> for additional guidance.</w:t>
            </w:r>
          </w:p>
        </w:tc>
        <w:tc>
          <w:tcPr>
            <w:tcW w:w="1247" w:type="dxa"/>
            <w:gridSpan w:val="2"/>
            <w:tcBorders>
              <w:top w:val="single" w:sz="4" w:space="0" w:color="auto"/>
              <w:bottom w:val="single" w:sz="6" w:space="0" w:color="auto"/>
            </w:tcBorders>
            <w:vAlign w:val="bottom"/>
          </w:tcPr>
          <w:p w14:paraId="03B293E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4E12EED"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7DD23FC4"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7B42AD1E" w14:textId="77777777" w:rsidTr="0078434A">
        <w:tc>
          <w:tcPr>
            <w:tcW w:w="6574" w:type="dxa"/>
            <w:vAlign w:val="bottom"/>
          </w:tcPr>
          <w:p w14:paraId="0FF90ED1" w14:textId="59F23A39" w:rsidR="008458AB" w:rsidRPr="008458AB" w:rsidRDefault="008458AB" w:rsidP="005414D4">
            <w:pPr>
              <w:pStyle w:val="levela"/>
              <w:widowControl w:val="0"/>
              <w:numPr>
                <w:ilvl w:val="0"/>
                <w:numId w:val="24"/>
              </w:numPr>
              <w:tabs>
                <w:tab w:val="clear" w:pos="576"/>
              </w:tabs>
              <w:spacing w:before="120" w:after="120" w:line="240" w:lineRule="atLeast"/>
              <w:ind w:left="250" w:hanging="250"/>
              <w:rPr>
                <w:rFonts w:cstheme="majorHAnsi"/>
                <w:sz w:val="20"/>
                <w:szCs w:val="20"/>
              </w:rPr>
            </w:pPr>
            <w:r w:rsidRPr="008458AB">
              <w:rPr>
                <w:rFonts w:cstheme="majorHAnsi"/>
                <w:b/>
                <w:sz w:val="20"/>
                <w:szCs w:val="20"/>
              </w:rPr>
              <w:t xml:space="preserve">Inactive entity </w:t>
            </w:r>
            <w:r w:rsidRPr="008458AB">
              <w:rPr>
                <w:rFonts w:cstheme="majorHAnsi"/>
                <w:sz w:val="20"/>
                <w:szCs w:val="20"/>
              </w:rPr>
              <w:t>financial statements need not be audited where specific conditions are met</w:t>
            </w:r>
            <w:r w:rsidR="00536F03">
              <w:rPr>
                <w:rFonts w:cstheme="majorHAnsi"/>
                <w:sz w:val="20"/>
                <w:szCs w:val="20"/>
              </w:rPr>
              <w:t xml:space="preserve">. See </w:t>
            </w:r>
            <w:r w:rsidRPr="008458AB">
              <w:rPr>
                <w:rFonts w:cstheme="majorHAnsi"/>
                <w:sz w:val="20"/>
                <w:szCs w:val="20"/>
              </w:rPr>
              <w:t>Regulation S-X, Rule 3-11.</w:t>
            </w:r>
          </w:p>
        </w:tc>
        <w:tc>
          <w:tcPr>
            <w:tcW w:w="1247" w:type="dxa"/>
            <w:gridSpan w:val="2"/>
            <w:tcBorders>
              <w:bottom w:val="single" w:sz="4" w:space="0" w:color="auto"/>
            </w:tcBorders>
            <w:vAlign w:val="bottom"/>
          </w:tcPr>
          <w:p w14:paraId="60BA1D7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5F0A8C7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32BBB0A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6E02B7FD" w14:textId="77777777" w:rsidTr="0078434A">
        <w:tc>
          <w:tcPr>
            <w:tcW w:w="6574" w:type="dxa"/>
            <w:vAlign w:val="bottom"/>
          </w:tcPr>
          <w:p w14:paraId="47F848BE" w14:textId="5E047CC4" w:rsidR="008458AB" w:rsidRPr="008458AB" w:rsidRDefault="008458AB" w:rsidP="005414D4">
            <w:pPr>
              <w:pStyle w:val="levela"/>
              <w:keepNext/>
              <w:widowControl w:val="0"/>
              <w:numPr>
                <w:ilvl w:val="0"/>
                <w:numId w:val="24"/>
              </w:numPr>
              <w:tabs>
                <w:tab w:val="clear" w:pos="576"/>
              </w:tabs>
              <w:spacing w:before="120" w:after="120" w:line="240" w:lineRule="atLeast"/>
              <w:ind w:left="245" w:hanging="245"/>
              <w:rPr>
                <w:rFonts w:cstheme="majorHAnsi"/>
                <w:sz w:val="20"/>
                <w:szCs w:val="20"/>
              </w:rPr>
            </w:pPr>
            <w:r w:rsidRPr="008458AB">
              <w:rPr>
                <w:rFonts w:cstheme="majorHAnsi"/>
                <w:b/>
                <w:sz w:val="20"/>
                <w:szCs w:val="20"/>
              </w:rPr>
              <w:t xml:space="preserve">Supplementary Financial Information. </w:t>
            </w:r>
            <w:r w:rsidRPr="008458AB">
              <w:rPr>
                <w:rFonts w:cstheme="majorHAnsi"/>
                <w:sz w:val="20"/>
                <w:szCs w:val="20"/>
              </w:rPr>
              <w:t>Provide the following information:</w:t>
            </w:r>
          </w:p>
        </w:tc>
        <w:tc>
          <w:tcPr>
            <w:tcW w:w="1247" w:type="dxa"/>
            <w:gridSpan w:val="2"/>
            <w:tcBorders>
              <w:top w:val="single" w:sz="4" w:space="0" w:color="auto"/>
            </w:tcBorders>
            <w:vAlign w:val="bottom"/>
          </w:tcPr>
          <w:p w14:paraId="1B0B69C8"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1FE5DF7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50B9DE5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2E71565F" w14:textId="77777777" w:rsidTr="0078434A">
        <w:tc>
          <w:tcPr>
            <w:tcW w:w="6574" w:type="dxa"/>
            <w:vAlign w:val="bottom"/>
          </w:tcPr>
          <w:p w14:paraId="4D421D0B" w14:textId="5AAD026E" w:rsidR="008458AB" w:rsidRPr="008458AB" w:rsidRDefault="008458AB" w:rsidP="002B571B">
            <w:pPr>
              <w:pStyle w:val="levelb"/>
              <w:widowControl w:val="0"/>
              <w:tabs>
                <w:tab w:val="clear" w:pos="576"/>
                <w:tab w:val="clear" w:pos="1152"/>
              </w:tabs>
              <w:spacing w:before="120" w:after="120" w:line="240" w:lineRule="atLeast"/>
              <w:ind w:left="430" w:hanging="270"/>
              <w:rPr>
                <w:rFonts w:cstheme="majorHAnsi"/>
                <w:sz w:val="20"/>
                <w:szCs w:val="20"/>
              </w:rPr>
            </w:pPr>
            <w:r w:rsidRPr="008458AB">
              <w:rPr>
                <w:rFonts w:cstheme="majorHAnsi"/>
                <w:sz w:val="20"/>
                <w:szCs w:val="20"/>
              </w:rPr>
              <w:t xml:space="preserve">a. </w:t>
            </w:r>
            <w:bookmarkStart w:id="8" w:name="A2"/>
            <w:bookmarkEnd w:id="8"/>
            <w:r w:rsidRPr="008458AB">
              <w:rPr>
                <w:rFonts w:cstheme="majorHAnsi"/>
                <w:b/>
                <w:sz w:val="20"/>
                <w:szCs w:val="20"/>
              </w:rPr>
              <w:t>Quarterly financial data</w:t>
            </w:r>
          </w:p>
          <w:p w14:paraId="113BED17" w14:textId="0F32C25F" w:rsidR="008458AB" w:rsidRPr="008458AB" w:rsidRDefault="00402014" w:rsidP="00F96CA2">
            <w:pPr>
              <w:pStyle w:val="levelb"/>
              <w:widowControl w:val="0"/>
              <w:tabs>
                <w:tab w:val="clear" w:pos="576"/>
                <w:tab w:val="clear" w:pos="1152"/>
              </w:tabs>
              <w:spacing w:before="120" w:after="120" w:line="240" w:lineRule="atLeast"/>
              <w:ind w:left="520" w:firstLine="0"/>
              <w:rPr>
                <w:rFonts w:cstheme="majorHAnsi"/>
                <w:sz w:val="20"/>
                <w:szCs w:val="20"/>
              </w:rPr>
            </w:pPr>
            <w:r w:rsidRPr="004776DE">
              <w:rPr>
                <w:rFonts w:cstheme="majorHAnsi"/>
                <w:sz w:val="20"/>
                <w:szCs w:val="20"/>
                <w:shd w:val="clear" w:color="auto" w:fill="FFFFFF"/>
                <w:lang w:val="en-US"/>
              </w:rPr>
              <w:t xml:space="preserve">When there are one or more retrospective changes to the statements of comprehensive income for any of the quarters within the two most recent fiscal years or any subsequent interim period for which financial statements are included or are required to be included by </w:t>
            </w:r>
            <w:r>
              <w:rPr>
                <w:rFonts w:cstheme="majorHAnsi"/>
                <w:sz w:val="20"/>
                <w:szCs w:val="20"/>
                <w:shd w:val="clear" w:color="auto" w:fill="FFFFFF"/>
                <w:lang w:val="en-US"/>
              </w:rPr>
              <w:t xml:space="preserve">Rule </w:t>
            </w:r>
            <w:r w:rsidRPr="004776DE">
              <w:rPr>
                <w:rFonts w:cstheme="majorHAnsi"/>
                <w:sz w:val="20"/>
                <w:szCs w:val="20"/>
                <w:shd w:val="clear" w:color="auto" w:fill="FFFFFF"/>
                <w:lang w:val="en-US"/>
              </w:rPr>
              <w:t xml:space="preserve">3-01 through 210.3-20 of Regulation S-X that individually or in the aggregate are material, provide an explanation of the reasons for such material changes and disclose, for each affected quarterly period and the fourth quarter in </w:t>
            </w:r>
            <w:r w:rsidRPr="004776DE">
              <w:rPr>
                <w:rFonts w:cstheme="majorHAnsi"/>
                <w:sz w:val="20"/>
                <w:szCs w:val="20"/>
                <w:shd w:val="clear" w:color="auto" w:fill="FFFFFF"/>
                <w:lang w:val="en-US"/>
              </w:rPr>
              <w:t xml:space="preserve">the affected year, summarized financial information related to the statements of comprehensive income as specified in </w:t>
            </w:r>
            <w:r>
              <w:rPr>
                <w:rFonts w:cstheme="majorHAnsi"/>
                <w:sz w:val="20"/>
                <w:szCs w:val="20"/>
                <w:shd w:val="clear" w:color="auto" w:fill="FFFFFF"/>
                <w:lang w:val="en-US"/>
              </w:rPr>
              <w:t xml:space="preserve">Rule </w:t>
            </w:r>
            <w:r w:rsidRPr="004776DE">
              <w:rPr>
                <w:rFonts w:cstheme="majorHAnsi"/>
                <w:sz w:val="20"/>
                <w:szCs w:val="20"/>
                <w:shd w:val="clear" w:color="auto" w:fill="FFFFFF"/>
                <w:lang w:val="en-US"/>
              </w:rPr>
              <w:t>1-02(bb)(1)(ii) of Regulation S-X and earnings per share reflecting such changes.</w:t>
            </w:r>
            <w:r w:rsidR="00A7322B">
              <w:rPr>
                <w:rFonts w:cstheme="majorHAnsi"/>
                <w:sz w:val="20"/>
                <w:szCs w:val="20"/>
                <w:shd w:val="clear" w:color="auto" w:fill="FFFFFF"/>
                <w:lang w:val="en-US"/>
              </w:rPr>
              <w:t xml:space="preserve"> </w:t>
            </w:r>
            <w:r w:rsidR="004B6DBB">
              <w:rPr>
                <w:rFonts w:cstheme="majorHAnsi"/>
                <w:sz w:val="20"/>
                <w:szCs w:val="20"/>
                <w:shd w:val="clear" w:color="auto" w:fill="FFFFFF"/>
              </w:rPr>
              <w:t xml:space="preserve">See </w:t>
            </w:r>
            <w:r w:rsidR="00A544B7">
              <w:rPr>
                <w:rFonts w:cstheme="majorHAnsi"/>
                <w:sz w:val="20"/>
                <w:szCs w:val="20"/>
              </w:rPr>
              <w:t xml:space="preserve">the </w:t>
            </w:r>
            <w:r w:rsidR="00A544B7" w:rsidRPr="002C62D1">
              <w:rPr>
                <w:rFonts w:cstheme="majorHAnsi"/>
                <w:i/>
                <w:iCs/>
                <w:sz w:val="20"/>
                <w:szCs w:val="20"/>
              </w:rPr>
              <w:t>SEC Compliance Checklist – General</w:t>
            </w:r>
            <w:r w:rsidR="00A544B7">
              <w:rPr>
                <w:rFonts w:cstheme="majorHAnsi"/>
                <w:sz w:val="20"/>
                <w:szCs w:val="20"/>
              </w:rPr>
              <w:t xml:space="preserve"> for additional guidance.</w:t>
            </w:r>
          </w:p>
        </w:tc>
        <w:tc>
          <w:tcPr>
            <w:tcW w:w="1247" w:type="dxa"/>
            <w:gridSpan w:val="2"/>
            <w:tcBorders>
              <w:bottom w:val="single" w:sz="6" w:space="0" w:color="auto"/>
            </w:tcBorders>
            <w:vAlign w:val="bottom"/>
          </w:tcPr>
          <w:p w14:paraId="43033CC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6E40A68A"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4141F81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3E9CCA7A" w14:textId="77777777" w:rsidTr="4F4C4721">
        <w:tc>
          <w:tcPr>
            <w:tcW w:w="6574" w:type="dxa"/>
            <w:vAlign w:val="bottom"/>
          </w:tcPr>
          <w:p w14:paraId="74873BE2" w14:textId="1A9A9700" w:rsidR="008458AB" w:rsidRPr="008458AB" w:rsidRDefault="008458AB" w:rsidP="00293D08">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bCs/>
                <w:sz w:val="20"/>
                <w:szCs w:val="20"/>
              </w:rPr>
              <w:t>b.</w:t>
            </w:r>
            <w:r w:rsidRPr="008458AB">
              <w:rPr>
                <w:rFonts w:cstheme="majorHAnsi"/>
                <w:bCs/>
                <w:sz w:val="20"/>
                <w:szCs w:val="20"/>
              </w:rPr>
              <w:tab/>
            </w:r>
            <w:r w:rsidRPr="008458AB">
              <w:rPr>
                <w:rFonts w:cstheme="majorHAnsi"/>
                <w:b/>
                <w:sz w:val="20"/>
                <w:szCs w:val="20"/>
              </w:rPr>
              <w:t>Information about oil and gas producing activities</w:t>
            </w:r>
            <w:r w:rsidRPr="008458AB">
              <w:rPr>
                <w:rFonts w:cstheme="majorHAnsi"/>
                <w:sz w:val="20"/>
                <w:szCs w:val="20"/>
              </w:rPr>
              <w:t>.</w:t>
            </w:r>
            <w:r w:rsidRPr="008458AB">
              <w:rPr>
                <w:rFonts w:cstheme="majorHAnsi"/>
                <w:b/>
                <w:sz w:val="20"/>
                <w:szCs w:val="20"/>
              </w:rPr>
              <w:t xml:space="preserve">  </w:t>
            </w:r>
            <w:r w:rsidRPr="008458AB">
              <w:rPr>
                <w:rFonts w:cstheme="majorHAnsi"/>
                <w:sz w:val="20"/>
                <w:szCs w:val="20"/>
              </w:rPr>
              <w:t>See Item 302(b) of Regulation S-K, Rule 4-10 of Regulation S-X</w:t>
            </w:r>
            <w:r w:rsidRPr="00EC74D8">
              <w:rPr>
                <w:rFonts w:cstheme="majorHAnsi"/>
                <w:i/>
                <w:sz w:val="20"/>
                <w:szCs w:val="20"/>
              </w:rPr>
              <w:t>.</w:t>
            </w:r>
            <w:r w:rsidRPr="008458AB">
              <w:rPr>
                <w:rFonts w:cstheme="majorHAnsi"/>
                <w:i/>
                <w:sz w:val="20"/>
                <w:szCs w:val="20"/>
              </w:rPr>
              <w:t xml:space="preserve"> </w:t>
            </w:r>
          </w:p>
        </w:tc>
        <w:tc>
          <w:tcPr>
            <w:tcW w:w="1247" w:type="dxa"/>
            <w:gridSpan w:val="2"/>
            <w:tcBorders>
              <w:top w:val="single" w:sz="6" w:space="0" w:color="auto"/>
              <w:bottom w:val="single" w:sz="4" w:space="0" w:color="auto"/>
            </w:tcBorders>
            <w:vAlign w:val="bottom"/>
          </w:tcPr>
          <w:p w14:paraId="031148F6"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928C295"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3BBDB755"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41DF0DFD" w14:textId="77777777" w:rsidTr="4F4C4721">
        <w:tc>
          <w:tcPr>
            <w:tcW w:w="6574" w:type="dxa"/>
            <w:vAlign w:val="bottom"/>
          </w:tcPr>
          <w:p w14:paraId="20107986" w14:textId="2E4AB7A9" w:rsidR="008458AB" w:rsidRPr="008458AB" w:rsidRDefault="008458AB" w:rsidP="00BC787F">
            <w:pPr>
              <w:pStyle w:val="standard"/>
              <w:keepNext/>
              <w:widowControl w:val="0"/>
              <w:spacing w:before="120" w:after="120" w:line="240" w:lineRule="atLeast"/>
              <w:rPr>
                <w:rFonts w:cstheme="majorHAnsi"/>
                <w:sz w:val="20"/>
                <w:szCs w:val="20"/>
              </w:rPr>
            </w:pPr>
            <w:r w:rsidRPr="008458AB">
              <w:rPr>
                <w:rFonts w:cstheme="majorHAnsi"/>
                <w:b/>
                <w:sz w:val="20"/>
                <w:szCs w:val="20"/>
              </w:rPr>
              <w:t>Item 9 — Changes in and Disagreements with Accountants on Accounting and Financial Disclosure</w:t>
            </w:r>
          </w:p>
        </w:tc>
        <w:tc>
          <w:tcPr>
            <w:tcW w:w="1247" w:type="dxa"/>
            <w:gridSpan w:val="2"/>
            <w:vAlign w:val="bottom"/>
          </w:tcPr>
          <w:p w14:paraId="3312BCE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0E6D99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63365B9B"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212AE6D0" w14:textId="77777777" w:rsidTr="4F4C4721">
        <w:tc>
          <w:tcPr>
            <w:tcW w:w="6574" w:type="dxa"/>
            <w:vAlign w:val="bottom"/>
          </w:tcPr>
          <w:p w14:paraId="25287E1A" w14:textId="29577B5F" w:rsidR="008458AB" w:rsidRPr="008458AB" w:rsidRDefault="008458AB" w:rsidP="005414D4">
            <w:pPr>
              <w:pStyle w:val="levela"/>
              <w:keepLines/>
              <w:widowControl w:val="0"/>
              <w:numPr>
                <w:ilvl w:val="0"/>
                <w:numId w:val="26"/>
              </w:numPr>
              <w:tabs>
                <w:tab w:val="clear" w:pos="576"/>
              </w:tabs>
              <w:spacing w:before="120" w:after="120" w:line="240" w:lineRule="atLeast"/>
              <w:ind w:left="245" w:hanging="245"/>
              <w:rPr>
                <w:rFonts w:cstheme="majorHAnsi"/>
                <w:sz w:val="20"/>
                <w:szCs w:val="20"/>
              </w:rPr>
            </w:pPr>
            <w:r w:rsidRPr="008458AB">
              <w:rPr>
                <w:rFonts w:cstheme="majorHAnsi"/>
                <w:sz w:val="20"/>
                <w:szCs w:val="20"/>
              </w:rPr>
              <w:t>Provide the disclosures called for by Regulation S-K, Item 304(b), “Changes in and Disagreements With Accountants on Accounting and Financial Disclosure.”</w:t>
            </w:r>
            <w:r w:rsidR="00781FE6">
              <w:rPr>
                <w:rFonts w:cstheme="majorHAnsi"/>
                <w:sz w:val="20"/>
                <w:szCs w:val="20"/>
              </w:rPr>
              <w:t xml:space="preserve"> See the </w:t>
            </w:r>
            <w:r w:rsidR="00781FE6" w:rsidRPr="002C62D1">
              <w:rPr>
                <w:rFonts w:cstheme="majorHAnsi"/>
                <w:i/>
                <w:iCs/>
                <w:sz w:val="20"/>
                <w:szCs w:val="20"/>
              </w:rPr>
              <w:t>SEC Compliance Checklist – General</w:t>
            </w:r>
            <w:r w:rsidR="00781FE6">
              <w:rPr>
                <w:rFonts w:cstheme="majorHAnsi"/>
                <w:sz w:val="20"/>
                <w:szCs w:val="20"/>
              </w:rPr>
              <w:t xml:space="preserve"> for additional guidance.</w:t>
            </w:r>
          </w:p>
        </w:tc>
        <w:tc>
          <w:tcPr>
            <w:tcW w:w="1247" w:type="dxa"/>
            <w:gridSpan w:val="2"/>
            <w:tcBorders>
              <w:bottom w:val="single" w:sz="4" w:space="0" w:color="auto"/>
            </w:tcBorders>
            <w:vAlign w:val="bottom"/>
          </w:tcPr>
          <w:p w14:paraId="1D7A6119"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7AEBB1A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3F0B4F00"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5F34C8D9" w14:textId="77777777" w:rsidTr="4F4C4721">
        <w:tc>
          <w:tcPr>
            <w:tcW w:w="6574" w:type="dxa"/>
            <w:vAlign w:val="bottom"/>
          </w:tcPr>
          <w:p w14:paraId="01FB5DDB" w14:textId="77777777" w:rsidR="008458AB" w:rsidRPr="008458AB" w:rsidRDefault="008458AB" w:rsidP="008458AB">
            <w:pPr>
              <w:pStyle w:val="levela"/>
              <w:widowControl w:val="0"/>
              <w:spacing w:before="120" w:after="120" w:line="240" w:lineRule="atLeast"/>
              <w:rPr>
                <w:rFonts w:cstheme="majorHAnsi"/>
                <w:b/>
                <w:bCs/>
                <w:sz w:val="20"/>
                <w:szCs w:val="20"/>
              </w:rPr>
            </w:pPr>
            <w:r w:rsidRPr="008458AB">
              <w:rPr>
                <w:rFonts w:cstheme="majorHAnsi"/>
                <w:b/>
                <w:bCs/>
                <w:sz w:val="20"/>
                <w:szCs w:val="20"/>
              </w:rPr>
              <w:t>Item 9A — Controls &amp; Procedures</w:t>
            </w:r>
          </w:p>
        </w:tc>
        <w:tc>
          <w:tcPr>
            <w:tcW w:w="1247" w:type="dxa"/>
            <w:gridSpan w:val="2"/>
            <w:tcBorders>
              <w:top w:val="single" w:sz="4" w:space="0" w:color="auto"/>
            </w:tcBorders>
            <w:vAlign w:val="bottom"/>
          </w:tcPr>
          <w:p w14:paraId="234C5C1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4376E8A1"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43C75163"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8458AB" w:rsidRPr="008458AB" w14:paraId="0A76C89F" w14:textId="77777777" w:rsidTr="4F4C4721">
        <w:tc>
          <w:tcPr>
            <w:tcW w:w="6574" w:type="dxa"/>
            <w:vAlign w:val="bottom"/>
          </w:tcPr>
          <w:p w14:paraId="60F79A13" w14:textId="77777777" w:rsidR="00DD5EC1" w:rsidRPr="0078434A" w:rsidRDefault="008458AB" w:rsidP="005414D4">
            <w:pPr>
              <w:pStyle w:val="levela"/>
              <w:widowControl w:val="0"/>
              <w:numPr>
                <w:ilvl w:val="0"/>
                <w:numId w:val="27"/>
              </w:numPr>
              <w:tabs>
                <w:tab w:val="clear" w:pos="576"/>
              </w:tabs>
              <w:spacing w:before="120" w:after="120" w:line="240" w:lineRule="atLeast"/>
              <w:ind w:left="250" w:hanging="250"/>
              <w:rPr>
                <w:rFonts w:cstheme="majorHAnsi"/>
                <w:b/>
                <w:bCs/>
                <w:sz w:val="20"/>
                <w:szCs w:val="20"/>
              </w:rPr>
            </w:pPr>
            <w:r w:rsidRPr="008458AB">
              <w:rPr>
                <w:rFonts w:cstheme="majorHAnsi"/>
                <w:sz w:val="20"/>
                <w:szCs w:val="20"/>
              </w:rPr>
              <w:lastRenderedPageBreak/>
              <w:t>Furnish the information required by</w:t>
            </w:r>
            <w:r w:rsidR="00DD5EC1">
              <w:rPr>
                <w:rFonts w:cstheme="majorHAnsi"/>
                <w:sz w:val="20"/>
                <w:szCs w:val="20"/>
              </w:rPr>
              <w:t>:</w:t>
            </w:r>
          </w:p>
          <w:p w14:paraId="070A2000" w14:textId="23D3A94B" w:rsidR="008458AB" w:rsidRPr="008458AB" w:rsidRDefault="008458AB" w:rsidP="0078434A">
            <w:pPr>
              <w:pStyle w:val="levela"/>
              <w:widowControl w:val="0"/>
              <w:numPr>
                <w:ilvl w:val="1"/>
                <w:numId w:val="27"/>
              </w:numPr>
              <w:tabs>
                <w:tab w:val="clear" w:pos="576"/>
              </w:tabs>
              <w:spacing w:before="120" w:after="120" w:line="240" w:lineRule="atLeast"/>
              <w:ind w:left="705"/>
              <w:rPr>
                <w:rFonts w:cstheme="majorHAnsi"/>
                <w:b/>
                <w:bCs/>
                <w:sz w:val="20"/>
                <w:szCs w:val="20"/>
              </w:rPr>
            </w:pPr>
            <w:r w:rsidRPr="008458AB">
              <w:rPr>
                <w:rFonts w:cstheme="majorHAnsi"/>
                <w:sz w:val="20"/>
                <w:szCs w:val="20"/>
              </w:rPr>
              <w:t xml:space="preserve"> Regulation</w:t>
            </w:r>
            <w:r w:rsidR="002B571B">
              <w:rPr>
                <w:rFonts w:cstheme="majorHAnsi"/>
                <w:sz w:val="20"/>
                <w:szCs w:val="20"/>
              </w:rPr>
              <w:t xml:space="preserve"> </w:t>
            </w:r>
            <w:r w:rsidRPr="008458AB">
              <w:rPr>
                <w:rFonts w:cstheme="majorHAnsi"/>
                <w:sz w:val="20"/>
                <w:szCs w:val="20"/>
              </w:rPr>
              <w:t>S-K Items 307, “Disclosure Controls and Procedures,” and</w:t>
            </w:r>
          </w:p>
        </w:tc>
        <w:tc>
          <w:tcPr>
            <w:tcW w:w="1247" w:type="dxa"/>
            <w:gridSpan w:val="2"/>
            <w:tcBorders>
              <w:bottom w:val="single" w:sz="4" w:space="0" w:color="auto"/>
            </w:tcBorders>
            <w:vAlign w:val="bottom"/>
          </w:tcPr>
          <w:p w14:paraId="2A7A5A72"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236" w:type="dxa"/>
            <w:vAlign w:val="bottom"/>
          </w:tcPr>
          <w:p w14:paraId="32EC94F7"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391BA17F" w14:textId="77777777" w:rsidR="008458AB" w:rsidRPr="008458AB" w:rsidRDefault="008458AB" w:rsidP="008458AB">
            <w:pPr>
              <w:pStyle w:val="levela"/>
              <w:widowControl w:val="0"/>
              <w:spacing w:before="120" w:after="120" w:line="240" w:lineRule="atLeast"/>
              <w:ind w:left="0" w:firstLine="0"/>
              <w:rPr>
                <w:rFonts w:cstheme="majorHAnsi"/>
                <w:bCs/>
                <w:sz w:val="20"/>
                <w:szCs w:val="20"/>
              </w:rPr>
            </w:pPr>
          </w:p>
        </w:tc>
      </w:tr>
      <w:tr w:rsidR="003C7BBF" w:rsidRPr="002F4CED" w14:paraId="12976120" w14:textId="77777777" w:rsidTr="0078434A">
        <w:tc>
          <w:tcPr>
            <w:tcW w:w="6574" w:type="dxa"/>
            <w:vAlign w:val="bottom"/>
          </w:tcPr>
          <w:p w14:paraId="71476DA6" w14:textId="738539C3" w:rsidR="003C7BBF" w:rsidRPr="002F4CED" w:rsidRDefault="003C7BBF" w:rsidP="00F70D2D">
            <w:pPr>
              <w:pStyle w:val="levela"/>
              <w:widowControl w:val="0"/>
              <w:numPr>
                <w:ilvl w:val="1"/>
                <w:numId w:val="27"/>
              </w:numPr>
              <w:tabs>
                <w:tab w:val="clear" w:pos="576"/>
              </w:tabs>
              <w:spacing w:before="120" w:after="120" w:line="240" w:lineRule="atLeast"/>
              <w:ind w:left="705"/>
              <w:rPr>
                <w:rFonts w:cs="Calibri Light"/>
                <w:b/>
                <w:bCs/>
                <w:sz w:val="20"/>
                <w:szCs w:val="20"/>
              </w:rPr>
            </w:pPr>
            <w:r w:rsidRPr="008458AB">
              <w:rPr>
                <w:rFonts w:cstheme="majorHAnsi"/>
                <w:sz w:val="20"/>
                <w:szCs w:val="20"/>
              </w:rPr>
              <w:t xml:space="preserve">308, “Internal Control over Financial Reporting.” </w:t>
            </w:r>
          </w:p>
        </w:tc>
        <w:tc>
          <w:tcPr>
            <w:tcW w:w="1247" w:type="dxa"/>
            <w:gridSpan w:val="2"/>
            <w:tcBorders>
              <w:bottom w:val="single" w:sz="4" w:space="0" w:color="auto"/>
            </w:tcBorders>
            <w:vAlign w:val="bottom"/>
          </w:tcPr>
          <w:p w14:paraId="5C466653" w14:textId="77777777" w:rsidR="003C7BBF" w:rsidRPr="002F4CED" w:rsidRDefault="003C7BBF" w:rsidP="008458AB">
            <w:pPr>
              <w:pStyle w:val="levela"/>
              <w:widowControl w:val="0"/>
              <w:spacing w:before="120" w:after="120" w:line="240" w:lineRule="atLeast"/>
              <w:ind w:left="0" w:firstLine="0"/>
              <w:rPr>
                <w:rFonts w:cs="Calibri Light"/>
                <w:bCs/>
                <w:sz w:val="20"/>
                <w:szCs w:val="20"/>
              </w:rPr>
            </w:pPr>
          </w:p>
        </w:tc>
        <w:tc>
          <w:tcPr>
            <w:tcW w:w="236" w:type="dxa"/>
            <w:vAlign w:val="bottom"/>
          </w:tcPr>
          <w:p w14:paraId="13D06315" w14:textId="77777777" w:rsidR="003C7BBF" w:rsidRPr="002F4CED" w:rsidRDefault="003C7BBF" w:rsidP="008458AB">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3C75E9CE" w14:textId="77777777" w:rsidR="003C7BBF" w:rsidRPr="002F4CED" w:rsidRDefault="003C7BBF" w:rsidP="008458AB">
            <w:pPr>
              <w:pStyle w:val="levela"/>
              <w:widowControl w:val="0"/>
              <w:spacing w:before="120" w:after="120" w:line="240" w:lineRule="atLeast"/>
              <w:ind w:left="0" w:firstLine="0"/>
              <w:rPr>
                <w:rFonts w:cs="Calibri Light"/>
                <w:bCs/>
                <w:sz w:val="20"/>
                <w:szCs w:val="20"/>
              </w:rPr>
            </w:pPr>
          </w:p>
        </w:tc>
      </w:tr>
      <w:tr w:rsidR="00F70D2D" w:rsidRPr="002F4CED" w14:paraId="22780086" w14:textId="77777777" w:rsidTr="0078434A">
        <w:tc>
          <w:tcPr>
            <w:tcW w:w="6574" w:type="dxa"/>
            <w:vAlign w:val="bottom"/>
          </w:tcPr>
          <w:p w14:paraId="48D179BF" w14:textId="52C4CCC0" w:rsidR="00F70D2D" w:rsidRPr="008458AB" w:rsidRDefault="00F70D2D" w:rsidP="00F70D2D">
            <w:pPr>
              <w:pStyle w:val="levela"/>
              <w:widowControl w:val="0"/>
              <w:tabs>
                <w:tab w:val="clear" w:pos="576"/>
              </w:tabs>
              <w:spacing w:before="120" w:after="120" w:line="240" w:lineRule="atLeast"/>
              <w:rPr>
                <w:rFonts w:cstheme="majorHAnsi"/>
                <w:sz w:val="20"/>
                <w:szCs w:val="20"/>
              </w:rPr>
            </w:pPr>
            <w:r>
              <w:rPr>
                <w:rFonts w:cstheme="majorHAnsi"/>
                <w:sz w:val="20"/>
                <w:szCs w:val="20"/>
              </w:rPr>
              <w:t xml:space="preserve">See the </w:t>
            </w:r>
            <w:r w:rsidRPr="002C62D1">
              <w:rPr>
                <w:rFonts w:cstheme="majorHAnsi"/>
                <w:i/>
                <w:iCs/>
                <w:sz w:val="20"/>
                <w:szCs w:val="20"/>
              </w:rPr>
              <w:t>SEC Compliance Checklist – General</w:t>
            </w:r>
            <w:r>
              <w:rPr>
                <w:rFonts w:cstheme="majorHAnsi"/>
                <w:sz w:val="20"/>
                <w:szCs w:val="20"/>
              </w:rPr>
              <w:t>) for additional guidance.</w:t>
            </w:r>
          </w:p>
        </w:tc>
        <w:tc>
          <w:tcPr>
            <w:tcW w:w="1247" w:type="dxa"/>
            <w:gridSpan w:val="2"/>
            <w:tcBorders>
              <w:top w:val="single" w:sz="4" w:space="0" w:color="auto"/>
            </w:tcBorders>
            <w:vAlign w:val="bottom"/>
          </w:tcPr>
          <w:p w14:paraId="27387353" w14:textId="77777777" w:rsidR="00F70D2D" w:rsidRPr="002F4CED" w:rsidRDefault="00F70D2D" w:rsidP="008458AB">
            <w:pPr>
              <w:pStyle w:val="levela"/>
              <w:widowControl w:val="0"/>
              <w:spacing w:before="120" w:after="120" w:line="240" w:lineRule="atLeast"/>
              <w:ind w:left="0" w:firstLine="0"/>
              <w:rPr>
                <w:rFonts w:cs="Calibri Light"/>
                <w:bCs/>
                <w:sz w:val="20"/>
                <w:szCs w:val="20"/>
              </w:rPr>
            </w:pPr>
          </w:p>
        </w:tc>
        <w:tc>
          <w:tcPr>
            <w:tcW w:w="236" w:type="dxa"/>
            <w:vAlign w:val="bottom"/>
          </w:tcPr>
          <w:p w14:paraId="3BACEFF3" w14:textId="77777777" w:rsidR="00F70D2D" w:rsidRPr="002F4CED" w:rsidRDefault="00F70D2D" w:rsidP="008458AB">
            <w:pPr>
              <w:pStyle w:val="levela"/>
              <w:widowControl w:val="0"/>
              <w:spacing w:before="120" w:after="120" w:line="240" w:lineRule="atLeast"/>
              <w:ind w:left="0" w:firstLine="0"/>
              <w:rPr>
                <w:rFonts w:cs="Calibri Light"/>
                <w:bCs/>
                <w:sz w:val="20"/>
                <w:szCs w:val="20"/>
              </w:rPr>
            </w:pPr>
          </w:p>
        </w:tc>
        <w:tc>
          <w:tcPr>
            <w:tcW w:w="1303" w:type="dxa"/>
            <w:gridSpan w:val="2"/>
            <w:tcBorders>
              <w:top w:val="single" w:sz="4" w:space="0" w:color="auto"/>
            </w:tcBorders>
            <w:vAlign w:val="bottom"/>
          </w:tcPr>
          <w:p w14:paraId="747E0AFA" w14:textId="77777777" w:rsidR="00F70D2D" w:rsidRPr="002F4CED" w:rsidRDefault="00F70D2D" w:rsidP="008458AB">
            <w:pPr>
              <w:pStyle w:val="levela"/>
              <w:widowControl w:val="0"/>
              <w:spacing w:before="120" w:after="120" w:line="240" w:lineRule="atLeast"/>
              <w:ind w:left="0" w:firstLine="0"/>
              <w:rPr>
                <w:rFonts w:cs="Calibri Light"/>
                <w:bCs/>
                <w:sz w:val="20"/>
                <w:szCs w:val="20"/>
              </w:rPr>
            </w:pPr>
          </w:p>
        </w:tc>
      </w:tr>
      <w:tr w:rsidR="008458AB" w:rsidRPr="002F4CED" w14:paraId="40A6729D" w14:textId="77777777" w:rsidTr="0078434A">
        <w:tc>
          <w:tcPr>
            <w:tcW w:w="6574" w:type="dxa"/>
            <w:vAlign w:val="bottom"/>
          </w:tcPr>
          <w:p w14:paraId="0CC01021" w14:textId="77777777" w:rsidR="002F4CED" w:rsidRPr="002F4CED" w:rsidRDefault="002F4CED" w:rsidP="002F4CED">
            <w:pPr>
              <w:pStyle w:val="levela"/>
              <w:widowControl w:val="0"/>
              <w:spacing w:before="120" w:after="120" w:line="240" w:lineRule="atLeast"/>
              <w:rPr>
                <w:rFonts w:cs="Calibri Light"/>
                <w:b/>
                <w:bCs/>
                <w:sz w:val="20"/>
                <w:szCs w:val="20"/>
              </w:rPr>
            </w:pPr>
            <w:r w:rsidRPr="002F4CED">
              <w:rPr>
                <w:rFonts w:cs="Calibri Light"/>
                <w:b/>
                <w:bCs/>
                <w:sz w:val="20"/>
                <w:szCs w:val="20"/>
              </w:rPr>
              <w:t>Item 9B — Other Information</w:t>
            </w:r>
          </w:p>
          <w:p w14:paraId="1F1486FF" w14:textId="505F8859" w:rsidR="007235B3" w:rsidRPr="002F4CED" w:rsidRDefault="002F4CED" w:rsidP="002F4CED">
            <w:pPr>
              <w:pStyle w:val="levela"/>
              <w:widowControl w:val="0"/>
              <w:numPr>
                <w:ilvl w:val="0"/>
                <w:numId w:val="28"/>
              </w:numPr>
              <w:tabs>
                <w:tab w:val="clear" w:pos="576"/>
              </w:tabs>
              <w:spacing w:before="120" w:after="120" w:line="240" w:lineRule="atLeast"/>
              <w:ind w:left="250" w:hanging="250"/>
              <w:rPr>
                <w:rFonts w:eastAsia="Times New Roman" w:cs="Calibri Light"/>
                <w:color w:val="auto"/>
                <w:sz w:val="20"/>
                <w:szCs w:val="20"/>
                <w:lang w:val="en-US" w:eastAsia="en-US"/>
              </w:rPr>
            </w:pPr>
            <w:r w:rsidRPr="002F4CED">
              <w:rPr>
                <w:rFonts w:cs="Calibri Light"/>
                <w:sz w:val="20"/>
                <w:szCs w:val="20"/>
              </w:rPr>
              <w:t>Disclose any information required to be disclosed in a report on Form 8-K during the fourth quarter of the year covered by the Form 10-K, but not reported, whether or not otherwise required by the Form 10-K. If disclosure of such information is made under this Item, it need not be repeated in Form 8-K, which would otherwise be required to be filed with respect to such information, or in a subsequent report on Form 10-K.</w:t>
            </w:r>
          </w:p>
        </w:tc>
        <w:tc>
          <w:tcPr>
            <w:tcW w:w="1247" w:type="dxa"/>
            <w:gridSpan w:val="2"/>
            <w:tcBorders>
              <w:bottom w:val="single" w:sz="4" w:space="0" w:color="auto"/>
            </w:tcBorders>
            <w:vAlign w:val="bottom"/>
          </w:tcPr>
          <w:p w14:paraId="718B9556" w14:textId="77777777" w:rsidR="008458AB" w:rsidRPr="002F4CED" w:rsidRDefault="008458AB" w:rsidP="008458AB">
            <w:pPr>
              <w:pStyle w:val="levela"/>
              <w:widowControl w:val="0"/>
              <w:spacing w:before="120" w:after="120" w:line="240" w:lineRule="atLeast"/>
              <w:ind w:left="0" w:firstLine="0"/>
              <w:rPr>
                <w:rFonts w:cs="Calibri Light"/>
                <w:bCs/>
                <w:sz w:val="20"/>
                <w:szCs w:val="20"/>
              </w:rPr>
            </w:pPr>
          </w:p>
        </w:tc>
        <w:tc>
          <w:tcPr>
            <w:tcW w:w="236" w:type="dxa"/>
            <w:vAlign w:val="bottom"/>
          </w:tcPr>
          <w:p w14:paraId="12ED06FF" w14:textId="77777777" w:rsidR="008458AB" w:rsidRPr="002F4CED" w:rsidRDefault="008458AB" w:rsidP="008458AB">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2A3216C4" w14:textId="77777777" w:rsidR="008458AB" w:rsidRPr="002F4CED" w:rsidRDefault="008458AB" w:rsidP="008458AB">
            <w:pPr>
              <w:pStyle w:val="levela"/>
              <w:widowControl w:val="0"/>
              <w:spacing w:before="120" w:after="120" w:line="240" w:lineRule="atLeast"/>
              <w:ind w:left="0" w:firstLine="0"/>
              <w:rPr>
                <w:rFonts w:cs="Calibri Light"/>
                <w:bCs/>
                <w:sz w:val="20"/>
                <w:szCs w:val="20"/>
              </w:rPr>
            </w:pPr>
          </w:p>
        </w:tc>
      </w:tr>
      <w:tr w:rsidR="002F4CED" w:rsidRPr="002F4CED" w14:paraId="210C9BF8" w14:textId="77777777" w:rsidTr="4F4C4721">
        <w:tc>
          <w:tcPr>
            <w:tcW w:w="6574" w:type="dxa"/>
            <w:vAlign w:val="bottom"/>
          </w:tcPr>
          <w:p w14:paraId="3E9CD423" w14:textId="77777777" w:rsidR="002F4CED" w:rsidRPr="002F4CED" w:rsidRDefault="002F4CED" w:rsidP="002F4CED">
            <w:pPr>
              <w:pStyle w:val="levela"/>
              <w:widowControl w:val="0"/>
              <w:tabs>
                <w:tab w:val="clear" w:pos="576"/>
              </w:tabs>
              <w:spacing w:before="120" w:after="120" w:line="240" w:lineRule="atLeast"/>
              <w:ind w:left="0" w:firstLine="0"/>
              <w:rPr>
                <w:rFonts w:eastAsia="Times New Roman" w:cs="Calibri Light"/>
                <w:b/>
                <w:bCs/>
                <w:color w:val="auto"/>
                <w:sz w:val="20"/>
                <w:szCs w:val="20"/>
                <w:lang w:val="en-US" w:eastAsia="en-US"/>
              </w:rPr>
            </w:pPr>
            <w:r w:rsidRPr="002F4CED">
              <w:rPr>
                <w:rFonts w:eastAsia="Times New Roman" w:cs="Calibri Light"/>
                <w:b/>
                <w:bCs/>
                <w:color w:val="auto"/>
                <w:sz w:val="20"/>
                <w:szCs w:val="20"/>
                <w:lang w:val="en-US" w:eastAsia="en-US"/>
              </w:rPr>
              <w:t>Item 9C. Disclosure Regarding Foreign Jurisdictions that Prevent Inspections</w:t>
            </w:r>
          </w:p>
          <w:p w14:paraId="4A6AD302" w14:textId="53BA945D" w:rsidR="002F4CED" w:rsidRPr="002F4CED" w:rsidRDefault="002F4CED" w:rsidP="00D53F99">
            <w:pPr>
              <w:pStyle w:val="ListParagraph"/>
              <w:numPr>
                <w:ilvl w:val="0"/>
                <w:numId w:val="39"/>
              </w:numPr>
              <w:autoSpaceDE w:val="0"/>
              <w:autoSpaceDN w:val="0"/>
              <w:adjustRightInd w:val="0"/>
              <w:spacing w:before="120" w:after="120"/>
              <w:contextualSpacing w:val="0"/>
              <w:rPr>
                <w:rFonts w:cs="Calibri Light"/>
                <w:b/>
                <w:bCs/>
                <w:sz w:val="20"/>
                <w:szCs w:val="20"/>
              </w:rPr>
            </w:pPr>
            <w:r w:rsidRPr="008062E8">
              <w:rPr>
                <w:rFonts w:eastAsia="Times New Roman" w:cs="Calibri Light"/>
                <w:color w:val="auto"/>
                <w:sz w:val="20"/>
                <w:szCs w:val="20"/>
                <w:lang w:val="en-US" w:eastAsia="en-US"/>
              </w:rPr>
              <w:t xml:space="preserve"> A registrant identified by the Commission pursuant to Section 104(i)(2)(A) of the Sarbanes-Oxley Act of 2002 (15 U.S.C.7214(i)(2)(A)) as having retained, for the preparation of the audit report on its financial statements included in the Form 10-K, a</w:t>
            </w:r>
            <w:r w:rsidR="00CE389E">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registered public accounting firm that has a branch or office that is located in a foreign jurisdiction and that the Public Company</w:t>
            </w:r>
            <w:r w:rsidR="008062E8" w:rsidRPr="008062E8">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Accounting Oversight Board has determined it is unable to inspect or investigate completely because of a position taken by an</w:t>
            </w:r>
            <w:r w:rsidR="008062E8" w:rsidRPr="008062E8">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authority in the foreign jurisdiction must electronically submit to the Commission on a supplemental basis documentation that</w:t>
            </w:r>
            <w:r w:rsidR="008062E8" w:rsidRPr="008062E8">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establishes that the registrant is not owned or controlled by a governmental entity in the foreign jurisdiction. The registrant must</w:t>
            </w:r>
            <w:r w:rsidR="008062E8" w:rsidRPr="008062E8">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submit this documentation on or before the due date for this form. A registrant that is owned or controlled by a foreign governmental</w:t>
            </w:r>
            <w:r w:rsidR="008062E8">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entity is not required to submit such documentation.</w:t>
            </w:r>
          </w:p>
        </w:tc>
        <w:tc>
          <w:tcPr>
            <w:tcW w:w="1247" w:type="dxa"/>
            <w:gridSpan w:val="2"/>
            <w:tcBorders>
              <w:bottom w:val="single" w:sz="4" w:space="0" w:color="auto"/>
            </w:tcBorders>
            <w:vAlign w:val="bottom"/>
          </w:tcPr>
          <w:p w14:paraId="7F2DCF49" w14:textId="77777777" w:rsidR="002F4CED" w:rsidRPr="002F4CED" w:rsidRDefault="002F4CED" w:rsidP="002F4CED">
            <w:pPr>
              <w:pStyle w:val="levela"/>
              <w:widowControl w:val="0"/>
              <w:spacing w:before="120" w:after="120" w:line="240" w:lineRule="atLeast"/>
              <w:ind w:left="0" w:firstLine="0"/>
              <w:rPr>
                <w:rFonts w:cs="Calibri Light"/>
                <w:bCs/>
                <w:sz w:val="20"/>
                <w:szCs w:val="20"/>
              </w:rPr>
            </w:pPr>
          </w:p>
        </w:tc>
        <w:tc>
          <w:tcPr>
            <w:tcW w:w="236" w:type="dxa"/>
            <w:vAlign w:val="bottom"/>
          </w:tcPr>
          <w:p w14:paraId="1B762260" w14:textId="77777777" w:rsidR="002F4CED" w:rsidRPr="002F4CED" w:rsidRDefault="002F4CED" w:rsidP="002F4CED">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1E118449" w14:textId="77777777" w:rsidR="002F4CED" w:rsidRPr="002F4CED" w:rsidRDefault="002F4CED" w:rsidP="002F4CED">
            <w:pPr>
              <w:pStyle w:val="levela"/>
              <w:widowControl w:val="0"/>
              <w:spacing w:before="120" w:after="120" w:line="240" w:lineRule="atLeast"/>
              <w:ind w:left="0" w:firstLine="0"/>
              <w:rPr>
                <w:rFonts w:cs="Calibri Light"/>
                <w:bCs/>
                <w:sz w:val="20"/>
                <w:szCs w:val="20"/>
              </w:rPr>
            </w:pPr>
          </w:p>
        </w:tc>
      </w:tr>
      <w:tr w:rsidR="00F70D2D" w:rsidRPr="002F4CED" w14:paraId="474969B2" w14:textId="77777777" w:rsidTr="4F4C4721">
        <w:tc>
          <w:tcPr>
            <w:tcW w:w="6574" w:type="dxa"/>
            <w:vAlign w:val="bottom"/>
          </w:tcPr>
          <w:p w14:paraId="5D61FB0D" w14:textId="77777777" w:rsidR="00F70D2D" w:rsidRPr="008062E8" w:rsidRDefault="00F70D2D" w:rsidP="00F70D2D">
            <w:pPr>
              <w:pStyle w:val="ListParagraph"/>
              <w:numPr>
                <w:ilvl w:val="0"/>
                <w:numId w:val="39"/>
              </w:numPr>
              <w:autoSpaceDE w:val="0"/>
              <w:autoSpaceDN w:val="0"/>
              <w:adjustRightInd w:val="0"/>
              <w:spacing w:before="120"/>
              <w:contextualSpacing w:val="0"/>
              <w:rPr>
                <w:rFonts w:eastAsia="Times New Roman" w:cs="Calibri Light"/>
                <w:color w:val="auto"/>
                <w:sz w:val="20"/>
                <w:szCs w:val="20"/>
                <w:lang w:val="en-US" w:eastAsia="en-US"/>
              </w:rPr>
            </w:pPr>
            <w:r w:rsidRPr="008062E8">
              <w:rPr>
                <w:rFonts w:eastAsia="Times New Roman" w:cs="Calibri Light"/>
                <w:color w:val="auto"/>
                <w:sz w:val="20"/>
                <w:szCs w:val="20"/>
                <w:lang w:val="en-US" w:eastAsia="en-US"/>
              </w:rPr>
              <w:t>A registrant that is a foreign issuer, as defined in 17 CFR 240.3b-4, identified by the Commission pursuant to Section 104(i)(2)(A) of the Sarbanes-Oxley Act of 2002 (15 U.S.C. 7214(i)(2)(A)) as having retained, for the preparation of the audit report on its financial statements included in the Form 10-K, a registered public accounting firm that has a branch or office that is located in a foreign jurisdiction and that the Public Company Accounting Oversight Board has determined it is unable to inspect or investigate completely because of a position taken by an authority in the foreign jurisdiction, for each year in which the registrant is so identified,</w:t>
            </w:r>
            <w:r>
              <w:rPr>
                <w:rFonts w:eastAsia="Times New Roman" w:cs="Calibri Light"/>
                <w:color w:val="auto"/>
                <w:sz w:val="20"/>
                <w:szCs w:val="20"/>
                <w:lang w:val="en-US" w:eastAsia="en-US"/>
              </w:rPr>
              <w:t xml:space="preserve"> </w:t>
            </w:r>
            <w:r w:rsidRPr="008062E8">
              <w:rPr>
                <w:rFonts w:eastAsia="Times New Roman" w:cs="Calibri Light"/>
                <w:color w:val="auto"/>
                <w:sz w:val="20"/>
                <w:szCs w:val="20"/>
                <w:lang w:val="en-US" w:eastAsia="en-US"/>
              </w:rPr>
              <w:t>must disclose:</w:t>
            </w:r>
          </w:p>
          <w:p w14:paraId="68F9964E" w14:textId="7F4B7940" w:rsidR="00F70D2D" w:rsidRPr="002F4CED" w:rsidRDefault="00F70D2D" w:rsidP="00F70D2D">
            <w:pPr>
              <w:autoSpaceDE w:val="0"/>
              <w:autoSpaceDN w:val="0"/>
              <w:adjustRightInd w:val="0"/>
              <w:spacing w:before="120"/>
              <w:ind w:left="1151" w:hanging="450"/>
              <w:rPr>
                <w:rFonts w:eastAsia="Times New Roman" w:cs="Calibri Light"/>
                <w:b/>
                <w:bCs/>
                <w:color w:val="auto"/>
                <w:sz w:val="20"/>
                <w:szCs w:val="20"/>
                <w:lang w:val="en-US" w:eastAsia="en-US"/>
              </w:rPr>
            </w:pPr>
            <w:r w:rsidRPr="002F4CED">
              <w:rPr>
                <w:rFonts w:eastAsia="Times New Roman" w:cs="Calibri Light"/>
                <w:color w:val="auto"/>
                <w:sz w:val="20"/>
                <w:szCs w:val="20"/>
                <w:lang w:val="en-US" w:eastAsia="en-US"/>
              </w:rPr>
              <w:t>(1)</w:t>
            </w:r>
            <w:r>
              <w:rPr>
                <w:rFonts w:eastAsia="Times New Roman" w:cs="Calibri Light"/>
                <w:color w:val="auto"/>
                <w:sz w:val="20"/>
                <w:szCs w:val="20"/>
                <w:lang w:val="en-US" w:eastAsia="en-US"/>
              </w:rPr>
              <w:tab/>
            </w:r>
            <w:r w:rsidRPr="002F4CED">
              <w:rPr>
                <w:rFonts w:eastAsia="Times New Roman" w:cs="Calibri Light"/>
                <w:color w:val="auto"/>
                <w:sz w:val="20"/>
                <w:szCs w:val="20"/>
                <w:lang w:val="en-US" w:eastAsia="en-US"/>
              </w:rPr>
              <w:t>That, for the immediately preceding annual financial statement period, a registered public accounting firm that the</w:t>
            </w:r>
            <w:r>
              <w:rPr>
                <w:rFonts w:eastAsia="Times New Roman" w:cs="Calibri Light"/>
                <w:color w:val="auto"/>
                <w:sz w:val="20"/>
                <w:szCs w:val="20"/>
                <w:lang w:val="en-US" w:eastAsia="en-US"/>
              </w:rPr>
              <w:t xml:space="preserve"> </w:t>
            </w:r>
            <w:r w:rsidRPr="002F4CED">
              <w:rPr>
                <w:rFonts w:eastAsia="Times New Roman" w:cs="Calibri Light"/>
                <w:color w:val="auto"/>
                <w:sz w:val="20"/>
                <w:szCs w:val="20"/>
                <w:lang w:val="en-US" w:eastAsia="en-US"/>
              </w:rPr>
              <w:t xml:space="preserve">PCAOB was unable to inspect or investigate completely, because of a </w:t>
            </w:r>
            <w:r w:rsidRPr="002F4CED">
              <w:rPr>
                <w:rFonts w:eastAsia="Times New Roman" w:cs="Calibri Light"/>
                <w:color w:val="auto"/>
                <w:sz w:val="20"/>
                <w:szCs w:val="20"/>
                <w:lang w:val="en-US" w:eastAsia="en-US"/>
              </w:rPr>
              <w:lastRenderedPageBreak/>
              <w:t>position taken by an authority in the foreign jurisdiction, issued</w:t>
            </w:r>
            <w:r>
              <w:rPr>
                <w:rFonts w:eastAsia="Times New Roman" w:cs="Calibri Light"/>
                <w:color w:val="auto"/>
                <w:sz w:val="20"/>
                <w:szCs w:val="20"/>
                <w:lang w:val="en-US" w:eastAsia="en-US"/>
              </w:rPr>
              <w:t xml:space="preserve"> </w:t>
            </w:r>
            <w:r w:rsidRPr="002F4CED">
              <w:rPr>
                <w:rFonts w:eastAsia="Times New Roman" w:cs="Calibri Light"/>
                <w:color w:val="auto"/>
                <w:sz w:val="20"/>
                <w:szCs w:val="20"/>
                <w:lang w:val="en-US" w:eastAsia="en-US"/>
              </w:rPr>
              <w:t>an audit report for the registrant;</w:t>
            </w:r>
          </w:p>
        </w:tc>
        <w:tc>
          <w:tcPr>
            <w:tcW w:w="1247" w:type="dxa"/>
            <w:gridSpan w:val="2"/>
            <w:tcBorders>
              <w:bottom w:val="single" w:sz="4" w:space="0" w:color="auto"/>
            </w:tcBorders>
            <w:vAlign w:val="bottom"/>
          </w:tcPr>
          <w:p w14:paraId="4A0818E2" w14:textId="77777777" w:rsidR="00F70D2D" w:rsidRPr="002F4CED" w:rsidRDefault="00F70D2D" w:rsidP="002F4CED">
            <w:pPr>
              <w:pStyle w:val="levela"/>
              <w:widowControl w:val="0"/>
              <w:spacing w:before="120" w:after="120" w:line="240" w:lineRule="atLeast"/>
              <w:ind w:left="0" w:firstLine="0"/>
              <w:rPr>
                <w:rFonts w:cs="Calibri Light"/>
                <w:bCs/>
                <w:sz w:val="20"/>
                <w:szCs w:val="20"/>
              </w:rPr>
            </w:pPr>
          </w:p>
        </w:tc>
        <w:tc>
          <w:tcPr>
            <w:tcW w:w="236" w:type="dxa"/>
            <w:vAlign w:val="bottom"/>
          </w:tcPr>
          <w:p w14:paraId="33AF7B2E" w14:textId="77777777" w:rsidR="00F70D2D" w:rsidRPr="002F4CED" w:rsidRDefault="00F70D2D" w:rsidP="002F4CED">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6E156ED2" w14:textId="77777777" w:rsidR="00F70D2D" w:rsidRPr="002F4CED" w:rsidRDefault="00F70D2D" w:rsidP="002F4CED">
            <w:pPr>
              <w:pStyle w:val="levela"/>
              <w:widowControl w:val="0"/>
              <w:spacing w:before="120" w:after="120" w:line="240" w:lineRule="atLeast"/>
              <w:ind w:left="0" w:firstLine="0"/>
              <w:rPr>
                <w:rFonts w:cs="Calibri Light"/>
                <w:bCs/>
                <w:sz w:val="20"/>
                <w:szCs w:val="20"/>
              </w:rPr>
            </w:pPr>
          </w:p>
        </w:tc>
      </w:tr>
      <w:tr w:rsidR="00F70D2D" w:rsidRPr="002F4CED" w14:paraId="0F6E5B9B" w14:textId="77777777" w:rsidTr="4F4C4721">
        <w:tc>
          <w:tcPr>
            <w:tcW w:w="6574" w:type="dxa"/>
            <w:vAlign w:val="bottom"/>
          </w:tcPr>
          <w:p w14:paraId="335642A2" w14:textId="2686DC87" w:rsidR="00F70D2D" w:rsidRPr="00F70D2D" w:rsidRDefault="004A575F" w:rsidP="004A575F">
            <w:pPr>
              <w:autoSpaceDE w:val="0"/>
              <w:autoSpaceDN w:val="0"/>
              <w:adjustRightInd w:val="0"/>
              <w:spacing w:before="120"/>
              <w:ind w:left="1151" w:hanging="450"/>
              <w:rPr>
                <w:rFonts w:eastAsia="Times New Roman" w:cs="Calibri Light"/>
                <w:color w:val="auto"/>
                <w:sz w:val="20"/>
                <w:szCs w:val="20"/>
                <w:lang w:val="en-US" w:eastAsia="en-US"/>
              </w:rPr>
            </w:pPr>
            <w:r w:rsidRPr="002F4CED">
              <w:rPr>
                <w:rFonts w:eastAsia="Times New Roman" w:cs="Calibri Light"/>
                <w:color w:val="auto"/>
                <w:sz w:val="20"/>
                <w:szCs w:val="20"/>
                <w:lang w:val="en-US" w:eastAsia="en-US"/>
              </w:rPr>
              <w:t>(2)</w:t>
            </w:r>
            <w:r>
              <w:rPr>
                <w:rFonts w:eastAsia="Times New Roman" w:cs="Calibri Light"/>
                <w:color w:val="auto"/>
                <w:sz w:val="20"/>
                <w:szCs w:val="20"/>
                <w:lang w:val="en-US" w:eastAsia="en-US"/>
              </w:rPr>
              <w:tab/>
            </w:r>
            <w:r w:rsidRPr="002F4CED">
              <w:rPr>
                <w:rFonts w:eastAsia="Times New Roman" w:cs="Calibri Light"/>
                <w:color w:val="auto"/>
                <w:sz w:val="20"/>
                <w:szCs w:val="20"/>
                <w:lang w:val="en-US" w:eastAsia="en-US"/>
              </w:rPr>
              <w:t>The percentage of shares of the registrant owned by governmental entities in the foreign jurisdiction in which the</w:t>
            </w:r>
            <w:r>
              <w:rPr>
                <w:rFonts w:eastAsia="Times New Roman" w:cs="Calibri Light"/>
                <w:color w:val="auto"/>
                <w:sz w:val="20"/>
                <w:szCs w:val="20"/>
                <w:lang w:val="en-US" w:eastAsia="en-US"/>
              </w:rPr>
              <w:t xml:space="preserve"> </w:t>
            </w:r>
            <w:r w:rsidRPr="002F4CED">
              <w:rPr>
                <w:rFonts w:eastAsia="Times New Roman" w:cs="Calibri Light"/>
                <w:color w:val="auto"/>
                <w:sz w:val="20"/>
                <w:szCs w:val="20"/>
                <w:lang w:val="en-US" w:eastAsia="en-US"/>
              </w:rPr>
              <w:t>registrant is incorporated or otherwise organized;</w:t>
            </w:r>
          </w:p>
        </w:tc>
        <w:tc>
          <w:tcPr>
            <w:tcW w:w="1247" w:type="dxa"/>
            <w:gridSpan w:val="2"/>
            <w:tcBorders>
              <w:bottom w:val="single" w:sz="4" w:space="0" w:color="auto"/>
            </w:tcBorders>
            <w:vAlign w:val="bottom"/>
          </w:tcPr>
          <w:p w14:paraId="0F46FE12" w14:textId="77777777" w:rsidR="00F70D2D" w:rsidRPr="002F4CED" w:rsidRDefault="00F70D2D" w:rsidP="002F4CED">
            <w:pPr>
              <w:pStyle w:val="levela"/>
              <w:widowControl w:val="0"/>
              <w:spacing w:before="120" w:after="120" w:line="240" w:lineRule="atLeast"/>
              <w:ind w:left="0" w:firstLine="0"/>
              <w:rPr>
                <w:rFonts w:cs="Calibri Light"/>
                <w:bCs/>
                <w:sz w:val="20"/>
                <w:szCs w:val="20"/>
              </w:rPr>
            </w:pPr>
          </w:p>
        </w:tc>
        <w:tc>
          <w:tcPr>
            <w:tcW w:w="236" w:type="dxa"/>
            <w:vAlign w:val="bottom"/>
          </w:tcPr>
          <w:p w14:paraId="318DBB60" w14:textId="77777777" w:rsidR="00F70D2D" w:rsidRPr="002F4CED" w:rsidRDefault="00F70D2D" w:rsidP="002F4CED">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255A2C9D" w14:textId="77777777" w:rsidR="00F70D2D" w:rsidRPr="002F4CED" w:rsidRDefault="00F70D2D" w:rsidP="002F4CED">
            <w:pPr>
              <w:pStyle w:val="levela"/>
              <w:widowControl w:val="0"/>
              <w:spacing w:before="120" w:after="120" w:line="240" w:lineRule="atLeast"/>
              <w:ind w:left="0" w:firstLine="0"/>
              <w:rPr>
                <w:rFonts w:cs="Calibri Light"/>
                <w:bCs/>
                <w:sz w:val="20"/>
                <w:szCs w:val="20"/>
              </w:rPr>
            </w:pPr>
          </w:p>
        </w:tc>
      </w:tr>
      <w:tr w:rsidR="004A575F" w:rsidRPr="002F4CED" w14:paraId="6BA45511" w14:textId="77777777" w:rsidTr="4F4C4721">
        <w:tc>
          <w:tcPr>
            <w:tcW w:w="6574" w:type="dxa"/>
            <w:vAlign w:val="bottom"/>
          </w:tcPr>
          <w:p w14:paraId="36BB3605" w14:textId="17547B91" w:rsidR="004A575F" w:rsidRPr="002F4CED" w:rsidRDefault="004A575F" w:rsidP="004A575F">
            <w:pPr>
              <w:autoSpaceDE w:val="0"/>
              <w:autoSpaceDN w:val="0"/>
              <w:adjustRightInd w:val="0"/>
              <w:spacing w:before="120"/>
              <w:ind w:left="1151" w:hanging="450"/>
              <w:rPr>
                <w:rFonts w:eastAsia="Times New Roman" w:cs="Calibri Light"/>
                <w:color w:val="auto"/>
                <w:sz w:val="20"/>
                <w:szCs w:val="20"/>
                <w:lang w:val="en-US" w:eastAsia="en-US"/>
              </w:rPr>
            </w:pPr>
            <w:r w:rsidRPr="002F4CED">
              <w:rPr>
                <w:rFonts w:eastAsia="Times New Roman" w:cs="Calibri Light"/>
                <w:color w:val="auto"/>
                <w:sz w:val="20"/>
                <w:szCs w:val="20"/>
                <w:lang w:val="en-US" w:eastAsia="en-US"/>
              </w:rPr>
              <w:t>(3)</w:t>
            </w:r>
            <w:r>
              <w:rPr>
                <w:rFonts w:eastAsia="Times New Roman" w:cs="Calibri Light"/>
                <w:color w:val="auto"/>
                <w:sz w:val="20"/>
                <w:szCs w:val="20"/>
                <w:lang w:val="en-US" w:eastAsia="en-US"/>
              </w:rPr>
              <w:tab/>
            </w:r>
            <w:r w:rsidRPr="002F4CED">
              <w:rPr>
                <w:rFonts w:eastAsia="Times New Roman" w:cs="Calibri Light"/>
                <w:color w:val="auto"/>
                <w:sz w:val="20"/>
                <w:szCs w:val="20"/>
                <w:lang w:val="en-US" w:eastAsia="en-US"/>
              </w:rPr>
              <w:t>Whether governmental entities in the applicable foreign jurisdiction with respect to that registered public accounting firm</w:t>
            </w:r>
            <w:r>
              <w:rPr>
                <w:rFonts w:eastAsia="Times New Roman" w:cs="Calibri Light"/>
                <w:color w:val="auto"/>
                <w:sz w:val="20"/>
                <w:szCs w:val="20"/>
                <w:lang w:val="en-US" w:eastAsia="en-US"/>
              </w:rPr>
              <w:t xml:space="preserve"> </w:t>
            </w:r>
            <w:r w:rsidRPr="002F4CED">
              <w:rPr>
                <w:rFonts w:eastAsia="Times New Roman" w:cs="Calibri Light"/>
                <w:color w:val="auto"/>
                <w:sz w:val="20"/>
                <w:szCs w:val="20"/>
                <w:lang w:val="en-US" w:eastAsia="en-US"/>
              </w:rPr>
              <w:t>have a controlling financial interest with respect to the registrant;</w:t>
            </w:r>
          </w:p>
        </w:tc>
        <w:tc>
          <w:tcPr>
            <w:tcW w:w="1247" w:type="dxa"/>
            <w:gridSpan w:val="2"/>
            <w:tcBorders>
              <w:bottom w:val="single" w:sz="4" w:space="0" w:color="auto"/>
            </w:tcBorders>
            <w:vAlign w:val="bottom"/>
          </w:tcPr>
          <w:p w14:paraId="47142719"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c>
          <w:tcPr>
            <w:tcW w:w="236" w:type="dxa"/>
            <w:vAlign w:val="bottom"/>
          </w:tcPr>
          <w:p w14:paraId="6B2CB648"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2D59DDF2"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r>
      <w:tr w:rsidR="004A575F" w:rsidRPr="002F4CED" w14:paraId="66BD7860" w14:textId="77777777" w:rsidTr="4F4C4721">
        <w:tc>
          <w:tcPr>
            <w:tcW w:w="6574" w:type="dxa"/>
            <w:vAlign w:val="bottom"/>
          </w:tcPr>
          <w:p w14:paraId="608B83E8" w14:textId="3EDE4A8E" w:rsidR="004A575F" w:rsidRPr="002F4CED" w:rsidRDefault="004A575F" w:rsidP="004A575F">
            <w:pPr>
              <w:autoSpaceDE w:val="0"/>
              <w:autoSpaceDN w:val="0"/>
              <w:adjustRightInd w:val="0"/>
              <w:spacing w:before="120"/>
              <w:ind w:left="1151" w:hanging="450"/>
              <w:rPr>
                <w:rFonts w:eastAsia="Times New Roman" w:cs="Calibri Light"/>
                <w:color w:val="auto"/>
                <w:sz w:val="20"/>
                <w:szCs w:val="20"/>
                <w:lang w:val="en-US" w:eastAsia="en-US"/>
              </w:rPr>
            </w:pPr>
            <w:r w:rsidRPr="002F4CED">
              <w:rPr>
                <w:rFonts w:eastAsia="Times New Roman" w:cs="Calibri Light"/>
                <w:color w:val="auto"/>
                <w:sz w:val="20"/>
                <w:szCs w:val="20"/>
                <w:lang w:val="en-US" w:eastAsia="en-US"/>
              </w:rPr>
              <w:t>(4)</w:t>
            </w:r>
            <w:r>
              <w:rPr>
                <w:rFonts w:eastAsia="Times New Roman" w:cs="Calibri Light"/>
                <w:color w:val="auto"/>
                <w:sz w:val="20"/>
                <w:szCs w:val="20"/>
                <w:lang w:val="en-US" w:eastAsia="en-US"/>
              </w:rPr>
              <w:tab/>
            </w:r>
            <w:r w:rsidRPr="002F4CED">
              <w:rPr>
                <w:rFonts w:eastAsia="Times New Roman" w:cs="Calibri Light"/>
                <w:color w:val="auto"/>
                <w:sz w:val="20"/>
                <w:szCs w:val="20"/>
                <w:lang w:val="en-US" w:eastAsia="en-US"/>
              </w:rPr>
              <w:t>The name of each official of the Chinese Communist Party who is a member of the board of directors of the registrant or</w:t>
            </w:r>
            <w:r>
              <w:rPr>
                <w:rFonts w:eastAsia="Times New Roman" w:cs="Calibri Light"/>
                <w:color w:val="auto"/>
                <w:sz w:val="20"/>
                <w:szCs w:val="20"/>
                <w:lang w:val="en-US" w:eastAsia="en-US"/>
              </w:rPr>
              <w:t xml:space="preserve"> </w:t>
            </w:r>
            <w:r w:rsidRPr="002F4CED">
              <w:rPr>
                <w:rFonts w:eastAsia="Times New Roman" w:cs="Calibri Light"/>
                <w:color w:val="auto"/>
                <w:sz w:val="20"/>
                <w:szCs w:val="20"/>
                <w:lang w:val="en-US" w:eastAsia="en-US"/>
              </w:rPr>
              <w:t>the operating entity with respect to the registrant; and</w:t>
            </w:r>
          </w:p>
        </w:tc>
        <w:tc>
          <w:tcPr>
            <w:tcW w:w="1247" w:type="dxa"/>
            <w:gridSpan w:val="2"/>
            <w:tcBorders>
              <w:bottom w:val="single" w:sz="4" w:space="0" w:color="auto"/>
            </w:tcBorders>
            <w:vAlign w:val="bottom"/>
          </w:tcPr>
          <w:p w14:paraId="63503F29"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c>
          <w:tcPr>
            <w:tcW w:w="236" w:type="dxa"/>
            <w:vAlign w:val="bottom"/>
          </w:tcPr>
          <w:p w14:paraId="1893E69B"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7D02928F"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r>
      <w:tr w:rsidR="004A575F" w:rsidRPr="002F4CED" w14:paraId="6A3358BD" w14:textId="77777777" w:rsidTr="4F4C4721">
        <w:tc>
          <w:tcPr>
            <w:tcW w:w="6574" w:type="dxa"/>
            <w:vAlign w:val="bottom"/>
          </w:tcPr>
          <w:p w14:paraId="16F74C92" w14:textId="13BE8B84" w:rsidR="004A575F" w:rsidRPr="002F4CED" w:rsidRDefault="004A575F" w:rsidP="004A575F">
            <w:pPr>
              <w:autoSpaceDE w:val="0"/>
              <w:autoSpaceDN w:val="0"/>
              <w:adjustRightInd w:val="0"/>
              <w:spacing w:before="120"/>
              <w:ind w:left="1151" w:hanging="450"/>
              <w:rPr>
                <w:rFonts w:eastAsia="Times New Roman" w:cs="Calibri Light"/>
                <w:color w:val="auto"/>
                <w:sz w:val="20"/>
                <w:szCs w:val="20"/>
                <w:lang w:val="en-US" w:eastAsia="en-US"/>
              </w:rPr>
            </w:pPr>
            <w:r w:rsidRPr="002F4CED">
              <w:rPr>
                <w:rFonts w:eastAsia="Times New Roman" w:cs="Calibri Light"/>
                <w:color w:val="auto"/>
                <w:sz w:val="20"/>
                <w:szCs w:val="20"/>
                <w:lang w:val="en-US" w:eastAsia="en-US"/>
              </w:rPr>
              <w:t>(5)</w:t>
            </w:r>
            <w:r>
              <w:rPr>
                <w:rFonts w:eastAsia="Times New Roman" w:cs="Calibri Light"/>
                <w:color w:val="auto"/>
                <w:sz w:val="20"/>
                <w:szCs w:val="20"/>
                <w:lang w:val="en-US" w:eastAsia="en-US"/>
              </w:rPr>
              <w:tab/>
            </w:r>
            <w:r w:rsidRPr="002F4CED">
              <w:rPr>
                <w:rFonts w:eastAsia="Times New Roman" w:cs="Calibri Light"/>
                <w:color w:val="auto"/>
                <w:sz w:val="20"/>
                <w:szCs w:val="20"/>
                <w:lang w:val="en-US" w:eastAsia="en-US"/>
              </w:rPr>
              <w:t>Whether the articles of incorporation of the registrant (or equivalent organizing document) contains any charter of the Chinese Communist Party, including the text of any such charter.</w:t>
            </w:r>
          </w:p>
        </w:tc>
        <w:tc>
          <w:tcPr>
            <w:tcW w:w="1247" w:type="dxa"/>
            <w:gridSpan w:val="2"/>
            <w:tcBorders>
              <w:bottom w:val="single" w:sz="4" w:space="0" w:color="auto"/>
            </w:tcBorders>
            <w:vAlign w:val="bottom"/>
          </w:tcPr>
          <w:p w14:paraId="28413A55"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c>
          <w:tcPr>
            <w:tcW w:w="236" w:type="dxa"/>
            <w:vAlign w:val="bottom"/>
          </w:tcPr>
          <w:p w14:paraId="696798AE"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c>
          <w:tcPr>
            <w:tcW w:w="1303" w:type="dxa"/>
            <w:gridSpan w:val="2"/>
            <w:tcBorders>
              <w:bottom w:val="single" w:sz="4" w:space="0" w:color="auto"/>
            </w:tcBorders>
            <w:vAlign w:val="bottom"/>
          </w:tcPr>
          <w:p w14:paraId="46594831" w14:textId="77777777" w:rsidR="004A575F" w:rsidRPr="002F4CED" w:rsidRDefault="004A575F" w:rsidP="002F4CED">
            <w:pPr>
              <w:pStyle w:val="levela"/>
              <w:widowControl w:val="0"/>
              <w:spacing w:before="120" w:after="120" w:line="240" w:lineRule="atLeast"/>
              <w:ind w:left="0" w:firstLine="0"/>
              <w:rPr>
                <w:rFonts w:cs="Calibri Light"/>
                <w:bCs/>
                <w:sz w:val="20"/>
                <w:szCs w:val="20"/>
              </w:rPr>
            </w:pPr>
          </w:p>
        </w:tc>
      </w:tr>
      <w:tr w:rsidR="002F4CED" w:rsidRPr="008458AB" w14:paraId="6A713E73" w14:textId="77777777" w:rsidTr="4F4C4721">
        <w:tc>
          <w:tcPr>
            <w:tcW w:w="6574" w:type="dxa"/>
            <w:shd w:val="clear" w:color="auto" w:fill="C7C8CA" w:themeFill="accent6" w:themeFillTint="66"/>
            <w:vAlign w:val="bottom"/>
          </w:tcPr>
          <w:p w14:paraId="4C87B884" w14:textId="77777777" w:rsidR="002F4CED" w:rsidRPr="002B571B" w:rsidRDefault="002F4CED" w:rsidP="002F4CED">
            <w:pPr>
              <w:pStyle w:val="Heading1"/>
              <w:keepNext w:val="0"/>
              <w:keepLines w:val="0"/>
              <w:pageBreakBefore/>
              <w:widowControl w:val="0"/>
              <w:spacing w:before="120" w:after="120" w:line="240" w:lineRule="atLeast"/>
              <w:rPr>
                <w:rFonts w:cstheme="majorHAnsi"/>
                <w:b/>
                <w:bCs w:val="0"/>
                <w:sz w:val="20"/>
                <w:szCs w:val="20"/>
              </w:rPr>
            </w:pPr>
            <w:bookmarkStart w:id="9" w:name="_PART_III_OF_FORM_10-K"/>
            <w:bookmarkEnd w:id="9"/>
            <w:r w:rsidRPr="002B571B">
              <w:rPr>
                <w:rFonts w:cstheme="majorHAnsi"/>
                <w:b/>
                <w:bCs w:val="0"/>
                <w:sz w:val="20"/>
                <w:szCs w:val="20"/>
              </w:rPr>
              <w:lastRenderedPageBreak/>
              <w:t>P</w:t>
            </w:r>
            <w:bookmarkStart w:id="10" w:name="Part_3"/>
            <w:bookmarkEnd w:id="10"/>
            <w:r w:rsidRPr="002B571B">
              <w:rPr>
                <w:rFonts w:cstheme="majorHAnsi"/>
                <w:b/>
                <w:bCs w:val="0"/>
                <w:sz w:val="20"/>
                <w:szCs w:val="20"/>
              </w:rPr>
              <w:t>ART III OF FORM 10-K</w:t>
            </w:r>
          </w:p>
        </w:tc>
        <w:tc>
          <w:tcPr>
            <w:tcW w:w="1247" w:type="dxa"/>
            <w:gridSpan w:val="2"/>
            <w:tcBorders>
              <w:top w:val="single" w:sz="4" w:space="0" w:color="auto"/>
            </w:tcBorders>
            <w:shd w:val="clear" w:color="auto" w:fill="C7C8CA" w:themeFill="accent6" w:themeFillTint="66"/>
            <w:vAlign w:val="bottom"/>
          </w:tcPr>
          <w:p w14:paraId="0DBE84B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shd w:val="clear" w:color="auto" w:fill="C7C8CA" w:themeFill="accent6" w:themeFillTint="66"/>
            <w:vAlign w:val="bottom"/>
          </w:tcPr>
          <w:p w14:paraId="60F6DF8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shd w:val="clear" w:color="auto" w:fill="C7C8CA" w:themeFill="accent6" w:themeFillTint="66"/>
            <w:vAlign w:val="bottom"/>
          </w:tcPr>
          <w:p w14:paraId="79EA704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C5941B2" w14:textId="77777777" w:rsidTr="4F4C4721">
        <w:tc>
          <w:tcPr>
            <w:tcW w:w="6574" w:type="dxa"/>
            <w:vAlign w:val="bottom"/>
          </w:tcPr>
          <w:p w14:paraId="1575B206" w14:textId="40E8786A" w:rsidR="002F4CED" w:rsidRPr="008458AB" w:rsidRDefault="002F4CED" w:rsidP="002B76BB">
            <w:pPr>
              <w:pStyle w:val="standard"/>
              <w:widowControl w:val="0"/>
              <w:spacing w:before="120" w:after="120" w:line="240" w:lineRule="atLeast"/>
              <w:rPr>
                <w:rFonts w:cstheme="majorHAnsi"/>
                <w:b/>
                <w:sz w:val="20"/>
                <w:szCs w:val="20"/>
              </w:rPr>
            </w:pPr>
            <w:r w:rsidRPr="008458AB">
              <w:rPr>
                <w:rFonts w:cstheme="majorHAnsi"/>
                <w:sz w:val="20"/>
                <w:szCs w:val="20"/>
              </w:rPr>
              <w:t>General Instruction G</w:t>
            </w:r>
            <w:r w:rsidR="000E3EB3">
              <w:rPr>
                <w:rFonts w:cstheme="majorHAnsi"/>
                <w:sz w:val="20"/>
                <w:szCs w:val="20"/>
              </w:rPr>
              <w:t>(3)</w:t>
            </w:r>
            <w:r w:rsidRPr="008458AB">
              <w:rPr>
                <w:rFonts w:cstheme="majorHAnsi"/>
                <w:sz w:val="20"/>
                <w:szCs w:val="20"/>
              </w:rPr>
              <w:t xml:space="preserve"> provides that information called for by Part III of Form 10-K (Items 10, 11, 12, 13 and 14) may be incorporated by reference from the registrant’s definitive proxy or information statement </w:t>
            </w:r>
            <w:r w:rsidRPr="008458AB">
              <w:rPr>
                <w:rFonts w:cstheme="majorHAnsi"/>
                <w:i/>
                <w:iCs/>
                <w:sz w:val="20"/>
                <w:szCs w:val="20"/>
              </w:rPr>
              <w:t xml:space="preserve">if </w:t>
            </w:r>
            <w:r w:rsidRPr="008458AB">
              <w:rPr>
                <w:rFonts w:cstheme="majorHAnsi"/>
                <w:sz w:val="20"/>
                <w:szCs w:val="20"/>
              </w:rPr>
              <w:t>the proxy or information statement is filed with the SEC no later than 120 days after the fiscal year end. However, if the information called for by these items cannot be incorporated by reference, it must be included within Form 10-K when filed or included by amendment on Form 10-K/A no later than 120 days after the fiscal year end.</w:t>
            </w:r>
          </w:p>
        </w:tc>
        <w:tc>
          <w:tcPr>
            <w:tcW w:w="1247" w:type="dxa"/>
            <w:gridSpan w:val="2"/>
            <w:vAlign w:val="bottom"/>
          </w:tcPr>
          <w:p w14:paraId="5F3B476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02F0F3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2868625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FE7C94" w:rsidRPr="008458AB" w14:paraId="5814A958" w14:textId="77777777" w:rsidTr="4F4C4721">
        <w:tc>
          <w:tcPr>
            <w:tcW w:w="6574" w:type="dxa"/>
            <w:vAlign w:val="bottom"/>
          </w:tcPr>
          <w:p w14:paraId="1D9C477A" w14:textId="69D9BB20" w:rsidR="00FE7C94" w:rsidRPr="008458AB" w:rsidRDefault="00FE7C94" w:rsidP="002F4CED">
            <w:pPr>
              <w:pStyle w:val="standard"/>
              <w:widowControl w:val="0"/>
              <w:spacing w:before="120" w:after="120" w:line="240" w:lineRule="atLeast"/>
              <w:rPr>
                <w:rFonts w:cstheme="majorHAnsi"/>
                <w:sz w:val="20"/>
                <w:szCs w:val="20"/>
              </w:rPr>
            </w:pPr>
            <w:r w:rsidRPr="008458AB">
              <w:rPr>
                <w:rFonts w:cstheme="majorHAnsi"/>
                <w:b/>
                <w:sz w:val="20"/>
                <w:szCs w:val="20"/>
              </w:rPr>
              <w:t>Item 10 — Directors, Executive Officers and Corporate Governance</w:t>
            </w:r>
          </w:p>
        </w:tc>
        <w:tc>
          <w:tcPr>
            <w:tcW w:w="1247" w:type="dxa"/>
            <w:gridSpan w:val="2"/>
            <w:vAlign w:val="bottom"/>
          </w:tcPr>
          <w:p w14:paraId="0F6ECB25" w14:textId="77777777" w:rsidR="00FE7C94" w:rsidRPr="008458AB" w:rsidRDefault="00FE7C94"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8740A48" w14:textId="77777777" w:rsidR="00FE7C94" w:rsidRPr="008458AB" w:rsidRDefault="00FE7C94"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06BB3CB5" w14:textId="77777777" w:rsidR="00FE7C94" w:rsidRPr="008458AB" w:rsidRDefault="00FE7C94" w:rsidP="002F4CED">
            <w:pPr>
              <w:pStyle w:val="levela"/>
              <w:widowControl w:val="0"/>
              <w:spacing w:before="120" w:after="120" w:line="240" w:lineRule="atLeast"/>
              <w:ind w:left="0" w:firstLine="0"/>
              <w:rPr>
                <w:rFonts w:cstheme="majorHAnsi"/>
                <w:bCs/>
                <w:sz w:val="20"/>
                <w:szCs w:val="20"/>
              </w:rPr>
            </w:pPr>
          </w:p>
        </w:tc>
      </w:tr>
      <w:tr w:rsidR="002F4CED" w:rsidRPr="008458AB" w14:paraId="688202B4" w14:textId="77777777" w:rsidTr="4F4C4721">
        <w:tc>
          <w:tcPr>
            <w:tcW w:w="6574" w:type="dxa"/>
            <w:vAlign w:val="bottom"/>
          </w:tcPr>
          <w:p w14:paraId="5CA26925" w14:textId="5905DC6F" w:rsidR="00F06A06" w:rsidRDefault="002F4CED" w:rsidP="002F4CED">
            <w:pPr>
              <w:pStyle w:val="levela"/>
              <w:widowControl w:val="0"/>
              <w:numPr>
                <w:ilvl w:val="0"/>
                <w:numId w:val="29"/>
              </w:numPr>
              <w:tabs>
                <w:tab w:val="clear" w:pos="576"/>
              </w:tabs>
              <w:spacing w:before="120" w:after="120" w:line="240" w:lineRule="atLeast"/>
              <w:ind w:left="250" w:hanging="250"/>
              <w:rPr>
                <w:rFonts w:cstheme="majorHAnsi"/>
                <w:sz w:val="20"/>
                <w:szCs w:val="20"/>
              </w:rPr>
            </w:pPr>
            <w:r w:rsidRPr="008458AB">
              <w:rPr>
                <w:rFonts w:cstheme="majorHAnsi"/>
                <w:sz w:val="20"/>
                <w:szCs w:val="20"/>
              </w:rPr>
              <w:t>Provide the information called for by Regulation</w:t>
            </w:r>
            <w:r>
              <w:rPr>
                <w:rFonts w:cstheme="majorHAnsi"/>
                <w:sz w:val="20"/>
                <w:szCs w:val="20"/>
              </w:rPr>
              <w:t xml:space="preserve"> </w:t>
            </w:r>
            <w:r w:rsidRPr="008458AB">
              <w:rPr>
                <w:rFonts w:cstheme="majorHAnsi"/>
                <w:sz w:val="20"/>
                <w:szCs w:val="20"/>
              </w:rPr>
              <w:t>S-K</w:t>
            </w:r>
            <w:r w:rsidR="00F06A06">
              <w:rPr>
                <w:rFonts w:cstheme="majorHAnsi"/>
                <w:sz w:val="20"/>
                <w:szCs w:val="20"/>
              </w:rPr>
              <w:t>:</w:t>
            </w:r>
          </w:p>
          <w:p w14:paraId="5739F007" w14:textId="60738213" w:rsidR="002F4CED" w:rsidRPr="008458AB" w:rsidRDefault="002F4CED" w:rsidP="0078434A">
            <w:pPr>
              <w:pStyle w:val="levela"/>
              <w:widowControl w:val="0"/>
              <w:numPr>
                <w:ilvl w:val="1"/>
                <w:numId w:val="29"/>
              </w:numPr>
              <w:tabs>
                <w:tab w:val="clear" w:pos="576"/>
              </w:tabs>
              <w:spacing w:before="120" w:after="120" w:line="240" w:lineRule="atLeast"/>
              <w:ind w:left="705"/>
              <w:rPr>
                <w:rFonts w:cstheme="majorHAnsi"/>
                <w:sz w:val="20"/>
                <w:szCs w:val="20"/>
              </w:rPr>
            </w:pPr>
            <w:r w:rsidRPr="008458AB">
              <w:rPr>
                <w:rFonts w:cstheme="majorHAnsi"/>
                <w:sz w:val="20"/>
                <w:szCs w:val="20"/>
              </w:rPr>
              <w:t>Item 401, “Directors, Executive Officers, Promoters and Control Persons,” (which includes the requirements for disclosure of the “Audit Committee Financial Expert”),</w:t>
            </w:r>
          </w:p>
        </w:tc>
        <w:tc>
          <w:tcPr>
            <w:tcW w:w="1247" w:type="dxa"/>
            <w:gridSpan w:val="2"/>
            <w:vAlign w:val="bottom"/>
          </w:tcPr>
          <w:p w14:paraId="64BA166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51F97F4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6B9479D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C24553" w:rsidRPr="008458AB" w14:paraId="0E6595FF" w14:textId="77777777" w:rsidTr="4F4C4721">
        <w:tc>
          <w:tcPr>
            <w:tcW w:w="6574" w:type="dxa"/>
            <w:vAlign w:val="bottom"/>
          </w:tcPr>
          <w:p w14:paraId="4C656011" w14:textId="50E66C0F" w:rsidR="00C24553" w:rsidRPr="008458AB" w:rsidRDefault="00C24553" w:rsidP="00C24553">
            <w:pPr>
              <w:pStyle w:val="levela"/>
              <w:widowControl w:val="0"/>
              <w:numPr>
                <w:ilvl w:val="1"/>
                <w:numId w:val="29"/>
              </w:numPr>
              <w:tabs>
                <w:tab w:val="clear" w:pos="576"/>
              </w:tabs>
              <w:spacing w:before="120" w:after="120" w:line="240" w:lineRule="atLeast"/>
              <w:ind w:left="705"/>
              <w:rPr>
                <w:rFonts w:cstheme="majorHAnsi"/>
                <w:sz w:val="20"/>
                <w:szCs w:val="20"/>
              </w:rPr>
            </w:pPr>
            <w:r w:rsidRPr="008458AB">
              <w:rPr>
                <w:rFonts w:cstheme="majorHAnsi"/>
                <w:sz w:val="20"/>
                <w:szCs w:val="20"/>
              </w:rPr>
              <w:t>Item 405, “Compliance with Section 16(a) of the Exchange Act,”</w:t>
            </w:r>
          </w:p>
        </w:tc>
        <w:tc>
          <w:tcPr>
            <w:tcW w:w="1247" w:type="dxa"/>
            <w:gridSpan w:val="2"/>
            <w:tcBorders>
              <w:top w:val="single" w:sz="4" w:space="0" w:color="auto"/>
              <w:bottom w:val="single" w:sz="6" w:space="0" w:color="auto"/>
            </w:tcBorders>
            <w:vAlign w:val="bottom"/>
          </w:tcPr>
          <w:p w14:paraId="682338D3" w14:textId="77777777" w:rsidR="00C24553" w:rsidRPr="008458AB" w:rsidRDefault="00C24553"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A47EFE3" w14:textId="77777777" w:rsidR="00C24553" w:rsidRPr="008458AB" w:rsidRDefault="00C24553"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24CAAD42" w14:textId="77777777" w:rsidR="00C24553" w:rsidRPr="008458AB" w:rsidRDefault="00C24553" w:rsidP="002F4CED">
            <w:pPr>
              <w:pStyle w:val="levela"/>
              <w:widowControl w:val="0"/>
              <w:spacing w:before="120" w:after="120" w:line="240" w:lineRule="atLeast"/>
              <w:ind w:left="0" w:firstLine="0"/>
              <w:rPr>
                <w:rFonts w:cstheme="majorHAnsi"/>
                <w:bCs/>
                <w:sz w:val="20"/>
                <w:szCs w:val="20"/>
              </w:rPr>
            </w:pPr>
          </w:p>
        </w:tc>
      </w:tr>
      <w:tr w:rsidR="00C24553" w:rsidRPr="008458AB" w14:paraId="0F017BF5" w14:textId="77777777" w:rsidTr="4F4C4721">
        <w:tc>
          <w:tcPr>
            <w:tcW w:w="6574" w:type="dxa"/>
            <w:vAlign w:val="bottom"/>
          </w:tcPr>
          <w:p w14:paraId="02EEE1F3" w14:textId="05E0CBE5" w:rsidR="00C24553" w:rsidRPr="008458AB" w:rsidRDefault="00C24553" w:rsidP="00C24553">
            <w:pPr>
              <w:pStyle w:val="levela"/>
              <w:widowControl w:val="0"/>
              <w:numPr>
                <w:ilvl w:val="1"/>
                <w:numId w:val="29"/>
              </w:numPr>
              <w:tabs>
                <w:tab w:val="clear" w:pos="576"/>
              </w:tabs>
              <w:spacing w:before="120" w:after="120" w:line="240" w:lineRule="atLeast"/>
              <w:ind w:left="705"/>
              <w:rPr>
                <w:rFonts w:cstheme="majorHAnsi"/>
                <w:sz w:val="20"/>
                <w:szCs w:val="20"/>
              </w:rPr>
            </w:pPr>
            <w:r w:rsidRPr="008458AB">
              <w:rPr>
                <w:rFonts w:cstheme="majorHAnsi"/>
                <w:sz w:val="20"/>
                <w:szCs w:val="20"/>
              </w:rPr>
              <w:t>Item 406, “Code of Ethics,”</w:t>
            </w:r>
            <w:r w:rsidR="00A7322B">
              <w:rPr>
                <w:rFonts w:cstheme="majorHAnsi"/>
                <w:sz w:val="20"/>
                <w:szCs w:val="20"/>
              </w:rPr>
              <w:t xml:space="preserve"> and</w:t>
            </w:r>
          </w:p>
        </w:tc>
        <w:tc>
          <w:tcPr>
            <w:tcW w:w="1247" w:type="dxa"/>
            <w:gridSpan w:val="2"/>
            <w:tcBorders>
              <w:top w:val="single" w:sz="4" w:space="0" w:color="auto"/>
              <w:bottom w:val="single" w:sz="6" w:space="0" w:color="auto"/>
            </w:tcBorders>
            <w:vAlign w:val="bottom"/>
          </w:tcPr>
          <w:p w14:paraId="215ECCD2" w14:textId="77777777" w:rsidR="00C24553" w:rsidRPr="008458AB" w:rsidRDefault="00C24553"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CE447D7" w14:textId="77777777" w:rsidR="00C24553" w:rsidRPr="008458AB" w:rsidRDefault="00C24553"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6CA4F2BF" w14:textId="77777777" w:rsidR="00C24553" w:rsidRPr="008458AB" w:rsidRDefault="00C24553" w:rsidP="002F4CED">
            <w:pPr>
              <w:pStyle w:val="levela"/>
              <w:widowControl w:val="0"/>
              <w:spacing w:before="120" w:after="120" w:line="240" w:lineRule="atLeast"/>
              <w:ind w:left="0" w:firstLine="0"/>
              <w:rPr>
                <w:rFonts w:cstheme="majorHAnsi"/>
                <w:bCs/>
                <w:sz w:val="20"/>
                <w:szCs w:val="20"/>
              </w:rPr>
            </w:pPr>
          </w:p>
        </w:tc>
      </w:tr>
      <w:tr w:rsidR="004A575F" w:rsidRPr="008458AB" w14:paraId="2AA52F60" w14:textId="77777777" w:rsidTr="4F4C4721">
        <w:tc>
          <w:tcPr>
            <w:tcW w:w="6574" w:type="dxa"/>
            <w:vAlign w:val="bottom"/>
          </w:tcPr>
          <w:p w14:paraId="7B45452C" w14:textId="6A2C5EF6" w:rsidR="004A575F" w:rsidRPr="008458AB" w:rsidRDefault="00C24553" w:rsidP="00C24553">
            <w:pPr>
              <w:pStyle w:val="levela"/>
              <w:widowControl w:val="0"/>
              <w:numPr>
                <w:ilvl w:val="1"/>
                <w:numId w:val="29"/>
              </w:numPr>
              <w:tabs>
                <w:tab w:val="clear" w:pos="576"/>
              </w:tabs>
              <w:spacing w:before="120" w:after="120" w:line="240" w:lineRule="atLeast"/>
              <w:ind w:left="705"/>
              <w:rPr>
                <w:rFonts w:cstheme="majorHAnsi"/>
                <w:sz w:val="20"/>
                <w:szCs w:val="20"/>
              </w:rPr>
            </w:pPr>
            <w:r w:rsidRPr="008458AB">
              <w:rPr>
                <w:rFonts w:cstheme="majorHAnsi"/>
                <w:sz w:val="20"/>
                <w:szCs w:val="20"/>
              </w:rPr>
              <w:t>Item 407(c)(3), (d)(4), and (d)(5) “Corporate Governance.”</w:t>
            </w:r>
          </w:p>
        </w:tc>
        <w:tc>
          <w:tcPr>
            <w:tcW w:w="1247" w:type="dxa"/>
            <w:gridSpan w:val="2"/>
            <w:tcBorders>
              <w:top w:val="single" w:sz="4" w:space="0" w:color="auto"/>
              <w:bottom w:val="single" w:sz="6" w:space="0" w:color="auto"/>
            </w:tcBorders>
            <w:vAlign w:val="bottom"/>
          </w:tcPr>
          <w:p w14:paraId="2B7BA7B1" w14:textId="77777777" w:rsidR="004A575F" w:rsidRPr="008458AB" w:rsidRDefault="004A575F"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1DCEAC5" w14:textId="77777777" w:rsidR="004A575F" w:rsidRPr="008458AB" w:rsidRDefault="004A575F"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53276D9E" w14:textId="77777777" w:rsidR="004A575F" w:rsidRPr="008458AB" w:rsidRDefault="004A575F" w:rsidP="002F4CED">
            <w:pPr>
              <w:pStyle w:val="levela"/>
              <w:widowControl w:val="0"/>
              <w:spacing w:before="120" w:after="120" w:line="240" w:lineRule="atLeast"/>
              <w:ind w:left="0" w:firstLine="0"/>
              <w:rPr>
                <w:rFonts w:cstheme="majorHAnsi"/>
                <w:bCs/>
                <w:sz w:val="20"/>
                <w:szCs w:val="20"/>
              </w:rPr>
            </w:pPr>
          </w:p>
        </w:tc>
      </w:tr>
      <w:tr w:rsidR="002F4CED" w:rsidRPr="008458AB" w14:paraId="28685EFB" w14:textId="77777777" w:rsidTr="4F4C4721">
        <w:tc>
          <w:tcPr>
            <w:tcW w:w="6574" w:type="dxa"/>
            <w:vAlign w:val="bottom"/>
          </w:tcPr>
          <w:p w14:paraId="5EAEA5BB" w14:textId="562E8A4F" w:rsidR="002F4CED" w:rsidRPr="008458AB" w:rsidRDefault="002F4CED" w:rsidP="002F4CED">
            <w:pPr>
              <w:pStyle w:val="levela"/>
              <w:widowControl w:val="0"/>
              <w:numPr>
                <w:ilvl w:val="0"/>
                <w:numId w:val="29"/>
              </w:numPr>
              <w:tabs>
                <w:tab w:val="clear" w:pos="576"/>
              </w:tabs>
              <w:spacing w:before="120" w:after="120" w:line="240" w:lineRule="atLeast"/>
              <w:ind w:left="250" w:hanging="250"/>
              <w:rPr>
                <w:rFonts w:cstheme="majorHAnsi"/>
                <w:sz w:val="20"/>
                <w:szCs w:val="20"/>
              </w:rPr>
            </w:pPr>
            <w:r w:rsidRPr="008458AB">
              <w:rPr>
                <w:rFonts w:cstheme="majorHAnsi"/>
                <w:sz w:val="20"/>
                <w:szCs w:val="20"/>
              </w:rPr>
              <w:t>Item 405 of Regulation S-K requires disclosure of delinquent Form 3, 4, or 5 filers. The space on the front of the Form 10-K should be marked to indicate that the registrant has no delinquent filers.</w:t>
            </w:r>
          </w:p>
        </w:tc>
        <w:tc>
          <w:tcPr>
            <w:tcW w:w="1247" w:type="dxa"/>
            <w:gridSpan w:val="2"/>
            <w:tcBorders>
              <w:top w:val="single" w:sz="4" w:space="0" w:color="auto"/>
              <w:bottom w:val="single" w:sz="6" w:space="0" w:color="auto"/>
            </w:tcBorders>
            <w:vAlign w:val="bottom"/>
          </w:tcPr>
          <w:p w14:paraId="6D18D7D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D1C417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7007880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CF23C9C" w14:textId="77777777" w:rsidTr="4F4C4721">
        <w:tc>
          <w:tcPr>
            <w:tcW w:w="6574" w:type="dxa"/>
            <w:vAlign w:val="bottom"/>
          </w:tcPr>
          <w:p w14:paraId="47107F5A" w14:textId="468A0EB5" w:rsidR="002F4CED" w:rsidRPr="008458AB" w:rsidRDefault="002F4CED" w:rsidP="002F4CED">
            <w:pPr>
              <w:pStyle w:val="levela"/>
              <w:widowControl w:val="0"/>
              <w:spacing w:before="120" w:after="120" w:line="240" w:lineRule="atLeast"/>
              <w:rPr>
                <w:rFonts w:cstheme="majorHAnsi"/>
                <w:sz w:val="20"/>
                <w:szCs w:val="20"/>
              </w:rPr>
            </w:pPr>
            <w:r w:rsidRPr="008458AB">
              <w:rPr>
                <w:rFonts w:cstheme="majorHAnsi"/>
                <w:b/>
                <w:sz w:val="20"/>
                <w:szCs w:val="20"/>
              </w:rPr>
              <w:t>Item 11 — Executive Compensation</w:t>
            </w:r>
          </w:p>
        </w:tc>
        <w:tc>
          <w:tcPr>
            <w:tcW w:w="1247" w:type="dxa"/>
            <w:gridSpan w:val="2"/>
            <w:vAlign w:val="bottom"/>
          </w:tcPr>
          <w:p w14:paraId="5EF2741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65B77E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4E12EC6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227CD94" w14:textId="77777777" w:rsidTr="4F4C4721">
        <w:tc>
          <w:tcPr>
            <w:tcW w:w="6574" w:type="dxa"/>
            <w:vAlign w:val="bottom"/>
          </w:tcPr>
          <w:p w14:paraId="140C00AB" w14:textId="4C12BE90" w:rsidR="002F4CED" w:rsidRPr="008458AB" w:rsidRDefault="002F4CED" w:rsidP="002F4CED">
            <w:pPr>
              <w:pStyle w:val="levela"/>
              <w:widowControl w:val="0"/>
              <w:numPr>
                <w:ilvl w:val="0"/>
                <w:numId w:val="30"/>
              </w:numPr>
              <w:tabs>
                <w:tab w:val="clear" w:pos="576"/>
              </w:tabs>
              <w:spacing w:before="120" w:after="120" w:line="240" w:lineRule="atLeast"/>
              <w:ind w:left="250" w:hanging="250"/>
              <w:rPr>
                <w:rFonts w:cstheme="majorHAnsi"/>
                <w:sz w:val="20"/>
                <w:szCs w:val="20"/>
              </w:rPr>
            </w:pPr>
            <w:r w:rsidRPr="008458AB">
              <w:rPr>
                <w:rFonts w:cstheme="majorHAnsi"/>
                <w:sz w:val="20"/>
                <w:szCs w:val="20"/>
              </w:rPr>
              <w:t>Provide the disclosures called for by Regulation</w:t>
            </w:r>
            <w:r>
              <w:rPr>
                <w:rFonts w:cstheme="majorHAnsi"/>
                <w:sz w:val="20"/>
                <w:szCs w:val="20"/>
              </w:rPr>
              <w:t xml:space="preserve"> </w:t>
            </w:r>
            <w:r w:rsidRPr="008458AB">
              <w:rPr>
                <w:rFonts w:cstheme="majorHAnsi"/>
                <w:sz w:val="20"/>
                <w:szCs w:val="20"/>
              </w:rPr>
              <w:t xml:space="preserve">S-K, Item 402, “Executive Compensation”, including the “Pay Ratio Disclosure” outlined by S-K, Item 402(u). </w:t>
            </w:r>
          </w:p>
        </w:tc>
        <w:tc>
          <w:tcPr>
            <w:tcW w:w="1247" w:type="dxa"/>
            <w:gridSpan w:val="2"/>
            <w:tcBorders>
              <w:bottom w:val="single" w:sz="4" w:space="0" w:color="auto"/>
            </w:tcBorders>
            <w:vAlign w:val="bottom"/>
          </w:tcPr>
          <w:p w14:paraId="2B826B5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55D1D4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2038445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46A406E" w14:textId="77777777" w:rsidTr="4F4C4721">
        <w:tc>
          <w:tcPr>
            <w:tcW w:w="6574" w:type="dxa"/>
            <w:vAlign w:val="bottom"/>
          </w:tcPr>
          <w:p w14:paraId="2C068EFE" w14:textId="5FC8B1EC" w:rsidR="002F4CED" w:rsidRPr="008458AB" w:rsidRDefault="002F4CED" w:rsidP="002F4CED">
            <w:pPr>
              <w:pStyle w:val="levela"/>
              <w:widowControl w:val="0"/>
              <w:numPr>
                <w:ilvl w:val="0"/>
                <w:numId w:val="30"/>
              </w:numPr>
              <w:tabs>
                <w:tab w:val="clear" w:pos="576"/>
              </w:tabs>
              <w:spacing w:before="120" w:after="120" w:line="240" w:lineRule="atLeast"/>
              <w:ind w:left="250" w:hanging="250"/>
              <w:rPr>
                <w:rFonts w:cstheme="majorHAnsi"/>
                <w:sz w:val="20"/>
                <w:szCs w:val="20"/>
              </w:rPr>
            </w:pPr>
            <w:r w:rsidRPr="008458AB">
              <w:rPr>
                <w:rFonts w:cstheme="majorHAnsi"/>
                <w:sz w:val="20"/>
                <w:szCs w:val="20"/>
              </w:rPr>
              <w:t>Provide the disclosures called for by paragraphs (e)(4) and (e)(5) of Regulation S-K, Item 407.</w:t>
            </w:r>
          </w:p>
          <w:p w14:paraId="6E1B634F" w14:textId="77777777" w:rsidR="00091C68" w:rsidRPr="00FF2D78" w:rsidRDefault="00091C68" w:rsidP="00091C68">
            <w:pPr>
              <w:pStyle w:val="levela"/>
              <w:widowControl w:val="0"/>
              <w:tabs>
                <w:tab w:val="clear" w:pos="576"/>
              </w:tabs>
              <w:spacing w:before="120" w:after="120" w:line="240" w:lineRule="atLeast"/>
              <w:ind w:left="250" w:firstLine="0"/>
              <w:rPr>
                <w:rFonts w:cstheme="majorHAnsi"/>
                <w:sz w:val="20"/>
                <w:szCs w:val="20"/>
              </w:rPr>
            </w:pPr>
            <w:r w:rsidRPr="00FF2D78">
              <w:rPr>
                <w:rFonts w:cstheme="majorHAnsi"/>
                <w:sz w:val="20"/>
                <w:szCs w:val="20"/>
              </w:rPr>
              <w:t xml:space="preserve">Additional SEC interpretive guidance on these requirements can be found in </w:t>
            </w:r>
            <w:hyperlink r:id="rId26" w:history="1">
              <w:r w:rsidRPr="00F83715">
                <w:rPr>
                  <w:rStyle w:val="Hyperlink"/>
                  <w:rFonts w:cstheme="majorHAnsi"/>
                  <w:i/>
                  <w:sz w:val="20"/>
                  <w:szCs w:val="20"/>
                </w:rPr>
                <w:t>Staff Observations in the Review of Executive Compensation Disclosure</w:t>
              </w:r>
            </w:hyperlink>
            <w:r w:rsidRPr="00FF2D78">
              <w:rPr>
                <w:rFonts w:cstheme="majorHAnsi"/>
                <w:sz w:val="20"/>
                <w:szCs w:val="20"/>
              </w:rPr>
              <w:t xml:space="preserve"> and in the </w:t>
            </w:r>
            <w:hyperlink r:id="rId27" w:history="1">
              <w:r w:rsidRPr="009E62FA">
                <w:rPr>
                  <w:rStyle w:val="Hyperlink"/>
                  <w:rFonts w:cstheme="majorHAnsi"/>
                  <w:sz w:val="20"/>
                  <w:szCs w:val="20"/>
                </w:rPr>
                <w:t>Regulation S-K interpretations</w:t>
              </w:r>
            </w:hyperlink>
            <w:r>
              <w:rPr>
                <w:rFonts w:cstheme="majorHAnsi"/>
                <w:sz w:val="20"/>
                <w:szCs w:val="20"/>
              </w:rPr>
              <w:t xml:space="preserve"> provided by the SEC.</w:t>
            </w:r>
          </w:p>
          <w:p w14:paraId="63566094" w14:textId="1CC00B7C" w:rsidR="002F4CED" w:rsidRPr="008458AB" w:rsidRDefault="00091C68" w:rsidP="002F4CED">
            <w:pPr>
              <w:pStyle w:val="levela"/>
              <w:widowControl w:val="0"/>
              <w:tabs>
                <w:tab w:val="clear" w:pos="576"/>
              </w:tabs>
              <w:spacing w:before="120" w:after="120" w:line="240" w:lineRule="atLeast"/>
              <w:ind w:left="250" w:firstLine="0"/>
              <w:rPr>
                <w:rFonts w:cstheme="majorHAnsi"/>
                <w:sz w:val="20"/>
                <w:szCs w:val="20"/>
              </w:rPr>
            </w:pPr>
            <w:r w:rsidRPr="34B60585">
              <w:rPr>
                <w:rFonts w:cstheme="majorBidi"/>
                <w:sz w:val="20"/>
                <w:szCs w:val="20"/>
              </w:rPr>
              <w:t xml:space="preserve">Refer to </w:t>
            </w:r>
            <w:r>
              <w:rPr>
                <w:rFonts w:cstheme="majorBidi"/>
                <w:sz w:val="20"/>
                <w:szCs w:val="20"/>
              </w:rPr>
              <w:t xml:space="preserve">the FINALIZED RULES AND EFFECTIVE DATES section of the </w:t>
            </w:r>
            <w:r w:rsidRPr="00EC74D8">
              <w:rPr>
                <w:rFonts w:cstheme="majorHAnsi"/>
                <w:i/>
                <w:sz w:val="20"/>
                <w:szCs w:val="20"/>
              </w:rPr>
              <w:t>SEC Compliance Checklist — General</w:t>
            </w:r>
            <w:r>
              <w:t xml:space="preserve"> </w:t>
            </w:r>
            <w:r w:rsidRPr="34B60585">
              <w:rPr>
                <w:rFonts w:cstheme="majorBidi"/>
                <w:sz w:val="20"/>
                <w:szCs w:val="20"/>
              </w:rPr>
              <w:t xml:space="preserve">for </w:t>
            </w:r>
            <w:r>
              <w:rPr>
                <w:rFonts w:cstheme="majorBidi"/>
                <w:sz w:val="20"/>
                <w:szCs w:val="20"/>
              </w:rPr>
              <w:t xml:space="preserve">additional </w:t>
            </w:r>
            <w:r w:rsidRPr="34B60585">
              <w:rPr>
                <w:rFonts w:cstheme="majorBidi"/>
                <w:sz w:val="20"/>
                <w:szCs w:val="20"/>
              </w:rPr>
              <w:t>detailed guidance</w:t>
            </w:r>
            <w:r>
              <w:rPr>
                <w:rFonts w:cstheme="majorBidi"/>
                <w:sz w:val="20"/>
                <w:szCs w:val="20"/>
              </w:rPr>
              <w:t xml:space="preserve"> on the impact of the Pay Versus Performance rule and its impact on Regulation S-K, Item 402</w:t>
            </w:r>
            <w:r w:rsidRPr="34B60585">
              <w:rPr>
                <w:rFonts w:cstheme="majorBidi"/>
                <w:sz w:val="20"/>
                <w:szCs w:val="20"/>
              </w:rPr>
              <w:t>.</w:t>
            </w:r>
          </w:p>
        </w:tc>
        <w:tc>
          <w:tcPr>
            <w:tcW w:w="1247" w:type="dxa"/>
            <w:gridSpan w:val="2"/>
            <w:tcBorders>
              <w:bottom w:val="single" w:sz="4" w:space="0" w:color="auto"/>
            </w:tcBorders>
            <w:vAlign w:val="bottom"/>
          </w:tcPr>
          <w:p w14:paraId="03C3FD9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0E3311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76DF068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6B7095E" w14:textId="77777777" w:rsidTr="0078434A">
        <w:trPr>
          <w:cantSplit/>
        </w:trPr>
        <w:tc>
          <w:tcPr>
            <w:tcW w:w="6574" w:type="dxa"/>
            <w:vAlign w:val="bottom"/>
          </w:tcPr>
          <w:p w14:paraId="5B36A6F5" w14:textId="77777777" w:rsidR="002F4CED" w:rsidRPr="008458AB" w:rsidRDefault="002F4CED" w:rsidP="002F4CED">
            <w:pPr>
              <w:pStyle w:val="standard"/>
              <w:widowControl w:val="0"/>
              <w:spacing w:before="120" w:after="120" w:line="240" w:lineRule="atLeast"/>
              <w:rPr>
                <w:rFonts w:cstheme="majorHAnsi"/>
                <w:b/>
                <w:sz w:val="20"/>
                <w:szCs w:val="20"/>
              </w:rPr>
            </w:pPr>
            <w:r w:rsidRPr="008458AB">
              <w:rPr>
                <w:rFonts w:cstheme="majorHAnsi"/>
                <w:b/>
                <w:sz w:val="20"/>
                <w:szCs w:val="20"/>
              </w:rPr>
              <w:lastRenderedPageBreak/>
              <w:t>Item 12 — Security Ownership of Certain Beneficial Owners and Management and Related Stockholder Matters</w:t>
            </w:r>
          </w:p>
        </w:tc>
        <w:tc>
          <w:tcPr>
            <w:tcW w:w="1247" w:type="dxa"/>
            <w:gridSpan w:val="2"/>
            <w:vAlign w:val="bottom"/>
          </w:tcPr>
          <w:p w14:paraId="5AAFED8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A383CC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4A810F0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3ADCDEA2" w14:textId="77777777" w:rsidTr="0078434A">
        <w:tc>
          <w:tcPr>
            <w:tcW w:w="6574" w:type="dxa"/>
            <w:vAlign w:val="bottom"/>
          </w:tcPr>
          <w:p w14:paraId="36EF1CA3" w14:textId="3295F5EB" w:rsidR="002F4CED" w:rsidRPr="00FB609F" w:rsidRDefault="002F4CED" w:rsidP="002F4CED">
            <w:pPr>
              <w:pStyle w:val="levela"/>
              <w:widowControl w:val="0"/>
              <w:numPr>
                <w:ilvl w:val="0"/>
                <w:numId w:val="31"/>
              </w:numPr>
              <w:tabs>
                <w:tab w:val="clear" w:pos="576"/>
              </w:tabs>
              <w:spacing w:before="120" w:after="120" w:line="240" w:lineRule="atLeast"/>
              <w:ind w:left="250" w:hanging="250"/>
              <w:rPr>
                <w:rFonts w:cstheme="majorHAnsi"/>
                <w:sz w:val="20"/>
                <w:szCs w:val="20"/>
              </w:rPr>
            </w:pPr>
            <w:r w:rsidRPr="00FB609F">
              <w:rPr>
                <w:rFonts w:cstheme="majorHAnsi"/>
                <w:sz w:val="20"/>
                <w:szCs w:val="20"/>
              </w:rPr>
              <w:t>Furnish the information required by Regulation S-K, Item 201(d), “Securities Authorized for Issuance under Equity Compensation Plans,” and Item 403, “Security Ownership of Certain Beneficial Owners and Management.”</w:t>
            </w:r>
          </w:p>
        </w:tc>
        <w:tc>
          <w:tcPr>
            <w:tcW w:w="1247" w:type="dxa"/>
            <w:gridSpan w:val="2"/>
            <w:tcBorders>
              <w:bottom w:val="single" w:sz="4" w:space="0" w:color="auto"/>
            </w:tcBorders>
            <w:vAlign w:val="bottom"/>
          </w:tcPr>
          <w:p w14:paraId="0E2A699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C22820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22E41AA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7E4FD6AC" w14:textId="77777777" w:rsidTr="0078434A">
        <w:tc>
          <w:tcPr>
            <w:tcW w:w="6574" w:type="dxa"/>
            <w:vAlign w:val="bottom"/>
          </w:tcPr>
          <w:p w14:paraId="4655D2C1" w14:textId="77777777" w:rsidR="002F4CED" w:rsidRPr="008458AB" w:rsidRDefault="002F4CED" w:rsidP="002F4CED">
            <w:pPr>
              <w:pStyle w:val="levela"/>
              <w:widowControl w:val="0"/>
              <w:spacing w:before="120" w:after="120" w:line="240" w:lineRule="atLeast"/>
              <w:ind w:left="0" w:firstLine="0"/>
              <w:rPr>
                <w:rFonts w:cstheme="majorHAnsi"/>
                <w:sz w:val="20"/>
                <w:szCs w:val="20"/>
              </w:rPr>
            </w:pPr>
            <w:r w:rsidRPr="008458AB">
              <w:rPr>
                <w:rFonts w:cstheme="majorHAnsi"/>
                <w:b/>
                <w:sz w:val="20"/>
                <w:szCs w:val="20"/>
              </w:rPr>
              <w:t>Item 13 — Certain Relationships and Related Transactions, and Director Independence</w:t>
            </w:r>
          </w:p>
        </w:tc>
        <w:tc>
          <w:tcPr>
            <w:tcW w:w="1247" w:type="dxa"/>
            <w:gridSpan w:val="2"/>
            <w:tcBorders>
              <w:top w:val="single" w:sz="4" w:space="0" w:color="auto"/>
            </w:tcBorders>
            <w:vAlign w:val="bottom"/>
          </w:tcPr>
          <w:p w14:paraId="6583112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7035D33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5BF5D5B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FC8E159" w14:textId="77777777" w:rsidTr="4F4C4721">
        <w:tc>
          <w:tcPr>
            <w:tcW w:w="6574" w:type="dxa"/>
            <w:vAlign w:val="bottom"/>
          </w:tcPr>
          <w:p w14:paraId="57EB824A" w14:textId="212FEA8F" w:rsidR="002F4CED" w:rsidRPr="008458AB" w:rsidRDefault="002F4CED" w:rsidP="002F4CED">
            <w:pPr>
              <w:pStyle w:val="levela"/>
              <w:widowControl w:val="0"/>
              <w:numPr>
                <w:ilvl w:val="0"/>
                <w:numId w:val="32"/>
              </w:numPr>
              <w:tabs>
                <w:tab w:val="clear" w:pos="576"/>
              </w:tabs>
              <w:spacing w:before="120" w:after="120" w:line="240" w:lineRule="atLeast"/>
              <w:ind w:left="250" w:hanging="250"/>
              <w:rPr>
                <w:rFonts w:cstheme="majorHAnsi"/>
                <w:sz w:val="20"/>
                <w:szCs w:val="20"/>
              </w:rPr>
            </w:pPr>
            <w:r w:rsidRPr="008458AB">
              <w:rPr>
                <w:rFonts w:cstheme="majorHAnsi"/>
                <w:sz w:val="20"/>
                <w:szCs w:val="20"/>
              </w:rPr>
              <w:t>Make the related-party disclosures called for by Regulation S-K, Item 404 and Item 407(a), “Certain Relationships and Related Transactions.”</w:t>
            </w:r>
          </w:p>
        </w:tc>
        <w:tc>
          <w:tcPr>
            <w:tcW w:w="1247" w:type="dxa"/>
            <w:gridSpan w:val="2"/>
            <w:tcBorders>
              <w:bottom w:val="single" w:sz="6" w:space="0" w:color="auto"/>
            </w:tcBorders>
            <w:vAlign w:val="bottom"/>
          </w:tcPr>
          <w:p w14:paraId="00F2355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6F5FA8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0598699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63623D2" w14:textId="77777777" w:rsidTr="4F4C4721">
        <w:tc>
          <w:tcPr>
            <w:tcW w:w="6574" w:type="dxa"/>
            <w:vAlign w:val="bottom"/>
          </w:tcPr>
          <w:p w14:paraId="2879C443" w14:textId="77777777" w:rsidR="002F4CED" w:rsidRPr="008458AB" w:rsidRDefault="002F4CED" w:rsidP="002F4CED">
            <w:pPr>
              <w:pStyle w:val="levelb"/>
              <w:widowControl w:val="0"/>
              <w:spacing w:before="120" w:after="120" w:line="240" w:lineRule="atLeast"/>
              <w:ind w:left="0" w:firstLine="0"/>
              <w:rPr>
                <w:rFonts w:cstheme="majorHAnsi"/>
                <w:b/>
                <w:bCs/>
                <w:i/>
                <w:iCs/>
                <w:sz w:val="20"/>
                <w:szCs w:val="20"/>
              </w:rPr>
            </w:pPr>
            <w:r w:rsidRPr="008458AB">
              <w:rPr>
                <w:rFonts w:cstheme="majorHAnsi"/>
                <w:b/>
                <w:bCs/>
                <w:sz w:val="20"/>
                <w:szCs w:val="20"/>
              </w:rPr>
              <w:t>Item 14 — Principal Accounting Fees and Services</w:t>
            </w:r>
          </w:p>
        </w:tc>
        <w:tc>
          <w:tcPr>
            <w:tcW w:w="1247" w:type="dxa"/>
            <w:gridSpan w:val="2"/>
            <w:tcBorders>
              <w:top w:val="single" w:sz="6" w:space="0" w:color="auto"/>
            </w:tcBorders>
            <w:vAlign w:val="bottom"/>
          </w:tcPr>
          <w:p w14:paraId="626B094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F4F681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tcBorders>
            <w:vAlign w:val="bottom"/>
          </w:tcPr>
          <w:p w14:paraId="645A2EB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D824FE3" w14:textId="77777777" w:rsidTr="4F4C4721">
        <w:tc>
          <w:tcPr>
            <w:tcW w:w="6574" w:type="dxa"/>
            <w:vAlign w:val="bottom"/>
          </w:tcPr>
          <w:p w14:paraId="76091D35" w14:textId="6518D9AD" w:rsidR="002F4CED" w:rsidRPr="008458AB" w:rsidRDefault="002F4CED" w:rsidP="002F4CED">
            <w:pPr>
              <w:pStyle w:val="levela"/>
              <w:widowControl w:val="0"/>
              <w:numPr>
                <w:ilvl w:val="0"/>
                <w:numId w:val="33"/>
              </w:numPr>
              <w:tabs>
                <w:tab w:val="clear" w:pos="576"/>
              </w:tabs>
              <w:spacing w:before="120" w:after="120" w:line="240" w:lineRule="atLeast"/>
              <w:ind w:left="250" w:hanging="250"/>
              <w:rPr>
                <w:rFonts w:cstheme="majorHAnsi"/>
                <w:sz w:val="20"/>
                <w:szCs w:val="20"/>
              </w:rPr>
            </w:pPr>
            <w:r w:rsidRPr="008458AB">
              <w:rPr>
                <w:rFonts w:cstheme="majorHAnsi"/>
                <w:sz w:val="20"/>
                <w:szCs w:val="20"/>
              </w:rPr>
              <w:t>Furnish the information required by Item 9(e) of Exchange Act, Schedule 14A. A registrant that is an asset-backed issuer is not required to disclose the information required below.</w:t>
            </w:r>
          </w:p>
        </w:tc>
        <w:tc>
          <w:tcPr>
            <w:tcW w:w="1247" w:type="dxa"/>
            <w:gridSpan w:val="2"/>
            <w:vAlign w:val="bottom"/>
          </w:tcPr>
          <w:p w14:paraId="56B2660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4FFEFA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3998E75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F20A23F" w14:textId="77777777" w:rsidTr="4F4C4721">
        <w:tc>
          <w:tcPr>
            <w:tcW w:w="6574" w:type="dxa"/>
            <w:vAlign w:val="bottom"/>
          </w:tcPr>
          <w:p w14:paraId="7B3F9499" w14:textId="77777777"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Disclose, under the caption Audit Fees, the aggregate fees billed for each of the last two fiscal years for professional services rendered by the principal accountant for the audit of the registrant's annual financial statements and review of financial statements included in the registrant's Form 10-Q or services that are normally provided by the accountant in connection with statutory and regulatory filings or engagements for those fiscal years.</w:t>
            </w:r>
          </w:p>
        </w:tc>
        <w:tc>
          <w:tcPr>
            <w:tcW w:w="1247" w:type="dxa"/>
            <w:gridSpan w:val="2"/>
            <w:tcBorders>
              <w:bottom w:val="single" w:sz="6" w:space="0" w:color="auto"/>
            </w:tcBorders>
            <w:vAlign w:val="bottom"/>
          </w:tcPr>
          <w:p w14:paraId="5134A95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C506C7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645D8AC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F533032" w14:textId="77777777" w:rsidTr="4F4C4721">
        <w:tc>
          <w:tcPr>
            <w:tcW w:w="6574" w:type="dxa"/>
            <w:vAlign w:val="bottom"/>
          </w:tcPr>
          <w:p w14:paraId="11FD2255" w14:textId="77777777"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t>Disclose, under the caption Audit-Related Fees, the aggregate fees billed in each of the last two fiscal years for assurance and related services by the principal accountant that are reasonably related to the performance of the audit or review of the registrant's financial statements and are not reported under paragraph (a) above. Registrants should describe the nature of the services comprising the fees disclosed under this category.</w:t>
            </w:r>
          </w:p>
        </w:tc>
        <w:tc>
          <w:tcPr>
            <w:tcW w:w="1247" w:type="dxa"/>
            <w:gridSpan w:val="2"/>
            <w:tcBorders>
              <w:top w:val="single" w:sz="6" w:space="0" w:color="auto"/>
              <w:bottom w:val="single" w:sz="6" w:space="0" w:color="auto"/>
            </w:tcBorders>
            <w:vAlign w:val="bottom"/>
          </w:tcPr>
          <w:p w14:paraId="371AC96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9AC786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08943CC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A212615" w14:textId="77777777" w:rsidTr="00CC4E03">
        <w:tc>
          <w:tcPr>
            <w:tcW w:w="6574" w:type="dxa"/>
            <w:vAlign w:val="bottom"/>
          </w:tcPr>
          <w:p w14:paraId="056CB979" w14:textId="73BD316E"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c.</w:t>
            </w:r>
            <w:r w:rsidRPr="008458AB">
              <w:rPr>
                <w:rFonts w:cstheme="majorHAnsi"/>
                <w:sz w:val="20"/>
                <w:szCs w:val="20"/>
              </w:rPr>
              <w:tab/>
              <w:t>Disclose, under the caption Tax Fees, the aggregate fees billed in each of the last two fiscal years for professional services rendered by the principal accountant for tax compliance, tax advice, and tax planning. Registrants should describe the nature of the services comprising the fees disclosed under this category.</w:t>
            </w:r>
          </w:p>
        </w:tc>
        <w:tc>
          <w:tcPr>
            <w:tcW w:w="1247" w:type="dxa"/>
            <w:gridSpan w:val="2"/>
            <w:tcBorders>
              <w:top w:val="single" w:sz="6" w:space="0" w:color="auto"/>
              <w:bottom w:val="single" w:sz="6" w:space="0" w:color="auto"/>
            </w:tcBorders>
            <w:vAlign w:val="bottom"/>
          </w:tcPr>
          <w:p w14:paraId="3713F92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44913E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528C244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5559EF2" w14:textId="77777777" w:rsidTr="00CC4E03">
        <w:tc>
          <w:tcPr>
            <w:tcW w:w="6574" w:type="dxa"/>
            <w:vAlign w:val="bottom"/>
          </w:tcPr>
          <w:p w14:paraId="04BEC262" w14:textId="6CB97251"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d.</w:t>
            </w:r>
            <w:r w:rsidRPr="008458AB">
              <w:rPr>
                <w:rFonts w:cstheme="majorHAnsi"/>
                <w:sz w:val="20"/>
                <w:szCs w:val="20"/>
              </w:rPr>
              <w:tab/>
              <w:t>Disclose, under the caption All Other Fees, the aggregate fees billed in each of the last two fiscal years for products and services provided by the principal accountant, other than the services reported in paragraphs (a) through (c) of this section. Registrants should describe the nature of the services comprising the fees disclosed under this category.</w:t>
            </w:r>
          </w:p>
        </w:tc>
        <w:tc>
          <w:tcPr>
            <w:tcW w:w="1247" w:type="dxa"/>
            <w:gridSpan w:val="2"/>
            <w:tcBorders>
              <w:top w:val="single" w:sz="6" w:space="0" w:color="auto"/>
              <w:bottom w:val="single" w:sz="4" w:space="0" w:color="auto"/>
            </w:tcBorders>
            <w:vAlign w:val="bottom"/>
          </w:tcPr>
          <w:p w14:paraId="2533D968"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51284046"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top w:val="single" w:sz="6" w:space="0" w:color="auto"/>
              <w:bottom w:val="single" w:sz="4" w:space="0" w:color="auto"/>
            </w:tcBorders>
            <w:vAlign w:val="bottom"/>
          </w:tcPr>
          <w:p w14:paraId="1036A0F0"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r>
      <w:tr w:rsidR="002F4CED" w:rsidRPr="008458AB" w14:paraId="68CEEABD" w14:textId="77777777" w:rsidTr="00CC4E03">
        <w:tc>
          <w:tcPr>
            <w:tcW w:w="6574" w:type="dxa"/>
            <w:vAlign w:val="bottom"/>
          </w:tcPr>
          <w:p w14:paraId="60BF821A" w14:textId="7E7AE2AA"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lastRenderedPageBreak/>
              <w:t>e.</w:t>
            </w:r>
            <w:r w:rsidRPr="008458AB">
              <w:rPr>
                <w:rFonts w:cstheme="majorHAnsi"/>
                <w:sz w:val="20"/>
                <w:szCs w:val="20"/>
              </w:rPr>
              <w:tab/>
              <w:t>Disclose the audit committee's preapproval</w:t>
            </w:r>
            <w:r>
              <w:rPr>
                <w:rFonts w:cstheme="majorHAnsi"/>
                <w:sz w:val="20"/>
                <w:szCs w:val="20"/>
              </w:rPr>
              <w:t xml:space="preserve"> </w:t>
            </w:r>
            <w:r w:rsidRPr="008458AB">
              <w:rPr>
                <w:rFonts w:cstheme="majorHAnsi"/>
                <w:sz w:val="20"/>
                <w:szCs w:val="20"/>
              </w:rPr>
              <w:t>policies and procedures described in Rule 2-01(c)(7)(i) of Regulation S-X, and also disclose the percentage of services described in each of paragraphs (b) through (d) of this section that were approved by the audit committee pursuant to Rule 2-01(c)(7)(i)(C) of Regulation S-X.</w:t>
            </w:r>
          </w:p>
        </w:tc>
        <w:tc>
          <w:tcPr>
            <w:tcW w:w="1247" w:type="dxa"/>
            <w:gridSpan w:val="2"/>
            <w:tcBorders>
              <w:top w:val="single" w:sz="4" w:space="0" w:color="auto"/>
              <w:bottom w:val="single" w:sz="6" w:space="0" w:color="auto"/>
            </w:tcBorders>
            <w:vAlign w:val="bottom"/>
          </w:tcPr>
          <w:p w14:paraId="2DEF17A2"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486A62D0"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top w:val="single" w:sz="4" w:space="0" w:color="auto"/>
              <w:bottom w:val="single" w:sz="6" w:space="0" w:color="auto"/>
            </w:tcBorders>
            <w:vAlign w:val="bottom"/>
          </w:tcPr>
          <w:p w14:paraId="345DB1E9"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r>
      <w:tr w:rsidR="002F4CED" w:rsidRPr="008458AB" w14:paraId="40DBA444" w14:textId="77777777" w:rsidTr="4F4C4721">
        <w:tc>
          <w:tcPr>
            <w:tcW w:w="6574" w:type="dxa"/>
            <w:vAlign w:val="bottom"/>
          </w:tcPr>
          <w:p w14:paraId="651032B1" w14:textId="77777777" w:rsidR="002F4CED" w:rsidRPr="008458AB" w:rsidRDefault="002F4CED" w:rsidP="002F4CED">
            <w:pPr>
              <w:pStyle w:val="levelb"/>
              <w:keepLines/>
              <w:widowControl w:val="0"/>
              <w:tabs>
                <w:tab w:val="clear" w:pos="576"/>
                <w:tab w:val="clear" w:pos="1152"/>
              </w:tabs>
              <w:spacing w:before="120" w:after="120" w:line="240" w:lineRule="atLeast"/>
              <w:ind w:left="519" w:hanging="274"/>
              <w:rPr>
                <w:rFonts w:cstheme="majorHAnsi"/>
                <w:sz w:val="20"/>
                <w:szCs w:val="20"/>
              </w:rPr>
            </w:pPr>
            <w:r w:rsidRPr="008458AB">
              <w:rPr>
                <w:rFonts w:cstheme="majorHAnsi"/>
                <w:sz w:val="20"/>
                <w:szCs w:val="20"/>
              </w:rPr>
              <w:t>f.</w:t>
            </w:r>
            <w:r w:rsidRPr="008458AB">
              <w:rPr>
                <w:rFonts w:cstheme="majorHAnsi"/>
                <w:sz w:val="20"/>
                <w:szCs w:val="20"/>
              </w:rPr>
              <w:tab/>
              <w:t>If greater than 50 percent, registrants must disclose the percentage of hours expended on the principal accountant’s engagement to audit the registrant's financial statements for the most recent fiscal year that were attributed to work performed by persons other than the principal accountant’s full-time, permanent employees.</w:t>
            </w:r>
          </w:p>
        </w:tc>
        <w:tc>
          <w:tcPr>
            <w:tcW w:w="1247" w:type="dxa"/>
            <w:gridSpan w:val="2"/>
            <w:tcBorders>
              <w:top w:val="single" w:sz="6" w:space="0" w:color="auto"/>
              <w:bottom w:val="single" w:sz="4" w:space="0" w:color="auto"/>
            </w:tcBorders>
            <w:vAlign w:val="bottom"/>
          </w:tcPr>
          <w:p w14:paraId="3975AEEE"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c>
          <w:tcPr>
            <w:tcW w:w="236" w:type="dxa"/>
            <w:vAlign w:val="bottom"/>
          </w:tcPr>
          <w:p w14:paraId="72C4B940"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c>
          <w:tcPr>
            <w:tcW w:w="1303" w:type="dxa"/>
            <w:gridSpan w:val="2"/>
            <w:tcBorders>
              <w:top w:val="single" w:sz="6" w:space="0" w:color="auto"/>
              <w:bottom w:val="single" w:sz="4" w:space="0" w:color="auto"/>
            </w:tcBorders>
            <w:vAlign w:val="bottom"/>
          </w:tcPr>
          <w:p w14:paraId="0003AF76" w14:textId="77777777" w:rsidR="002F4CED" w:rsidRPr="008458AB" w:rsidRDefault="002F4CED" w:rsidP="002F4CED">
            <w:pPr>
              <w:pStyle w:val="levela"/>
              <w:widowControl w:val="0"/>
              <w:spacing w:before="120" w:after="120" w:line="240" w:lineRule="atLeast"/>
              <w:ind w:left="0" w:firstLine="0"/>
              <w:rPr>
                <w:rFonts w:cstheme="majorHAnsi"/>
                <w:bCs/>
                <w:sz w:val="20"/>
                <w:szCs w:val="20"/>
                <w:highlight w:val="yellow"/>
              </w:rPr>
            </w:pPr>
          </w:p>
        </w:tc>
      </w:tr>
      <w:tr w:rsidR="002F4CED" w:rsidRPr="008458AB" w14:paraId="1B37A22D" w14:textId="77777777" w:rsidTr="4F4C4721">
        <w:tc>
          <w:tcPr>
            <w:tcW w:w="6574" w:type="dxa"/>
            <w:shd w:val="clear" w:color="auto" w:fill="C7C8CA" w:themeFill="accent6" w:themeFillTint="66"/>
            <w:vAlign w:val="bottom"/>
          </w:tcPr>
          <w:p w14:paraId="4539A938" w14:textId="77777777" w:rsidR="002F4CED" w:rsidRPr="00FB609F" w:rsidRDefault="002F4CED" w:rsidP="002F4CED">
            <w:pPr>
              <w:pStyle w:val="Heading1"/>
              <w:keepNext w:val="0"/>
              <w:keepLines w:val="0"/>
              <w:widowControl w:val="0"/>
              <w:spacing w:before="120" w:after="120" w:line="240" w:lineRule="atLeast"/>
              <w:rPr>
                <w:rFonts w:cstheme="majorHAnsi"/>
                <w:b/>
                <w:bCs w:val="0"/>
                <w:sz w:val="20"/>
                <w:szCs w:val="20"/>
              </w:rPr>
            </w:pPr>
            <w:bookmarkStart w:id="11" w:name="_PART_IV_OF_FORM_10-K"/>
            <w:bookmarkEnd w:id="11"/>
            <w:r w:rsidRPr="00FB609F">
              <w:rPr>
                <w:rFonts w:cstheme="majorHAnsi"/>
                <w:b/>
                <w:bCs w:val="0"/>
                <w:sz w:val="20"/>
                <w:szCs w:val="20"/>
              </w:rPr>
              <w:t>P</w:t>
            </w:r>
            <w:bookmarkStart w:id="12" w:name="Part_4"/>
            <w:bookmarkEnd w:id="12"/>
            <w:r w:rsidRPr="00FB609F">
              <w:rPr>
                <w:rFonts w:cstheme="majorHAnsi"/>
                <w:b/>
                <w:bCs w:val="0"/>
                <w:sz w:val="20"/>
                <w:szCs w:val="20"/>
              </w:rPr>
              <w:t>ART IV OF FORM 10-K</w:t>
            </w:r>
          </w:p>
        </w:tc>
        <w:tc>
          <w:tcPr>
            <w:tcW w:w="1247" w:type="dxa"/>
            <w:gridSpan w:val="2"/>
            <w:tcBorders>
              <w:top w:val="single" w:sz="4" w:space="0" w:color="auto"/>
            </w:tcBorders>
            <w:shd w:val="clear" w:color="auto" w:fill="C7C8CA" w:themeFill="accent6" w:themeFillTint="66"/>
            <w:vAlign w:val="bottom"/>
          </w:tcPr>
          <w:p w14:paraId="501DA9B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shd w:val="clear" w:color="auto" w:fill="C7C8CA" w:themeFill="accent6" w:themeFillTint="66"/>
            <w:vAlign w:val="bottom"/>
          </w:tcPr>
          <w:p w14:paraId="1D04287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shd w:val="clear" w:color="auto" w:fill="C7C8CA" w:themeFill="accent6" w:themeFillTint="66"/>
            <w:vAlign w:val="bottom"/>
          </w:tcPr>
          <w:p w14:paraId="43925C4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A0C15A6" w14:textId="77777777" w:rsidTr="4F4C4721">
        <w:tc>
          <w:tcPr>
            <w:tcW w:w="6574" w:type="dxa"/>
            <w:vAlign w:val="bottom"/>
          </w:tcPr>
          <w:p w14:paraId="40554861" w14:textId="77777777" w:rsidR="002F4CED" w:rsidRPr="008458AB" w:rsidRDefault="002F4CED" w:rsidP="002F4CED">
            <w:pPr>
              <w:pStyle w:val="standard"/>
              <w:widowControl w:val="0"/>
              <w:spacing w:before="120" w:after="120" w:line="240" w:lineRule="atLeast"/>
              <w:rPr>
                <w:rFonts w:cstheme="majorHAnsi"/>
                <w:b/>
                <w:sz w:val="20"/>
                <w:szCs w:val="20"/>
              </w:rPr>
            </w:pPr>
            <w:r w:rsidRPr="008458AB">
              <w:rPr>
                <w:rFonts w:cstheme="majorHAnsi"/>
                <w:b/>
                <w:sz w:val="20"/>
                <w:szCs w:val="20"/>
              </w:rPr>
              <w:t>Item 15 — Exhibits, Financial Statement Schedules</w:t>
            </w:r>
          </w:p>
        </w:tc>
        <w:tc>
          <w:tcPr>
            <w:tcW w:w="1247" w:type="dxa"/>
            <w:gridSpan w:val="2"/>
            <w:vAlign w:val="bottom"/>
          </w:tcPr>
          <w:p w14:paraId="22C6754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28DD59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0647256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6982540" w14:textId="77777777" w:rsidTr="4F4C4721">
        <w:tc>
          <w:tcPr>
            <w:tcW w:w="6574" w:type="dxa"/>
            <w:vAlign w:val="bottom"/>
          </w:tcPr>
          <w:p w14:paraId="2CA758BF" w14:textId="6FADD340" w:rsidR="002F4CED" w:rsidRPr="008458AB" w:rsidRDefault="002F4CED" w:rsidP="002F4CED">
            <w:pPr>
              <w:pStyle w:val="levela"/>
              <w:widowControl w:val="0"/>
              <w:numPr>
                <w:ilvl w:val="0"/>
                <w:numId w:val="34"/>
              </w:numPr>
              <w:tabs>
                <w:tab w:val="clear" w:pos="576"/>
              </w:tabs>
              <w:spacing w:before="120" w:after="120" w:line="240" w:lineRule="atLeast"/>
              <w:ind w:left="250" w:hanging="250"/>
              <w:rPr>
                <w:rFonts w:cstheme="majorHAnsi"/>
                <w:sz w:val="20"/>
                <w:szCs w:val="20"/>
              </w:rPr>
            </w:pPr>
            <w:r w:rsidRPr="008458AB">
              <w:rPr>
                <w:rFonts w:cstheme="majorHAnsi"/>
                <w:sz w:val="20"/>
                <w:szCs w:val="20"/>
              </w:rPr>
              <w:t xml:space="preserve">List the following documents filed as a part of the Form 10-K:  </w:t>
            </w:r>
          </w:p>
        </w:tc>
        <w:tc>
          <w:tcPr>
            <w:tcW w:w="1247" w:type="dxa"/>
            <w:gridSpan w:val="2"/>
            <w:vAlign w:val="bottom"/>
          </w:tcPr>
          <w:p w14:paraId="2B04704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453316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669BE4D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BC4448B" w14:textId="77777777" w:rsidTr="4F4C4721">
        <w:tc>
          <w:tcPr>
            <w:tcW w:w="6574" w:type="dxa"/>
            <w:vAlign w:val="bottom"/>
          </w:tcPr>
          <w:p w14:paraId="75D9F9EA" w14:textId="4BF246DF"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All financial statements.</w:t>
            </w:r>
          </w:p>
        </w:tc>
        <w:tc>
          <w:tcPr>
            <w:tcW w:w="1247" w:type="dxa"/>
            <w:gridSpan w:val="2"/>
            <w:tcBorders>
              <w:bottom w:val="single" w:sz="6" w:space="0" w:color="auto"/>
            </w:tcBorders>
            <w:vAlign w:val="bottom"/>
          </w:tcPr>
          <w:p w14:paraId="465574E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5772952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61D13E8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5781FEF" w14:textId="77777777" w:rsidTr="4F4C4721">
        <w:tc>
          <w:tcPr>
            <w:tcW w:w="6574" w:type="dxa"/>
            <w:vAlign w:val="bottom"/>
          </w:tcPr>
          <w:p w14:paraId="63867D9B" w14:textId="4D9EA62F"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t>Financial statement schedules required to be filed by Item 8 of the Form 10-K.</w:t>
            </w:r>
          </w:p>
        </w:tc>
        <w:tc>
          <w:tcPr>
            <w:tcW w:w="1247" w:type="dxa"/>
            <w:gridSpan w:val="2"/>
            <w:tcBorders>
              <w:bottom w:val="single" w:sz="6" w:space="0" w:color="auto"/>
            </w:tcBorders>
            <w:vAlign w:val="bottom"/>
          </w:tcPr>
          <w:p w14:paraId="398D9FE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93CB07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784ACAF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E645479" w14:textId="77777777" w:rsidTr="4F4C4721">
        <w:tc>
          <w:tcPr>
            <w:tcW w:w="6574" w:type="dxa"/>
            <w:vAlign w:val="bottom"/>
          </w:tcPr>
          <w:p w14:paraId="7C6DFDC5" w14:textId="038B5553"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c.</w:t>
            </w:r>
            <w:r w:rsidRPr="008458AB">
              <w:rPr>
                <w:rFonts w:cstheme="majorHAnsi"/>
                <w:sz w:val="20"/>
                <w:szCs w:val="20"/>
              </w:rPr>
              <w:tab/>
              <w:t>Exhibits required by Item 601 of Regulation S-K. Identify in the list each management contract or compensatory plan or arrangement required to be filed as an exhibit to the Form 10-K.</w:t>
            </w:r>
          </w:p>
        </w:tc>
        <w:tc>
          <w:tcPr>
            <w:tcW w:w="1247" w:type="dxa"/>
            <w:gridSpan w:val="2"/>
            <w:vAlign w:val="bottom"/>
          </w:tcPr>
          <w:p w14:paraId="22AD68A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719397E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4637EB6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34C02AF" w14:textId="77777777" w:rsidTr="4F4C4721">
        <w:tc>
          <w:tcPr>
            <w:tcW w:w="6574" w:type="dxa"/>
            <w:vAlign w:val="bottom"/>
          </w:tcPr>
          <w:p w14:paraId="7A09966C" w14:textId="43BB0696" w:rsidR="002F4CED" w:rsidRPr="008458AB" w:rsidRDefault="002F4CED" w:rsidP="002F4CED">
            <w:pPr>
              <w:pStyle w:val="levela"/>
              <w:widowControl w:val="0"/>
              <w:numPr>
                <w:ilvl w:val="0"/>
                <w:numId w:val="34"/>
              </w:numPr>
              <w:tabs>
                <w:tab w:val="clear" w:pos="576"/>
              </w:tabs>
              <w:spacing w:before="120" w:after="120" w:line="240" w:lineRule="atLeast"/>
              <w:ind w:left="250" w:hanging="250"/>
              <w:rPr>
                <w:rFonts w:cstheme="majorHAnsi"/>
                <w:sz w:val="20"/>
                <w:szCs w:val="20"/>
              </w:rPr>
            </w:pPr>
            <w:r w:rsidRPr="008458AB">
              <w:rPr>
                <w:rFonts w:cstheme="majorHAnsi"/>
                <w:sz w:val="20"/>
                <w:szCs w:val="20"/>
              </w:rPr>
              <w:t>Provide the exhibits required by Regulation S-K,</w:t>
            </w:r>
            <w:r>
              <w:rPr>
                <w:rFonts w:cstheme="majorHAnsi"/>
                <w:sz w:val="20"/>
                <w:szCs w:val="20"/>
              </w:rPr>
              <w:t xml:space="preserve"> </w:t>
            </w:r>
            <w:r w:rsidRPr="008458AB">
              <w:rPr>
                <w:rFonts w:cstheme="majorHAnsi"/>
                <w:sz w:val="20"/>
                <w:szCs w:val="20"/>
              </w:rPr>
              <w:t>Item 601.</w:t>
            </w:r>
          </w:p>
        </w:tc>
        <w:tc>
          <w:tcPr>
            <w:tcW w:w="1247" w:type="dxa"/>
            <w:gridSpan w:val="2"/>
            <w:tcBorders>
              <w:top w:val="single" w:sz="6" w:space="0" w:color="auto"/>
            </w:tcBorders>
            <w:vAlign w:val="bottom"/>
          </w:tcPr>
          <w:p w14:paraId="5CDC9FB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6E86B0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6D5EB7D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EF42E14" w14:textId="77777777" w:rsidTr="4F4C4721">
        <w:tc>
          <w:tcPr>
            <w:tcW w:w="6574" w:type="dxa"/>
            <w:vAlign w:val="bottom"/>
          </w:tcPr>
          <w:p w14:paraId="760FD1AE" w14:textId="1245B29E"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 xml:space="preserve">Refer to </w:t>
            </w:r>
            <w:r w:rsidRPr="008458AB">
              <w:rPr>
                <w:rFonts w:cstheme="majorHAnsi"/>
                <w:i/>
                <w:sz w:val="20"/>
                <w:szCs w:val="20"/>
              </w:rPr>
              <w:t>SEC Compliance Checklist — General</w:t>
            </w:r>
            <w:r w:rsidRPr="008458AB">
              <w:rPr>
                <w:rFonts w:cstheme="majorHAnsi"/>
                <w:sz w:val="20"/>
                <w:szCs w:val="20"/>
              </w:rPr>
              <w:t>, Part II, Item 601 for detailed guidance relating to the following exhibits:</w:t>
            </w:r>
          </w:p>
        </w:tc>
        <w:tc>
          <w:tcPr>
            <w:tcW w:w="1247" w:type="dxa"/>
            <w:gridSpan w:val="2"/>
            <w:vAlign w:val="bottom"/>
          </w:tcPr>
          <w:p w14:paraId="57EC05C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4A7AAF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7F55CA1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B25A964" w14:textId="77777777" w:rsidTr="4F4C4721">
        <w:tc>
          <w:tcPr>
            <w:tcW w:w="6574" w:type="dxa"/>
            <w:vAlign w:val="bottom"/>
          </w:tcPr>
          <w:p w14:paraId="2898B7A5" w14:textId="176C375E"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2 — Plan of acquisition, reorganization, liquidation, or succession.</w:t>
            </w:r>
          </w:p>
        </w:tc>
        <w:tc>
          <w:tcPr>
            <w:tcW w:w="1247" w:type="dxa"/>
            <w:gridSpan w:val="2"/>
            <w:tcBorders>
              <w:bottom w:val="single" w:sz="6" w:space="0" w:color="auto"/>
            </w:tcBorders>
            <w:vAlign w:val="bottom"/>
          </w:tcPr>
          <w:p w14:paraId="05C9EA8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E369EE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007B9CD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C64D516" w14:textId="77777777" w:rsidTr="4F4C4721">
        <w:tc>
          <w:tcPr>
            <w:tcW w:w="6574" w:type="dxa"/>
            <w:vAlign w:val="bottom"/>
          </w:tcPr>
          <w:p w14:paraId="0EE010F3" w14:textId="77777777"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3 — (i) Articles of incorporation and (ii) bylaws.</w:t>
            </w:r>
          </w:p>
        </w:tc>
        <w:tc>
          <w:tcPr>
            <w:tcW w:w="1247" w:type="dxa"/>
            <w:gridSpan w:val="2"/>
            <w:tcBorders>
              <w:bottom w:val="single" w:sz="6" w:space="0" w:color="auto"/>
            </w:tcBorders>
            <w:vAlign w:val="bottom"/>
          </w:tcPr>
          <w:p w14:paraId="44F6EB2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FA8AB3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14BE712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6971063" w14:textId="77777777" w:rsidTr="4F4C4721">
        <w:tc>
          <w:tcPr>
            <w:tcW w:w="6574" w:type="dxa"/>
            <w:vAlign w:val="bottom"/>
          </w:tcPr>
          <w:p w14:paraId="234FA04F" w14:textId="77777777"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4 — Instruments defining the rights of security holders including indentures.</w:t>
            </w:r>
          </w:p>
        </w:tc>
        <w:tc>
          <w:tcPr>
            <w:tcW w:w="1247" w:type="dxa"/>
            <w:gridSpan w:val="2"/>
            <w:tcBorders>
              <w:bottom w:val="single" w:sz="6" w:space="0" w:color="auto"/>
            </w:tcBorders>
            <w:vAlign w:val="bottom"/>
          </w:tcPr>
          <w:p w14:paraId="40C5BF1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7D404DE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26FACAB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7C46D86" w14:textId="77777777" w:rsidTr="4F4C4721">
        <w:tc>
          <w:tcPr>
            <w:tcW w:w="6574" w:type="dxa"/>
            <w:vAlign w:val="bottom"/>
          </w:tcPr>
          <w:p w14:paraId="7C5C77B5" w14:textId="77777777"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9 — Voting trust agreement.</w:t>
            </w:r>
          </w:p>
        </w:tc>
        <w:tc>
          <w:tcPr>
            <w:tcW w:w="1247" w:type="dxa"/>
            <w:gridSpan w:val="2"/>
            <w:tcBorders>
              <w:bottom w:val="single" w:sz="6" w:space="0" w:color="auto"/>
            </w:tcBorders>
            <w:vAlign w:val="bottom"/>
          </w:tcPr>
          <w:p w14:paraId="0269617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FCD4F9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2272947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D9F6035" w14:textId="77777777" w:rsidTr="4F4C4721">
        <w:tc>
          <w:tcPr>
            <w:tcW w:w="6574" w:type="dxa"/>
            <w:vAlign w:val="bottom"/>
          </w:tcPr>
          <w:p w14:paraId="65AA7DDA" w14:textId="77777777"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10 — Material contracts.</w:t>
            </w:r>
          </w:p>
        </w:tc>
        <w:tc>
          <w:tcPr>
            <w:tcW w:w="1247" w:type="dxa"/>
            <w:gridSpan w:val="2"/>
            <w:tcBorders>
              <w:bottom w:val="single" w:sz="6" w:space="0" w:color="auto"/>
            </w:tcBorders>
            <w:vAlign w:val="bottom"/>
          </w:tcPr>
          <w:p w14:paraId="58AAFBA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285C96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518C5F0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3CFC271" w14:textId="77777777" w:rsidTr="4F4C4721">
        <w:tc>
          <w:tcPr>
            <w:tcW w:w="6574" w:type="dxa"/>
            <w:vAlign w:val="bottom"/>
          </w:tcPr>
          <w:p w14:paraId="4DFA0C4A" w14:textId="02422BD6"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13 — Annual or quarterly reports to security holders.</w:t>
            </w:r>
          </w:p>
        </w:tc>
        <w:tc>
          <w:tcPr>
            <w:tcW w:w="1247" w:type="dxa"/>
            <w:gridSpan w:val="2"/>
            <w:tcBorders>
              <w:bottom w:val="single" w:sz="6" w:space="0" w:color="auto"/>
            </w:tcBorders>
            <w:vAlign w:val="bottom"/>
          </w:tcPr>
          <w:p w14:paraId="0CB6505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93420A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6FD639E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4B50E03" w14:textId="77777777" w:rsidTr="4F4C4721">
        <w:tc>
          <w:tcPr>
            <w:tcW w:w="6574" w:type="dxa"/>
            <w:vAlign w:val="bottom"/>
          </w:tcPr>
          <w:p w14:paraId="346363C9" w14:textId="3F9870E2"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lastRenderedPageBreak/>
              <w:t>Exhibit 14 — Code of Ethics.</w:t>
            </w:r>
          </w:p>
        </w:tc>
        <w:tc>
          <w:tcPr>
            <w:tcW w:w="1247" w:type="dxa"/>
            <w:gridSpan w:val="2"/>
            <w:tcBorders>
              <w:bottom w:val="single" w:sz="6" w:space="0" w:color="auto"/>
            </w:tcBorders>
            <w:vAlign w:val="bottom"/>
          </w:tcPr>
          <w:p w14:paraId="63F7DDB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701FBE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6229331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7AB16D4" w14:textId="77777777" w:rsidTr="4F4C4721">
        <w:tc>
          <w:tcPr>
            <w:tcW w:w="6574" w:type="dxa"/>
            <w:vAlign w:val="bottom"/>
          </w:tcPr>
          <w:p w14:paraId="70E75451" w14:textId="0D6E5B43"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16 — Letter regarding change in</w:t>
            </w:r>
            <w:r>
              <w:rPr>
                <w:rFonts w:cstheme="majorHAnsi"/>
                <w:sz w:val="20"/>
                <w:szCs w:val="20"/>
              </w:rPr>
              <w:t xml:space="preserve"> </w:t>
            </w:r>
            <w:r w:rsidRPr="008458AB">
              <w:rPr>
                <w:rFonts w:cstheme="majorHAnsi"/>
                <w:sz w:val="20"/>
                <w:szCs w:val="20"/>
              </w:rPr>
              <w:t>certifying accountants.</w:t>
            </w:r>
          </w:p>
        </w:tc>
        <w:tc>
          <w:tcPr>
            <w:tcW w:w="1247" w:type="dxa"/>
            <w:gridSpan w:val="2"/>
            <w:tcBorders>
              <w:bottom w:val="single" w:sz="6" w:space="0" w:color="auto"/>
            </w:tcBorders>
            <w:vAlign w:val="bottom"/>
          </w:tcPr>
          <w:p w14:paraId="759A8F5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57A472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7F07E2A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293AE5E" w14:textId="77777777" w:rsidTr="4F4C4721">
        <w:tc>
          <w:tcPr>
            <w:tcW w:w="6574" w:type="dxa"/>
            <w:vAlign w:val="bottom"/>
          </w:tcPr>
          <w:p w14:paraId="09979AC3" w14:textId="5DAFD235"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18 — Letter regarding change in accounting principles.</w:t>
            </w:r>
          </w:p>
        </w:tc>
        <w:tc>
          <w:tcPr>
            <w:tcW w:w="1247" w:type="dxa"/>
            <w:gridSpan w:val="2"/>
            <w:tcBorders>
              <w:bottom w:val="single" w:sz="6" w:space="0" w:color="auto"/>
            </w:tcBorders>
            <w:vAlign w:val="bottom"/>
          </w:tcPr>
          <w:p w14:paraId="1818D2D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B5DCEE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28D69E3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3452B1E" w14:textId="77777777" w:rsidTr="4F4C4721">
        <w:tc>
          <w:tcPr>
            <w:tcW w:w="6574" w:type="dxa"/>
            <w:vAlign w:val="bottom"/>
          </w:tcPr>
          <w:p w14:paraId="5695454E" w14:textId="3D203649"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21 — Subsidiaries of the registrant.</w:t>
            </w:r>
          </w:p>
        </w:tc>
        <w:tc>
          <w:tcPr>
            <w:tcW w:w="1247" w:type="dxa"/>
            <w:gridSpan w:val="2"/>
            <w:tcBorders>
              <w:top w:val="single" w:sz="6" w:space="0" w:color="auto"/>
              <w:bottom w:val="single" w:sz="4" w:space="0" w:color="auto"/>
            </w:tcBorders>
            <w:vAlign w:val="bottom"/>
          </w:tcPr>
          <w:p w14:paraId="3790B68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5B70FD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1AE6964D"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24B691E" w14:textId="77777777" w:rsidTr="4F4C4721">
        <w:tc>
          <w:tcPr>
            <w:tcW w:w="6574" w:type="dxa"/>
            <w:vAlign w:val="bottom"/>
          </w:tcPr>
          <w:p w14:paraId="7464F8A8" w14:textId="17CF721A"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23 — Consents of experts and counsel.</w:t>
            </w:r>
          </w:p>
        </w:tc>
        <w:tc>
          <w:tcPr>
            <w:tcW w:w="1247" w:type="dxa"/>
            <w:gridSpan w:val="2"/>
            <w:tcBorders>
              <w:top w:val="single" w:sz="4" w:space="0" w:color="auto"/>
              <w:bottom w:val="single" w:sz="6" w:space="0" w:color="auto"/>
            </w:tcBorders>
            <w:vAlign w:val="bottom"/>
          </w:tcPr>
          <w:p w14:paraId="60A42B8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526ECD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1158547D"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5D5CD3B" w14:textId="77777777" w:rsidTr="4F4C4721">
        <w:tc>
          <w:tcPr>
            <w:tcW w:w="6574" w:type="dxa"/>
            <w:vAlign w:val="bottom"/>
          </w:tcPr>
          <w:p w14:paraId="420C78A4" w14:textId="0C591249"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 xml:space="preserve">Exhibit 24 </w:t>
            </w:r>
            <w:r w:rsidRPr="008458AB">
              <w:rPr>
                <w:rFonts w:cstheme="majorHAnsi"/>
                <w:b/>
                <w:sz w:val="20"/>
                <w:szCs w:val="20"/>
              </w:rPr>
              <w:t>—</w:t>
            </w:r>
            <w:r w:rsidRPr="008458AB">
              <w:rPr>
                <w:rFonts w:cstheme="majorHAnsi"/>
                <w:sz w:val="20"/>
                <w:szCs w:val="20"/>
              </w:rPr>
              <w:t xml:space="preserve"> Power of attorney.</w:t>
            </w:r>
          </w:p>
        </w:tc>
        <w:tc>
          <w:tcPr>
            <w:tcW w:w="1247" w:type="dxa"/>
            <w:gridSpan w:val="2"/>
            <w:tcBorders>
              <w:top w:val="single" w:sz="4" w:space="0" w:color="auto"/>
              <w:bottom w:val="single" w:sz="6" w:space="0" w:color="auto"/>
            </w:tcBorders>
            <w:vAlign w:val="bottom"/>
          </w:tcPr>
          <w:p w14:paraId="737D162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0C6AEB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6" w:space="0" w:color="auto"/>
            </w:tcBorders>
            <w:vAlign w:val="bottom"/>
          </w:tcPr>
          <w:p w14:paraId="01290A9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3FAF3558" w14:textId="77777777" w:rsidTr="4F4C4721">
        <w:tc>
          <w:tcPr>
            <w:tcW w:w="6574" w:type="dxa"/>
            <w:vAlign w:val="bottom"/>
          </w:tcPr>
          <w:p w14:paraId="062F30E8" w14:textId="501F2EE5"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31 — Rule 13a-14(a)/15d-14(a) Certifications (302 Certifications).</w:t>
            </w:r>
          </w:p>
        </w:tc>
        <w:tc>
          <w:tcPr>
            <w:tcW w:w="1247" w:type="dxa"/>
            <w:gridSpan w:val="2"/>
            <w:tcBorders>
              <w:top w:val="single" w:sz="6" w:space="0" w:color="auto"/>
              <w:bottom w:val="single" w:sz="4" w:space="0" w:color="auto"/>
            </w:tcBorders>
            <w:vAlign w:val="bottom"/>
          </w:tcPr>
          <w:p w14:paraId="5B73F59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AA2973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4" w:space="0" w:color="auto"/>
            </w:tcBorders>
            <w:vAlign w:val="bottom"/>
          </w:tcPr>
          <w:p w14:paraId="1A9043F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175D18C" w14:textId="77777777" w:rsidTr="4F4C4721">
        <w:tc>
          <w:tcPr>
            <w:tcW w:w="6574" w:type="dxa"/>
            <w:vAlign w:val="bottom"/>
          </w:tcPr>
          <w:p w14:paraId="3F9E554C" w14:textId="5756DFC1"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32 — The certifications required by Rule 13a-14(b) and Section 1350 of Chapter 63 of Title 18 of the United States Code (906 Certifications).</w:t>
            </w:r>
          </w:p>
        </w:tc>
        <w:tc>
          <w:tcPr>
            <w:tcW w:w="1247" w:type="dxa"/>
            <w:gridSpan w:val="2"/>
            <w:tcBorders>
              <w:top w:val="single" w:sz="4" w:space="0" w:color="auto"/>
              <w:bottom w:val="single" w:sz="4" w:space="0" w:color="auto"/>
            </w:tcBorders>
            <w:vAlign w:val="bottom"/>
          </w:tcPr>
          <w:p w14:paraId="383B26C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504B051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690F460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D962FE1" w14:textId="77777777" w:rsidTr="4F4C4721">
        <w:tc>
          <w:tcPr>
            <w:tcW w:w="6574" w:type="dxa"/>
            <w:vAlign w:val="bottom"/>
          </w:tcPr>
          <w:p w14:paraId="1FF49C16" w14:textId="3AD2E3C7"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33 — Report on assessment of compliance with servicing criteria for asset-backed issuers.</w:t>
            </w:r>
          </w:p>
        </w:tc>
        <w:tc>
          <w:tcPr>
            <w:tcW w:w="1247" w:type="dxa"/>
            <w:gridSpan w:val="2"/>
            <w:tcBorders>
              <w:top w:val="single" w:sz="4" w:space="0" w:color="auto"/>
              <w:bottom w:val="single" w:sz="4" w:space="0" w:color="auto"/>
            </w:tcBorders>
            <w:vAlign w:val="bottom"/>
          </w:tcPr>
          <w:p w14:paraId="0614C2A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57B2FC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41E5D27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96B0E40" w14:textId="77777777" w:rsidTr="4F4C4721">
        <w:tc>
          <w:tcPr>
            <w:tcW w:w="6574" w:type="dxa"/>
            <w:vAlign w:val="bottom"/>
          </w:tcPr>
          <w:p w14:paraId="55B78362" w14:textId="47791C04"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34 — Attestation report on assessment of compliance with servicing criteria for asset-backed securities.</w:t>
            </w:r>
          </w:p>
        </w:tc>
        <w:tc>
          <w:tcPr>
            <w:tcW w:w="1247" w:type="dxa"/>
            <w:gridSpan w:val="2"/>
            <w:tcBorders>
              <w:top w:val="single" w:sz="4" w:space="0" w:color="auto"/>
              <w:bottom w:val="single" w:sz="4" w:space="0" w:color="auto"/>
            </w:tcBorders>
            <w:vAlign w:val="bottom"/>
          </w:tcPr>
          <w:p w14:paraId="7C382CB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1218CB8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5C4448D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E2AACC9" w14:textId="77777777" w:rsidTr="4F4C4721">
        <w:tc>
          <w:tcPr>
            <w:tcW w:w="6574" w:type="dxa"/>
            <w:vAlign w:val="bottom"/>
          </w:tcPr>
          <w:p w14:paraId="3B0E76AE" w14:textId="0C348D50"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35 — Servicer compliance statement.</w:t>
            </w:r>
          </w:p>
        </w:tc>
        <w:tc>
          <w:tcPr>
            <w:tcW w:w="1247" w:type="dxa"/>
            <w:gridSpan w:val="2"/>
            <w:tcBorders>
              <w:top w:val="single" w:sz="4" w:space="0" w:color="auto"/>
              <w:bottom w:val="single" w:sz="4" w:space="0" w:color="auto"/>
            </w:tcBorders>
            <w:vAlign w:val="bottom"/>
          </w:tcPr>
          <w:p w14:paraId="34EBCB5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54E502E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70AC3AA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B2A4D22" w14:textId="77777777" w:rsidTr="4F4C4721">
        <w:tc>
          <w:tcPr>
            <w:tcW w:w="6574" w:type="dxa"/>
            <w:vAlign w:val="bottom"/>
          </w:tcPr>
          <w:p w14:paraId="763387AA" w14:textId="571DF0F4"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95 — Mine safety disclosure exhibit (Item 104).</w:t>
            </w:r>
          </w:p>
        </w:tc>
        <w:tc>
          <w:tcPr>
            <w:tcW w:w="1247" w:type="dxa"/>
            <w:gridSpan w:val="2"/>
            <w:tcBorders>
              <w:top w:val="single" w:sz="4" w:space="0" w:color="auto"/>
              <w:bottom w:val="single" w:sz="4" w:space="0" w:color="auto"/>
            </w:tcBorders>
            <w:vAlign w:val="bottom"/>
          </w:tcPr>
          <w:p w14:paraId="31E86D4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CB54BF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1230BA7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1B47C6B" w14:textId="77777777" w:rsidTr="4F4C4721">
        <w:tc>
          <w:tcPr>
            <w:tcW w:w="6574" w:type="dxa"/>
            <w:vAlign w:val="bottom"/>
          </w:tcPr>
          <w:p w14:paraId="50DDF5AE" w14:textId="32B1B801"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Exhibit 99 — Additional Exhibits.</w:t>
            </w:r>
          </w:p>
          <w:p w14:paraId="6E26F670" w14:textId="66ECBF66"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Note: “Additional exhibits” includes:</w:t>
            </w:r>
          </w:p>
          <w:p w14:paraId="67C92BE8" w14:textId="77777777" w:rsidR="002F4CED" w:rsidRPr="008458AB" w:rsidRDefault="002F4CED" w:rsidP="002F4CED">
            <w:pPr>
              <w:pStyle w:val="levelb"/>
              <w:widowControl w:val="0"/>
              <w:numPr>
                <w:ilvl w:val="0"/>
                <w:numId w:val="2"/>
              </w:numPr>
              <w:tabs>
                <w:tab w:val="clear" w:pos="1152"/>
                <w:tab w:val="clear" w:pos="1728"/>
                <w:tab w:val="clear" w:pos="2304"/>
                <w:tab w:val="left" w:pos="1080"/>
                <w:tab w:val="left" w:pos="1350"/>
              </w:tabs>
              <w:spacing w:before="120" w:after="120" w:line="240" w:lineRule="atLeast"/>
              <w:ind w:left="1339" w:hanging="187"/>
              <w:rPr>
                <w:rFonts w:cstheme="majorHAnsi"/>
                <w:sz w:val="20"/>
                <w:szCs w:val="20"/>
              </w:rPr>
            </w:pPr>
            <w:r w:rsidRPr="008458AB">
              <w:rPr>
                <w:rFonts w:cstheme="majorHAnsi"/>
                <w:sz w:val="20"/>
                <w:szCs w:val="20"/>
              </w:rPr>
              <w:t xml:space="preserve">Any additional exhibits that the registrant may wish to file shall be so marked as to indicate clearly the subject matters to which they refer. </w:t>
            </w:r>
          </w:p>
          <w:p w14:paraId="2BA661FD" w14:textId="77777777" w:rsidR="002F4CED" w:rsidRPr="008458AB" w:rsidRDefault="002F4CED" w:rsidP="002F4CED">
            <w:pPr>
              <w:pStyle w:val="levelb"/>
              <w:widowControl w:val="0"/>
              <w:numPr>
                <w:ilvl w:val="0"/>
                <w:numId w:val="2"/>
              </w:numPr>
              <w:tabs>
                <w:tab w:val="clear" w:pos="1152"/>
                <w:tab w:val="clear" w:pos="1728"/>
                <w:tab w:val="clear" w:pos="2304"/>
                <w:tab w:val="left" w:pos="1080"/>
                <w:tab w:val="left" w:pos="1350"/>
              </w:tabs>
              <w:spacing w:before="120" w:after="120" w:line="240" w:lineRule="atLeast"/>
              <w:ind w:left="1339" w:hanging="187"/>
              <w:rPr>
                <w:rFonts w:cstheme="majorHAnsi"/>
                <w:sz w:val="20"/>
                <w:szCs w:val="20"/>
              </w:rPr>
            </w:pPr>
            <w:r w:rsidRPr="008458AB">
              <w:rPr>
                <w:rFonts w:cstheme="majorHAnsi"/>
                <w:sz w:val="20"/>
                <w:szCs w:val="20"/>
              </w:rPr>
              <w:t>Any document (except for an exhibit) or part thereof which is incorporated by reference in the filing and is not otherwise required to be filed by this Item or is not a Commission-filed document incorporated by reference in a Securities Act registration statement.</w:t>
            </w:r>
          </w:p>
          <w:p w14:paraId="2909E04F" w14:textId="77777777" w:rsidR="002F4CED" w:rsidRPr="008458AB" w:rsidRDefault="002F4CED" w:rsidP="002F4CED">
            <w:pPr>
              <w:pStyle w:val="levelb"/>
              <w:widowControl w:val="0"/>
              <w:numPr>
                <w:ilvl w:val="0"/>
                <w:numId w:val="2"/>
              </w:numPr>
              <w:tabs>
                <w:tab w:val="clear" w:pos="1152"/>
                <w:tab w:val="clear" w:pos="1728"/>
                <w:tab w:val="clear" w:pos="2304"/>
                <w:tab w:val="left" w:pos="1080"/>
                <w:tab w:val="left" w:pos="1350"/>
              </w:tabs>
              <w:spacing w:before="120" w:after="120" w:line="240" w:lineRule="atLeast"/>
              <w:ind w:left="1339" w:hanging="187"/>
              <w:rPr>
                <w:rFonts w:cstheme="majorHAnsi"/>
                <w:sz w:val="20"/>
                <w:szCs w:val="20"/>
              </w:rPr>
            </w:pPr>
            <w:r w:rsidRPr="008458AB">
              <w:rPr>
                <w:rFonts w:cstheme="majorHAnsi"/>
                <w:sz w:val="20"/>
                <w:szCs w:val="20"/>
              </w:rPr>
              <w:t xml:space="preserve">If pursuant to Section 11(a) of the Securities Act (15 U.S.C. 77k(a)) an issuer makes generally available to its security holders an earnings statement covering a period of at least 12 months beginning after the effective date of the registration statement, and if such earnings statement is made available by "other methods" than those specified in paragraph (a) or (b) of §230.158 of this chapter, it must be filed as an exhibit to </w:t>
            </w:r>
            <w:r w:rsidRPr="008458AB">
              <w:rPr>
                <w:rFonts w:cstheme="majorHAnsi"/>
                <w:sz w:val="20"/>
                <w:szCs w:val="20"/>
              </w:rPr>
              <w:lastRenderedPageBreak/>
              <w:t>the Form 10-Q or the Form 10-K, as appropriate, covering the period in which the earnings statement was released.</w:t>
            </w:r>
          </w:p>
        </w:tc>
        <w:tc>
          <w:tcPr>
            <w:tcW w:w="1247" w:type="dxa"/>
            <w:gridSpan w:val="2"/>
            <w:tcBorders>
              <w:top w:val="single" w:sz="4" w:space="0" w:color="auto"/>
              <w:bottom w:val="single" w:sz="4" w:space="0" w:color="auto"/>
            </w:tcBorders>
            <w:vAlign w:val="bottom"/>
          </w:tcPr>
          <w:p w14:paraId="7AEEEF6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B63C8F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7E21978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71044E7D" w14:textId="77777777" w:rsidTr="001E34D8">
        <w:tc>
          <w:tcPr>
            <w:tcW w:w="6574" w:type="dxa"/>
            <w:vAlign w:val="bottom"/>
          </w:tcPr>
          <w:p w14:paraId="0415D7DC" w14:textId="28EB39DA"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 xml:space="preserve">Exhibit 100 — XBRL-Related Documents.  </w:t>
            </w:r>
          </w:p>
          <w:p w14:paraId="5506D53C" w14:textId="4343FE2D" w:rsidR="002F4CED" w:rsidRPr="008458AB" w:rsidRDefault="00546733" w:rsidP="002F4CED">
            <w:pPr>
              <w:pStyle w:val="levelb"/>
              <w:keepLines/>
              <w:widowControl w:val="0"/>
              <w:tabs>
                <w:tab w:val="clear" w:pos="576"/>
                <w:tab w:val="clear" w:pos="1152"/>
              </w:tabs>
              <w:spacing w:before="120" w:after="120" w:line="240" w:lineRule="atLeast"/>
              <w:ind w:left="518" w:firstLine="0"/>
              <w:rPr>
                <w:rFonts w:cstheme="majorHAnsi"/>
                <w:sz w:val="20"/>
                <w:szCs w:val="20"/>
              </w:rPr>
            </w:pPr>
            <w:r>
              <w:rPr>
                <w:rFonts w:cstheme="majorHAnsi"/>
                <w:sz w:val="20"/>
                <w:szCs w:val="20"/>
              </w:rPr>
              <w:t xml:space="preserve">The SEC rule on </w:t>
            </w:r>
            <w:r w:rsidR="002F4CED" w:rsidRPr="008458AB">
              <w:rPr>
                <w:rFonts w:cstheme="majorHAnsi"/>
                <w:sz w:val="20"/>
                <w:szCs w:val="20"/>
              </w:rPr>
              <w:t>“Interactive Data to Improve Financial Reporting</w:t>
            </w:r>
            <w:r w:rsidR="002655DD">
              <w:rPr>
                <w:rFonts w:cstheme="majorHAnsi"/>
                <w:sz w:val="20"/>
                <w:szCs w:val="20"/>
              </w:rPr>
              <w:t>,</w:t>
            </w:r>
            <w:r w:rsidR="002F4CED" w:rsidRPr="008458AB">
              <w:rPr>
                <w:rFonts w:cstheme="majorHAnsi"/>
                <w:sz w:val="20"/>
                <w:szCs w:val="20"/>
              </w:rPr>
              <w:t>” requir</w:t>
            </w:r>
            <w:r>
              <w:rPr>
                <w:rFonts w:cstheme="majorHAnsi"/>
                <w:sz w:val="20"/>
                <w:szCs w:val="20"/>
              </w:rPr>
              <w:t>es</w:t>
            </w:r>
            <w:r w:rsidR="002F4CED" w:rsidRPr="008458AB">
              <w:rPr>
                <w:rFonts w:cstheme="majorHAnsi"/>
                <w:sz w:val="20"/>
                <w:szCs w:val="20"/>
              </w:rPr>
              <w:t xml:space="preserve"> most registrants to provide financial statements and financial statement schedules in eXtensible Business Reporting Language (XBRL) format. The XBRL-formatted financial statements and financial statement schedules are required to be submitted as an exhibit (the “XBRL exhibit”), to certain periodic filings, registration statements, and transition reports that contain financial reports. XBRL is the tool that registrants will use to make their financial filings interactive and improve the ability of financial statement users to access and analyze financial data. </w:t>
            </w:r>
          </w:p>
        </w:tc>
        <w:tc>
          <w:tcPr>
            <w:tcW w:w="1247" w:type="dxa"/>
            <w:gridSpan w:val="2"/>
            <w:tcBorders>
              <w:top w:val="single" w:sz="4" w:space="0" w:color="auto"/>
              <w:bottom w:val="single" w:sz="4" w:space="0" w:color="auto"/>
            </w:tcBorders>
            <w:vAlign w:val="bottom"/>
          </w:tcPr>
          <w:p w14:paraId="022F461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AA1A39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560DEEFD"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387B891" w14:textId="77777777" w:rsidTr="001E34D8">
        <w:tc>
          <w:tcPr>
            <w:tcW w:w="6574" w:type="dxa"/>
            <w:vAlign w:val="bottom"/>
          </w:tcPr>
          <w:p w14:paraId="4D440686" w14:textId="7081EA5F"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 xml:space="preserve">Exhibit 101 — Interactive Data File </w:t>
            </w:r>
          </w:p>
        </w:tc>
        <w:tc>
          <w:tcPr>
            <w:tcW w:w="1247" w:type="dxa"/>
            <w:gridSpan w:val="2"/>
            <w:tcBorders>
              <w:top w:val="single" w:sz="4" w:space="0" w:color="auto"/>
            </w:tcBorders>
            <w:vAlign w:val="bottom"/>
          </w:tcPr>
          <w:p w14:paraId="45BB18E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5B7F23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6CD3478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5D898A2" w14:textId="77777777" w:rsidTr="001E34D8">
        <w:tc>
          <w:tcPr>
            <w:tcW w:w="6574" w:type="dxa"/>
            <w:vAlign w:val="bottom"/>
          </w:tcPr>
          <w:p w14:paraId="05BE8090" w14:textId="677E7CF8" w:rsidR="002F4CED" w:rsidRPr="008458AB" w:rsidRDefault="00546733" w:rsidP="002F4CED">
            <w:pPr>
              <w:pStyle w:val="levelb"/>
              <w:widowControl w:val="0"/>
              <w:tabs>
                <w:tab w:val="clear" w:pos="576"/>
                <w:tab w:val="clear" w:pos="1152"/>
              </w:tabs>
              <w:spacing w:before="120" w:after="120" w:line="240" w:lineRule="atLeast"/>
              <w:ind w:left="520" w:firstLine="0"/>
              <w:rPr>
                <w:rFonts w:cstheme="majorHAnsi"/>
                <w:sz w:val="20"/>
                <w:szCs w:val="20"/>
              </w:rPr>
            </w:pPr>
            <w:r>
              <w:rPr>
                <w:rFonts w:cstheme="majorHAnsi"/>
                <w:sz w:val="20"/>
                <w:szCs w:val="20"/>
              </w:rPr>
              <w:t>The SEC rule on</w:t>
            </w:r>
            <w:r w:rsidR="002F4CED" w:rsidRPr="008458AB">
              <w:rPr>
                <w:rFonts w:cstheme="majorHAnsi"/>
                <w:sz w:val="20"/>
                <w:szCs w:val="20"/>
              </w:rPr>
              <w:t xml:space="preserve"> “Exhibit Hyperlinks and HTML Format,” requires registrants include, for each exhibit identified in the exhibit index, an active link to the exhibit filed with the Form 10K or, if the exhibit is incorporated by reference, an active hyperlink to the exhibit separately filed on EDGAR (other than an exhibit filed in eXtensible Business Reporting Language or an exhibit that is filed with Form ABS-EE). </w:t>
            </w:r>
          </w:p>
        </w:tc>
        <w:tc>
          <w:tcPr>
            <w:tcW w:w="1247" w:type="dxa"/>
            <w:gridSpan w:val="2"/>
            <w:tcBorders>
              <w:bottom w:val="single" w:sz="4" w:space="0" w:color="auto"/>
            </w:tcBorders>
            <w:vAlign w:val="bottom"/>
          </w:tcPr>
          <w:p w14:paraId="7856CAD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4B13CC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0E74821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FFDE2B8" w14:textId="77777777" w:rsidTr="4F4C4721">
        <w:tc>
          <w:tcPr>
            <w:tcW w:w="6574" w:type="dxa"/>
            <w:vAlign w:val="bottom"/>
          </w:tcPr>
          <w:p w14:paraId="4243D1E5" w14:textId="1BC222D1" w:rsidR="002F4CED" w:rsidRPr="008458AB" w:rsidRDefault="007B68A4">
            <w:pPr>
              <w:pStyle w:val="levelb"/>
              <w:widowControl w:val="0"/>
              <w:tabs>
                <w:tab w:val="clear" w:pos="576"/>
                <w:tab w:val="clear" w:pos="1152"/>
              </w:tabs>
              <w:spacing w:before="120" w:after="120" w:line="240" w:lineRule="atLeast"/>
              <w:ind w:left="520" w:firstLine="0"/>
              <w:rPr>
                <w:rFonts w:cstheme="majorHAnsi"/>
                <w:sz w:val="20"/>
                <w:szCs w:val="20"/>
              </w:rPr>
            </w:pPr>
            <w:r>
              <w:rPr>
                <w:rFonts w:cstheme="majorHAnsi"/>
                <w:sz w:val="20"/>
                <w:szCs w:val="20"/>
              </w:rPr>
              <w:t xml:space="preserve">The SEC rule on </w:t>
            </w:r>
            <w:r w:rsidR="002F4CED" w:rsidRPr="008458AB">
              <w:rPr>
                <w:rFonts w:cstheme="majorHAnsi"/>
                <w:sz w:val="20"/>
                <w:szCs w:val="20"/>
              </w:rPr>
              <w:t xml:space="preserve">“Inline XBRL Filing of Tagged Data” requires registrants to use the Inline eXtensible Business Reporting Language (iXBRL) format in their submissions of operating company financial statement information and fund risk-return summary information. </w:t>
            </w:r>
          </w:p>
        </w:tc>
        <w:tc>
          <w:tcPr>
            <w:tcW w:w="1247" w:type="dxa"/>
            <w:gridSpan w:val="2"/>
            <w:tcBorders>
              <w:top w:val="single" w:sz="4" w:space="0" w:color="auto"/>
              <w:bottom w:val="single" w:sz="4" w:space="0" w:color="auto"/>
            </w:tcBorders>
            <w:vAlign w:val="bottom"/>
          </w:tcPr>
          <w:p w14:paraId="3ED8089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0CE973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108C1DA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30EC438D" w14:textId="77777777" w:rsidTr="4F4C4721">
        <w:tc>
          <w:tcPr>
            <w:tcW w:w="6574" w:type="dxa"/>
            <w:vAlign w:val="bottom"/>
          </w:tcPr>
          <w:p w14:paraId="68C07CA0" w14:textId="4D51B6CE" w:rsidR="002F4CED" w:rsidRPr="008458AB" w:rsidRDefault="002F4CED" w:rsidP="002F4CED">
            <w:pPr>
              <w:pStyle w:val="levela"/>
              <w:widowControl w:val="0"/>
              <w:numPr>
                <w:ilvl w:val="0"/>
                <w:numId w:val="35"/>
              </w:numPr>
              <w:tabs>
                <w:tab w:val="clear" w:pos="576"/>
              </w:tabs>
              <w:spacing w:before="120" w:after="120" w:line="240" w:lineRule="atLeast"/>
              <w:ind w:left="250" w:hanging="250"/>
              <w:rPr>
                <w:rFonts w:cstheme="majorHAnsi"/>
                <w:sz w:val="20"/>
                <w:szCs w:val="20"/>
              </w:rPr>
            </w:pPr>
            <w:bookmarkStart w:id="13" w:name="_Hlk50708834"/>
            <w:r w:rsidRPr="008458AB">
              <w:rPr>
                <w:rFonts w:cstheme="majorHAnsi"/>
                <w:sz w:val="20"/>
                <w:szCs w:val="20"/>
              </w:rPr>
              <w:t>Include any financial statements or financial statement schedules required by Regulation S-X that were not included in the annual report to shareholders, including:</w:t>
            </w:r>
            <w:bookmarkEnd w:id="13"/>
          </w:p>
        </w:tc>
        <w:tc>
          <w:tcPr>
            <w:tcW w:w="1247" w:type="dxa"/>
            <w:gridSpan w:val="2"/>
            <w:tcBorders>
              <w:top w:val="single" w:sz="4" w:space="0" w:color="auto"/>
            </w:tcBorders>
            <w:vAlign w:val="bottom"/>
          </w:tcPr>
          <w:p w14:paraId="3B79E54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E5DEF3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04AF1F0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C1D4B94" w14:textId="77777777" w:rsidTr="4F4C4721">
        <w:tc>
          <w:tcPr>
            <w:tcW w:w="6574" w:type="dxa"/>
            <w:vAlign w:val="bottom"/>
          </w:tcPr>
          <w:p w14:paraId="72E83F07" w14:textId="423FA72F"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 xml:space="preserve">Separate financial statements of unconsolidated subsidiaries and 50-percent-or-less owned persons (entities) accounted for by the equity method if the “significant subsidiary” test is met at the 20 percent level. </w:t>
            </w:r>
            <w:r w:rsidR="00A00313">
              <w:rPr>
                <w:rFonts w:cstheme="majorHAnsi"/>
                <w:sz w:val="20"/>
                <w:szCs w:val="20"/>
              </w:rPr>
              <w:t>Refer to Regulation S-X, Rule 3-09.</w:t>
            </w:r>
            <w:r w:rsidRPr="008458AB">
              <w:rPr>
                <w:rFonts w:cstheme="majorHAnsi"/>
                <w:sz w:val="20"/>
                <w:szCs w:val="20"/>
              </w:rPr>
              <w:t xml:space="preserve"> </w:t>
            </w:r>
          </w:p>
        </w:tc>
        <w:tc>
          <w:tcPr>
            <w:tcW w:w="1247" w:type="dxa"/>
            <w:gridSpan w:val="2"/>
            <w:tcBorders>
              <w:bottom w:val="single" w:sz="6" w:space="0" w:color="auto"/>
            </w:tcBorders>
            <w:vAlign w:val="bottom"/>
          </w:tcPr>
          <w:p w14:paraId="52C6E25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2E5BB3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324BC26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5E7687D" w14:textId="77777777" w:rsidTr="4F4C4721">
        <w:tc>
          <w:tcPr>
            <w:tcW w:w="6574" w:type="dxa"/>
            <w:vAlign w:val="bottom"/>
          </w:tcPr>
          <w:p w14:paraId="6AE96493" w14:textId="5CFE5C61"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t>Separate financial statements or alternative financial disclosures or narrative disclosures of guarantors and affiliates whose securities represent a substantial portion of the collateral for registered debt (if not otherwise filed on an individual or consolidated basis). Refer to Regulation S-X, Rule 3-10, 3-16, 13-01, and 13-02.</w:t>
            </w:r>
          </w:p>
        </w:tc>
        <w:tc>
          <w:tcPr>
            <w:tcW w:w="1247" w:type="dxa"/>
            <w:gridSpan w:val="2"/>
            <w:tcBorders>
              <w:top w:val="single" w:sz="6" w:space="0" w:color="auto"/>
              <w:bottom w:val="single" w:sz="6" w:space="0" w:color="auto"/>
            </w:tcBorders>
            <w:vAlign w:val="bottom"/>
          </w:tcPr>
          <w:p w14:paraId="16C4464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2C7DFF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bottom w:val="single" w:sz="6" w:space="0" w:color="auto"/>
            </w:tcBorders>
            <w:vAlign w:val="bottom"/>
          </w:tcPr>
          <w:p w14:paraId="48E8C57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0498F02F" w14:textId="77777777" w:rsidTr="4F4C4721">
        <w:tc>
          <w:tcPr>
            <w:tcW w:w="6574" w:type="dxa"/>
            <w:vAlign w:val="bottom"/>
          </w:tcPr>
          <w:p w14:paraId="39A04233" w14:textId="7E72C1AC"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b/>
                <w:bCs/>
                <w:sz w:val="20"/>
                <w:szCs w:val="20"/>
              </w:rPr>
            </w:pPr>
            <w:r w:rsidRPr="008458AB">
              <w:rPr>
                <w:rFonts w:cstheme="majorHAnsi"/>
                <w:sz w:val="20"/>
                <w:szCs w:val="20"/>
              </w:rPr>
              <w:t>c.</w:t>
            </w:r>
            <w:r w:rsidRPr="008458AB">
              <w:rPr>
                <w:rFonts w:cstheme="majorHAnsi"/>
                <w:sz w:val="20"/>
                <w:szCs w:val="20"/>
              </w:rPr>
              <w:tab/>
              <w:t>Financial statement schedules required by Rule 5-04 and Article 12 of Regulation S-X.</w:t>
            </w:r>
          </w:p>
        </w:tc>
        <w:tc>
          <w:tcPr>
            <w:tcW w:w="1247" w:type="dxa"/>
            <w:gridSpan w:val="2"/>
            <w:tcBorders>
              <w:bottom w:val="single" w:sz="6" w:space="0" w:color="auto"/>
            </w:tcBorders>
            <w:vAlign w:val="bottom"/>
          </w:tcPr>
          <w:p w14:paraId="5418809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B0AB19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744BF4A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79EBB4C4" w14:textId="77777777" w:rsidTr="4F4C4721">
        <w:tc>
          <w:tcPr>
            <w:tcW w:w="6574" w:type="dxa"/>
            <w:vAlign w:val="bottom"/>
          </w:tcPr>
          <w:p w14:paraId="75596841" w14:textId="77777777" w:rsidR="002F4CED" w:rsidRPr="008458AB" w:rsidRDefault="002F4CED" w:rsidP="002F4CED">
            <w:pPr>
              <w:pStyle w:val="standard"/>
              <w:widowControl w:val="0"/>
              <w:spacing w:before="120" w:after="120" w:line="240" w:lineRule="atLeast"/>
              <w:rPr>
                <w:rFonts w:cstheme="majorHAnsi"/>
                <w:b/>
                <w:sz w:val="20"/>
                <w:szCs w:val="20"/>
              </w:rPr>
            </w:pPr>
            <w:r w:rsidRPr="008458AB">
              <w:rPr>
                <w:rFonts w:cstheme="majorHAnsi"/>
                <w:b/>
                <w:sz w:val="20"/>
                <w:szCs w:val="20"/>
              </w:rPr>
              <w:lastRenderedPageBreak/>
              <w:t>Item 16 — Form 10-K Summary (optional)</w:t>
            </w:r>
          </w:p>
          <w:p w14:paraId="11BD08E5" w14:textId="040CAD1A" w:rsidR="002F4CED" w:rsidRPr="008458AB" w:rsidRDefault="002F4CED" w:rsidP="002F4CED">
            <w:pPr>
              <w:pStyle w:val="levelb"/>
              <w:widowControl w:val="0"/>
              <w:tabs>
                <w:tab w:val="clear" w:pos="576"/>
                <w:tab w:val="clear" w:pos="1152"/>
              </w:tabs>
              <w:spacing w:before="120" w:after="120" w:line="240" w:lineRule="atLeast"/>
              <w:ind w:left="0" w:firstLine="0"/>
              <w:rPr>
                <w:rFonts w:cstheme="majorHAnsi"/>
                <w:sz w:val="20"/>
                <w:szCs w:val="20"/>
              </w:rPr>
            </w:pPr>
            <w:r w:rsidRPr="008458AB">
              <w:rPr>
                <w:rFonts w:cstheme="majorHAnsi"/>
                <w:sz w:val="20"/>
                <w:szCs w:val="20"/>
              </w:rPr>
              <w:t>Registrants may, at their option, include a summary of information required by this Form but only if each item in the summary is presented fairly and accurately and includes a hyperlink to the material contained in this form to which such item relates, including to materials contained in any exhibits filed with the Form.</w:t>
            </w:r>
          </w:p>
        </w:tc>
        <w:tc>
          <w:tcPr>
            <w:tcW w:w="1247" w:type="dxa"/>
            <w:gridSpan w:val="2"/>
            <w:tcBorders>
              <w:bottom w:val="single" w:sz="4" w:space="0" w:color="auto"/>
            </w:tcBorders>
            <w:vAlign w:val="bottom"/>
          </w:tcPr>
          <w:p w14:paraId="1C0AEB8C"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9FB0FB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5F9769C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32A14E5" w14:textId="77777777" w:rsidTr="4F4C4721">
        <w:tc>
          <w:tcPr>
            <w:tcW w:w="6574" w:type="dxa"/>
            <w:vAlign w:val="bottom"/>
          </w:tcPr>
          <w:p w14:paraId="3625C837" w14:textId="77777777" w:rsidR="002F4CED" w:rsidRPr="00AE37CE" w:rsidRDefault="002F4CED" w:rsidP="002F4CED">
            <w:pPr>
              <w:pStyle w:val="Heading1"/>
              <w:keepNext w:val="0"/>
              <w:keepLines w:val="0"/>
              <w:widowControl w:val="0"/>
              <w:spacing w:before="120" w:after="120" w:line="240" w:lineRule="atLeast"/>
              <w:rPr>
                <w:rFonts w:cstheme="majorHAnsi"/>
                <w:b/>
                <w:bCs w:val="0"/>
                <w:sz w:val="20"/>
                <w:szCs w:val="20"/>
              </w:rPr>
            </w:pPr>
            <w:bookmarkStart w:id="14" w:name="_OTHER_REQUIREMENTS"/>
            <w:bookmarkEnd w:id="14"/>
            <w:r w:rsidRPr="00AE37CE">
              <w:rPr>
                <w:rFonts w:cstheme="majorHAnsi"/>
                <w:b/>
                <w:bCs w:val="0"/>
                <w:sz w:val="20"/>
                <w:szCs w:val="20"/>
              </w:rPr>
              <w:t>OTHER REQUIREMENTS</w:t>
            </w:r>
          </w:p>
        </w:tc>
        <w:tc>
          <w:tcPr>
            <w:tcW w:w="1247" w:type="dxa"/>
            <w:gridSpan w:val="2"/>
            <w:tcBorders>
              <w:top w:val="single" w:sz="6" w:space="0" w:color="auto"/>
            </w:tcBorders>
            <w:vAlign w:val="bottom"/>
          </w:tcPr>
          <w:p w14:paraId="627EAD1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0C30D4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6" w:space="0" w:color="auto"/>
            </w:tcBorders>
            <w:vAlign w:val="bottom"/>
          </w:tcPr>
          <w:p w14:paraId="45E1CA1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021A8B7" w14:textId="77777777" w:rsidTr="4F4C4721">
        <w:tc>
          <w:tcPr>
            <w:tcW w:w="6574" w:type="dxa"/>
            <w:vAlign w:val="bottom"/>
          </w:tcPr>
          <w:p w14:paraId="20706BD0" w14:textId="252ACEDB" w:rsidR="002F4CED" w:rsidRPr="008458AB" w:rsidRDefault="002F4CED" w:rsidP="002F4CED">
            <w:pPr>
              <w:pStyle w:val="levela"/>
              <w:widowControl w:val="0"/>
              <w:numPr>
                <w:ilvl w:val="0"/>
                <w:numId w:val="36"/>
              </w:numPr>
              <w:tabs>
                <w:tab w:val="clear" w:pos="576"/>
              </w:tabs>
              <w:spacing w:before="120" w:after="120" w:line="240" w:lineRule="atLeast"/>
              <w:ind w:left="250" w:hanging="250"/>
              <w:rPr>
                <w:rFonts w:cstheme="majorHAnsi"/>
                <w:sz w:val="20"/>
                <w:szCs w:val="20"/>
              </w:rPr>
            </w:pPr>
            <w:r w:rsidRPr="00EC74D8">
              <w:rPr>
                <w:rFonts w:cstheme="majorHAnsi"/>
                <w:b/>
                <w:sz w:val="20"/>
                <w:szCs w:val="20"/>
              </w:rPr>
              <w:t xml:space="preserve">Accountant’s report. </w:t>
            </w:r>
            <w:r w:rsidRPr="00EC74D8">
              <w:rPr>
                <w:rFonts w:cstheme="majorHAnsi"/>
                <w:sz w:val="20"/>
                <w:szCs w:val="20"/>
              </w:rPr>
              <w:t xml:space="preserve">Refer to </w:t>
            </w:r>
            <w:r w:rsidRPr="00EC74D8">
              <w:rPr>
                <w:rFonts w:cstheme="majorHAnsi"/>
                <w:i/>
                <w:sz w:val="20"/>
                <w:szCs w:val="20"/>
              </w:rPr>
              <w:t>SEC Compliance Checklist — General</w:t>
            </w:r>
            <w:r w:rsidRPr="00EC74D8">
              <w:rPr>
                <w:rFonts w:cstheme="majorHAnsi"/>
                <w:sz w:val="20"/>
                <w:szCs w:val="20"/>
              </w:rPr>
              <w:t>, for detailed guidance, and Regulation S-X, Rule 2-02.</w:t>
            </w:r>
          </w:p>
        </w:tc>
        <w:tc>
          <w:tcPr>
            <w:tcW w:w="1247" w:type="dxa"/>
            <w:gridSpan w:val="2"/>
            <w:vAlign w:val="bottom"/>
          </w:tcPr>
          <w:p w14:paraId="13E4D42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CAB512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vAlign w:val="bottom"/>
          </w:tcPr>
          <w:p w14:paraId="63552A7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3C3AB5A4" w14:textId="77777777" w:rsidTr="4F4C4721">
        <w:tc>
          <w:tcPr>
            <w:tcW w:w="6574" w:type="dxa"/>
            <w:vAlign w:val="bottom"/>
          </w:tcPr>
          <w:p w14:paraId="665255A9" w14:textId="00ABD27D"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r>
            <w:r w:rsidR="00EC74D8">
              <w:rPr>
                <w:rFonts w:cstheme="majorHAnsi"/>
                <w:sz w:val="20"/>
                <w:szCs w:val="20"/>
              </w:rPr>
              <w:t xml:space="preserve">Obtain a copy of the manually signed </w:t>
            </w:r>
            <w:r w:rsidRPr="008458AB">
              <w:rPr>
                <w:rFonts w:cstheme="majorHAnsi"/>
                <w:sz w:val="20"/>
                <w:szCs w:val="20"/>
              </w:rPr>
              <w:t>accountant’s report.</w:t>
            </w:r>
          </w:p>
        </w:tc>
        <w:tc>
          <w:tcPr>
            <w:tcW w:w="1247" w:type="dxa"/>
            <w:gridSpan w:val="2"/>
            <w:tcBorders>
              <w:bottom w:val="single" w:sz="6" w:space="0" w:color="auto"/>
            </w:tcBorders>
            <w:vAlign w:val="bottom"/>
          </w:tcPr>
          <w:p w14:paraId="7FAD24C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0691E8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4BC5872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EE9A4BD" w14:textId="77777777" w:rsidTr="4F4C4721">
        <w:tc>
          <w:tcPr>
            <w:tcW w:w="6574" w:type="dxa"/>
            <w:vAlign w:val="bottom"/>
          </w:tcPr>
          <w:p w14:paraId="33572DAB" w14:textId="2DDCF9C7"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r>
            <w:r w:rsidR="00EC74D8">
              <w:rPr>
                <w:rFonts w:cstheme="majorHAnsi"/>
                <w:sz w:val="20"/>
                <w:szCs w:val="20"/>
              </w:rPr>
              <w:t xml:space="preserve">Compare the manually signed copy of the </w:t>
            </w:r>
            <w:r w:rsidRPr="008458AB">
              <w:rPr>
                <w:rFonts w:cstheme="majorHAnsi"/>
                <w:sz w:val="20"/>
                <w:szCs w:val="20"/>
              </w:rPr>
              <w:t xml:space="preserve">accountant’s report </w:t>
            </w:r>
            <w:r w:rsidR="00EC74D8">
              <w:rPr>
                <w:rFonts w:cstheme="majorHAnsi"/>
                <w:sz w:val="20"/>
                <w:szCs w:val="20"/>
              </w:rPr>
              <w:t>to the accountant’s report included in the Form 10-K</w:t>
            </w:r>
            <w:r w:rsidRPr="008458AB">
              <w:rPr>
                <w:rFonts w:cstheme="majorHAnsi"/>
                <w:sz w:val="20"/>
                <w:szCs w:val="20"/>
              </w:rPr>
              <w:t>.</w:t>
            </w:r>
          </w:p>
        </w:tc>
        <w:tc>
          <w:tcPr>
            <w:tcW w:w="1247" w:type="dxa"/>
            <w:gridSpan w:val="2"/>
            <w:tcBorders>
              <w:bottom w:val="single" w:sz="6" w:space="0" w:color="auto"/>
            </w:tcBorders>
            <w:vAlign w:val="bottom"/>
          </w:tcPr>
          <w:p w14:paraId="327FD1D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CA1DAF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6" w:space="0" w:color="auto"/>
            </w:tcBorders>
            <w:vAlign w:val="bottom"/>
          </w:tcPr>
          <w:p w14:paraId="185A99A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16AFEB60" w14:textId="77777777" w:rsidTr="4F4C4721">
        <w:tc>
          <w:tcPr>
            <w:tcW w:w="6574" w:type="dxa"/>
            <w:vAlign w:val="bottom"/>
          </w:tcPr>
          <w:p w14:paraId="410A875D" w14:textId="53352A7B" w:rsidR="002F4CED" w:rsidRPr="008458AB" w:rsidRDefault="002F4CED" w:rsidP="002F4CED">
            <w:pPr>
              <w:pStyle w:val="levela"/>
              <w:widowControl w:val="0"/>
              <w:numPr>
                <w:ilvl w:val="0"/>
                <w:numId w:val="36"/>
              </w:numPr>
              <w:tabs>
                <w:tab w:val="clear" w:pos="576"/>
              </w:tabs>
              <w:spacing w:before="120" w:after="120" w:line="240" w:lineRule="atLeast"/>
              <w:ind w:left="250" w:hanging="250"/>
              <w:rPr>
                <w:rFonts w:cstheme="majorHAnsi"/>
                <w:sz w:val="20"/>
                <w:szCs w:val="20"/>
              </w:rPr>
            </w:pPr>
            <w:r w:rsidRPr="008458AB">
              <w:rPr>
                <w:rFonts w:cstheme="majorHAnsi"/>
                <w:b/>
                <w:sz w:val="20"/>
                <w:szCs w:val="20"/>
              </w:rPr>
              <w:t>Consents.</w:t>
            </w:r>
          </w:p>
        </w:tc>
        <w:tc>
          <w:tcPr>
            <w:tcW w:w="1247" w:type="dxa"/>
            <w:gridSpan w:val="2"/>
            <w:tcBorders>
              <w:top w:val="single" w:sz="6" w:space="0" w:color="auto"/>
            </w:tcBorders>
            <w:vAlign w:val="bottom"/>
          </w:tcPr>
          <w:p w14:paraId="4BF7C2C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7AF8AE9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314E2C86"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3E281A23" w14:textId="77777777" w:rsidTr="4F4C4721">
        <w:tc>
          <w:tcPr>
            <w:tcW w:w="6574" w:type="dxa"/>
            <w:vAlign w:val="bottom"/>
          </w:tcPr>
          <w:p w14:paraId="75E58349" w14:textId="419EA61D"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a.</w:t>
            </w:r>
            <w:r w:rsidRPr="008458AB">
              <w:rPr>
                <w:rFonts w:cstheme="majorHAnsi"/>
                <w:sz w:val="20"/>
                <w:szCs w:val="20"/>
              </w:rPr>
              <w:tab/>
              <w:t xml:space="preserve">Rule 12b-36 of the Exchange Act requires a consent only where the accountant’s report on financial statements filed under </w:t>
            </w:r>
            <w:r w:rsidRPr="008458AB">
              <w:rPr>
                <w:rFonts w:cstheme="majorHAnsi"/>
                <w:i/>
                <w:sz w:val="20"/>
                <w:szCs w:val="20"/>
              </w:rPr>
              <w:t xml:space="preserve">other </w:t>
            </w:r>
            <w:r w:rsidRPr="008458AB">
              <w:rPr>
                <w:rFonts w:cstheme="majorHAnsi"/>
                <w:sz w:val="20"/>
                <w:szCs w:val="20"/>
              </w:rPr>
              <w:t xml:space="preserve">acts (e.g., the Securities Act) administered by the SEC is incorporated by reference. </w:t>
            </w:r>
          </w:p>
        </w:tc>
        <w:tc>
          <w:tcPr>
            <w:tcW w:w="1247" w:type="dxa"/>
            <w:gridSpan w:val="2"/>
            <w:tcBorders>
              <w:bottom w:val="single" w:sz="4" w:space="0" w:color="auto"/>
            </w:tcBorders>
            <w:vAlign w:val="bottom"/>
          </w:tcPr>
          <w:p w14:paraId="00EA775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3DF0123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bottom w:val="single" w:sz="4" w:space="0" w:color="auto"/>
            </w:tcBorders>
            <w:vAlign w:val="bottom"/>
          </w:tcPr>
          <w:p w14:paraId="3DF71C1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07F9963" w14:textId="77777777" w:rsidTr="4F4C4721">
        <w:tc>
          <w:tcPr>
            <w:tcW w:w="6574" w:type="dxa"/>
            <w:vAlign w:val="bottom"/>
          </w:tcPr>
          <w:p w14:paraId="237F840A" w14:textId="3F185F6E" w:rsidR="002F4CED" w:rsidRPr="008458AB" w:rsidRDefault="002F4CED" w:rsidP="002F4CED">
            <w:pPr>
              <w:pStyle w:val="levelb"/>
              <w:widowControl w:val="0"/>
              <w:tabs>
                <w:tab w:val="clear" w:pos="576"/>
                <w:tab w:val="clear" w:pos="1152"/>
              </w:tabs>
              <w:spacing w:before="120" w:after="120" w:line="240" w:lineRule="atLeast"/>
              <w:ind w:left="520" w:hanging="270"/>
              <w:rPr>
                <w:rFonts w:cstheme="majorHAnsi"/>
                <w:sz w:val="20"/>
                <w:szCs w:val="20"/>
              </w:rPr>
            </w:pPr>
            <w:r w:rsidRPr="008458AB">
              <w:rPr>
                <w:rFonts w:cstheme="majorHAnsi"/>
                <w:sz w:val="20"/>
                <w:szCs w:val="20"/>
              </w:rPr>
              <w:t>b.</w:t>
            </w:r>
            <w:r w:rsidRPr="008458AB">
              <w:rPr>
                <w:rFonts w:cstheme="majorHAnsi"/>
                <w:sz w:val="20"/>
                <w:szCs w:val="20"/>
              </w:rPr>
              <w:tab/>
              <w:t xml:space="preserve">Consent is required when Form 10-K is incorporated by reference in Forms S-1, S-3, S-4, S-8, and S-11. The consent may be filed either as an amendment to the registration statement or with the Form 10-K or with a Form 10-K/A amendment to the 10-K. [See Financial Reporting Release Codification Section 606 regarding Form S-8.] </w:t>
            </w:r>
          </w:p>
        </w:tc>
        <w:tc>
          <w:tcPr>
            <w:tcW w:w="1247" w:type="dxa"/>
            <w:gridSpan w:val="2"/>
            <w:tcBorders>
              <w:top w:val="single" w:sz="4" w:space="0" w:color="auto"/>
              <w:bottom w:val="single" w:sz="4" w:space="0" w:color="auto"/>
            </w:tcBorders>
            <w:vAlign w:val="bottom"/>
          </w:tcPr>
          <w:p w14:paraId="6DF9268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A472FE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68049EE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11DE937" w14:textId="77777777" w:rsidTr="0078434A">
        <w:tc>
          <w:tcPr>
            <w:tcW w:w="6574" w:type="dxa"/>
            <w:vAlign w:val="bottom"/>
          </w:tcPr>
          <w:p w14:paraId="1A2C4315" w14:textId="7FD6605F" w:rsidR="002F4CED" w:rsidRPr="008458AB" w:rsidRDefault="002F4CED" w:rsidP="002F4CED">
            <w:pPr>
              <w:pStyle w:val="levela"/>
              <w:widowControl w:val="0"/>
              <w:numPr>
                <w:ilvl w:val="0"/>
                <w:numId w:val="36"/>
              </w:numPr>
              <w:tabs>
                <w:tab w:val="clear" w:pos="576"/>
              </w:tabs>
              <w:spacing w:before="120" w:after="120" w:line="240" w:lineRule="atLeast"/>
              <w:ind w:left="250" w:hanging="250"/>
              <w:rPr>
                <w:rFonts w:cstheme="majorHAnsi"/>
                <w:sz w:val="20"/>
                <w:szCs w:val="20"/>
              </w:rPr>
            </w:pPr>
            <w:r w:rsidRPr="008458AB">
              <w:rPr>
                <w:rFonts w:cstheme="majorHAnsi"/>
                <w:b/>
                <w:sz w:val="20"/>
                <w:szCs w:val="20"/>
              </w:rPr>
              <w:t>Participation in “sanctionable activities” with Iran or Syria</w:t>
            </w:r>
            <w:r>
              <w:rPr>
                <w:rFonts w:cstheme="majorHAnsi"/>
                <w:b/>
                <w:sz w:val="20"/>
                <w:szCs w:val="20"/>
              </w:rPr>
              <w:t>.</w:t>
            </w:r>
            <w:r w:rsidRPr="008458AB">
              <w:rPr>
                <w:rFonts w:cstheme="majorHAnsi"/>
                <w:b/>
                <w:sz w:val="20"/>
                <w:szCs w:val="20"/>
              </w:rPr>
              <w:t xml:space="preserve"> </w:t>
            </w:r>
            <w:r w:rsidRPr="008458AB">
              <w:rPr>
                <w:rFonts w:cstheme="majorHAnsi"/>
                <w:sz w:val="20"/>
                <w:szCs w:val="20"/>
              </w:rPr>
              <w:t xml:space="preserve">In accordance with the </w:t>
            </w:r>
            <w:r w:rsidRPr="008458AB">
              <w:rPr>
                <w:rFonts w:cstheme="majorHAnsi"/>
                <w:i/>
                <w:sz w:val="20"/>
                <w:szCs w:val="20"/>
              </w:rPr>
              <w:t xml:space="preserve">Iran Threat Reduction and Syria Human Rights Act of 2012 </w:t>
            </w:r>
            <w:r w:rsidRPr="008458AB">
              <w:rPr>
                <w:rFonts w:cstheme="majorHAnsi"/>
                <w:sz w:val="20"/>
                <w:szCs w:val="20"/>
              </w:rPr>
              <w:t>(the “Iran-Syria Act”),</w:t>
            </w:r>
            <w:r w:rsidRPr="008458AB">
              <w:rPr>
                <w:rFonts w:cstheme="majorHAnsi"/>
                <w:i/>
                <w:sz w:val="20"/>
                <w:szCs w:val="20"/>
              </w:rPr>
              <w:t xml:space="preserve"> </w:t>
            </w:r>
            <w:r w:rsidRPr="008458AB">
              <w:rPr>
                <w:rFonts w:cstheme="majorHAnsi"/>
                <w:sz w:val="20"/>
                <w:szCs w:val="20"/>
              </w:rPr>
              <w:t xml:space="preserve">registrants are required to disclose contracts, transactions, or other arrangements that are linked to “sanctionable activities” with Iran and Syria. </w:t>
            </w:r>
          </w:p>
          <w:p w14:paraId="2F16477C" w14:textId="64948A61" w:rsidR="002F4CED" w:rsidRPr="008458AB" w:rsidRDefault="002F4CED" w:rsidP="002F4CED">
            <w:pPr>
              <w:pStyle w:val="levela"/>
              <w:widowControl w:val="0"/>
              <w:tabs>
                <w:tab w:val="clear" w:pos="576"/>
              </w:tabs>
              <w:spacing w:before="120" w:after="120" w:line="240" w:lineRule="atLeast"/>
              <w:ind w:left="250" w:firstLine="0"/>
              <w:rPr>
                <w:rFonts w:cstheme="majorHAnsi"/>
                <w:sz w:val="20"/>
                <w:szCs w:val="20"/>
              </w:rPr>
            </w:pPr>
            <w:r w:rsidRPr="008458AB">
              <w:rPr>
                <w:rFonts w:cstheme="majorHAnsi"/>
                <w:sz w:val="20"/>
                <w:szCs w:val="20"/>
              </w:rPr>
              <w:t xml:space="preserve">These disclosure requirements are applicable for any registrant that is required to file annual or quarterly reports under Section 13(a) of the Exchange Act and would be effective for those reports filed after February 6, 2013. In addition, the registrant would also need to disclose any sanctionable activities conducted by its subsidiaries and affiliates. </w:t>
            </w:r>
          </w:p>
          <w:p w14:paraId="04C12522" w14:textId="77777777" w:rsidR="002F4CED" w:rsidRPr="008458AB" w:rsidRDefault="002F4CED" w:rsidP="002F4CED">
            <w:pPr>
              <w:widowControl w:val="0"/>
              <w:spacing w:before="120" w:after="120" w:line="240" w:lineRule="atLeast"/>
              <w:ind w:left="250"/>
              <w:rPr>
                <w:rFonts w:cstheme="majorHAnsi"/>
                <w:sz w:val="20"/>
                <w:szCs w:val="20"/>
              </w:rPr>
            </w:pPr>
            <w:r w:rsidRPr="008458AB">
              <w:rPr>
                <w:rFonts w:cstheme="majorHAnsi"/>
                <w:sz w:val="20"/>
                <w:szCs w:val="20"/>
              </w:rPr>
              <w:t xml:space="preserve">In addition to disclosing these activities in its Form 10-K or Form 10-Q, the registrant must also file a separate notice through EDGAR (i.e., the IRANNOTICE) that the information required to be disclosed has been included in its annual or quarterly report. </w:t>
            </w:r>
          </w:p>
        </w:tc>
        <w:tc>
          <w:tcPr>
            <w:tcW w:w="1247" w:type="dxa"/>
            <w:gridSpan w:val="2"/>
            <w:tcBorders>
              <w:top w:val="single" w:sz="4" w:space="0" w:color="auto"/>
              <w:bottom w:val="single" w:sz="4" w:space="0" w:color="auto"/>
            </w:tcBorders>
            <w:vAlign w:val="bottom"/>
          </w:tcPr>
          <w:p w14:paraId="00BA4EF7"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674036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2BB2ECD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5DF6280" w14:textId="77777777" w:rsidTr="0078434A">
        <w:tc>
          <w:tcPr>
            <w:tcW w:w="6574" w:type="dxa"/>
            <w:vAlign w:val="bottom"/>
          </w:tcPr>
          <w:p w14:paraId="0388C241" w14:textId="69D7732C" w:rsidR="002F4CED" w:rsidRPr="008458AB" w:rsidRDefault="002F4CED" w:rsidP="002F4CED">
            <w:pPr>
              <w:pStyle w:val="levelb"/>
              <w:widowControl w:val="0"/>
              <w:numPr>
                <w:ilvl w:val="0"/>
                <w:numId w:val="37"/>
              </w:numPr>
              <w:tabs>
                <w:tab w:val="clear" w:pos="576"/>
                <w:tab w:val="clear" w:pos="1152"/>
              </w:tabs>
              <w:spacing w:before="120" w:after="120" w:line="240" w:lineRule="atLeast"/>
              <w:rPr>
                <w:rFonts w:cstheme="majorHAnsi"/>
                <w:sz w:val="20"/>
                <w:szCs w:val="20"/>
              </w:rPr>
            </w:pPr>
            <w:r w:rsidRPr="008458AB">
              <w:rPr>
                <w:rFonts w:cstheme="majorHAnsi"/>
                <w:sz w:val="20"/>
                <w:szCs w:val="20"/>
              </w:rPr>
              <w:t xml:space="preserve">Regardless of the significance of the activity, a registrant must disclose </w:t>
            </w:r>
            <w:r w:rsidRPr="008458AB">
              <w:rPr>
                <w:rFonts w:cstheme="majorHAnsi"/>
                <w:sz w:val="20"/>
                <w:szCs w:val="20"/>
              </w:rPr>
              <w:lastRenderedPageBreak/>
              <w:t>any “sanctionable activities” with Iran and Syria as defined in the Iran-Syria Act, including:</w:t>
            </w:r>
          </w:p>
          <w:p w14:paraId="3090FC8C" w14:textId="00D76A28" w:rsidR="002F4CED" w:rsidRPr="008458AB" w:rsidRDefault="002F4CED" w:rsidP="002F4CED">
            <w:pPr>
              <w:pStyle w:val="levelb"/>
              <w:widowControl w:val="0"/>
              <w:tabs>
                <w:tab w:val="clear" w:pos="576"/>
                <w:tab w:val="clear" w:pos="1152"/>
              </w:tabs>
              <w:spacing w:before="120" w:after="120" w:line="240" w:lineRule="atLeast"/>
              <w:ind w:left="520" w:firstLine="0"/>
              <w:rPr>
                <w:rFonts w:cstheme="majorHAnsi"/>
                <w:sz w:val="20"/>
                <w:szCs w:val="20"/>
              </w:rPr>
            </w:pPr>
            <w:r w:rsidRPr="008458AB">
              <w:rPr>
                <w:rFonts w:cstheme="majorHAnsi"/>
                <w:sz w:val="20"/>
                <w:szCs w:val="20"/>
              </w:rPr>
              <w:t xml:space="preserve">Visit the U.S. Department of State </w:t>
            </w:r>
            <w:hyperlink r:id="rId28" w:history="1">
              <w:r w:rsidRPr="008458AB">
                <w:rPr>
                  <w:rStyle w:val="Hyperlink"/>
                  <w:rFonts w:cstheme="majorHAnsi"/>
                  <w:sz w:val="20"/>
                  <w:szCs w:val="20"/>
                </w:rPr>
                <w:t>website</w:t>
              </w:r>
            </w:hyperlink>
            <w:r w:rsidRPr="008458AB">
              <w:rPr>
                <w:rFonts w:cstheme="majorHAnsi"/>
                <w:sz w:val="20"/>
                <w:szCs w:val="20"/>
              </w:rPr>
              <w:t xml:space="preserve"> for a definition of sanctionable activities covered by the Iran-Syria Act. </w:t>
            </w:r>
          </w:p>
        </w:tc>
        <w:tc>
          <w:tcPr>
            <w:tcW w:w="1247" w:type="dxa"/>
            <w:gridSpan w:val="2"/>
            <w:tcBorders>
              <w:top w:val="single" w:sz="4" w:space="0" w:color="auto"/>
              <w:bottom w:val="single" w:sz="4" w:space="0" w:color="auto"/>
            </w:tcBorders>
            <w:vAlign w:val="bottom"/>
          </w:tcPr>
          <w:p w14:paraId="453564E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C6C7D75"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5915CA4B"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5CD83578" w14:textId="77777777" w:rsidTr="0078434A">
        <w:tc>
          <w:tcPr>
            <w:tcW w:w="6574" w:type="dxa"/>
            <w:vAlign w:val="bottom"/>
          </w:tcPr>
          <w:p w14:paraId="25D2917B" w14:textId="77777777" w:rsidR="002F4CED" w:rsidRPr="008458AB" w:rsidRDefault="002F4CED" w:rsidP="002F4CED">
            <w:pPr>
              <w:pStyle w:val="levelb"/>
              <w:widowControl w:val="0"/>
              <w:numPr>
                <w:ilvl w:val="0"/>
                <w:numId w:val="3"/>
              </w:numPr>
              <w:tabs>
                <w:tab w:val="clear" w:pos="576"/>
                <w:tab w:val="clear" w:pos="1152"/>
                <w:tab w:val="clear" w:pos="1728"/>
                <w:tab w:val="clear" w:pos="2304"/>
              </w:tabs>
              <w:spacing w:before="120" w:after="120" w:line="240" w:lineRule="atLeast"/>
              <w:ind w:left="880" w:hanging="180"/>
              <w:rPr>
                <w:rFonts w:cstheme="majorHAnsi"/>
                <w:sz w:val="20"/>
                <w:szCs w:val="20"/>
              </w:rPr>
            </w:pPr>
            <w:r w:rsidRPr="008458AB">
              <w:rPr>
                <w:rFonts w:cstheme="majorHAnsi"/>
                <w:sz w:val="20"/>
                <w:szCs w:val="20"/>
              </w:rPr>
              <w:t>Detailed description of the nature of the “sanctionable activities.”</w:t>
            </w:r>
          </w:p>
        </w:tc>
        <w:tc>
          <w:tcPr>
            <w:tcW w:w="1247" w:type="dxa"/>
            <w:gridSpan w:val="2"/>
            <w:tcBorders>
              <w:top w:val="single" w:sz="4" w:space="0" w:color="auto"/>
            </w:tcBorders>
            <w:vAlign w:val="bottom"/>
          </w:tcPr>
          <w:p w14:paraId="1A23F261"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70162CC8"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1DC0E1A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25A44377" w14:textId="77777777" w:rsidTr="4F4C4721">
        <w:tc>
          <w:tcPr>
            <w:tcW w:w="6574" w:type="dxa"/>
            <w:vAlign w:val="bottom"/>
          </w:tcPr>
          <w:p w14:paraId="6D8819E1" w14:textId="77777777" w:rsidR="002F4CED" w:rsidRPr="008458AB" w:rsidRDefault="002F4CED" w:rsidP="002F4CED">
            <w:pPr>
              <w:pStyle w:val="levelb"/>
              <w:widowControl w:val="0"/>
              <w:numPr>
                <w:ilvl w:val="0"/>
                <w:numId w:val="3"/>
              </w:numPr>
              <w:tabs>
                <w:tab w:val="clear" w:pos="576"/>
                <w:tab w:val="clear" w:pos="1152"/>
                <w:tab w:val="clear" w:pos="1728"/>
                <w:tab w:val="clear" w:pos="2304"/>
              </w:tabs>
              <w:spacing w:before="120" w:after="120" w:line="240" w:lineRule="atLeast"/>
              <w:ind w:left="880" w:hanging="180"/>
              <w:rPr>
                <w:rFonts w:cstheme="majorHAnsi"/>
                <w:sz w:val="20"/>
                <w:szCs w:val="20"/>
              </w:rPr>
            </w:pPr>
            <w:r w:rsidRPr="008458AB">
              <w:rPr>
                <w:rFonts w:cstheme="majorHAnsi"/>
                <w:sz w:val="20"/>
                <w:szCs w:val="20"/>
              </w:rPr>
              <w:t>Nature and extent of the “sanctionable activities.”</w:t>
            </w:r>
          </w:p>
        </w:tc>
        <w:tc>
          <w:tcPr>
            <w:tcW w:w="1247" w:type="dxa"/>
            <w:gridSpan w:val="2"/>
            <w:tcBorders>
              <w:top w:val="single" w:sz="4" w:space="0" w:color="auto"/>
            </w:tcBorders>
            <w:vAlign w:val="bottom"/>
          </w:tcPr>
          <w:p w14:paraId="1955AC0D"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06B62400"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148FCD1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6F677AFC" w14:textId="77777777" w:rsidTr="4F4C4721">
        <w:tc>
          <w:tcPr>
            <w:tcW w:w="6574" w:type="dxa"/>
            <w:vAlign w:val="bottom"/>
          </w:tcPr>
          <w:p w14:paraId="29BCF031" w14:textId="77777777" w:rsidR="002F4CED" w:rsidRPr="008458AB" w:rsidRDefault="002F4CED" w:rsidP="002F4CED">
            <w:pPr>
              <w:pStyle w:val="levelb"/>
              <w:widowControl w:val="0"/>
              <w:numPr>
                <w:ilvl w:val="0"/>
                <w:numId w:val="3"/>
              </w:numPr>
              <w:tabs>
                <w:tab w:val="clear" w:pos="576"/>
                <w:tab w:val="clear" w:pos="1152"/>
                <w:tab w:val="clear" w:pos="1728"/>
                <w:tab w:val="clear" w:pos="2304"/>
              </w:tabs>
              <w:spacing w:before="120" w:after="120" w:line="240" w:lineRule="atLeast"/>
              <w:ind w:left="880" w:hanging="180"/>
              <w:rPr>
                <w:rFonts w:cstheme="majorHAnsi"/>
                <w:sz w:val="20"/>
                <w:szCs w:val="20"/>
              </w:rPr>
            </w:pPr>
            <w:r w:rsidRPr="008458AB">
              <w:rPr>
                <w:rFonts w:cstheme="majorHAnsi"/>
                <w:sz w:val="20"/>
                <w:szCs w:val="20"/>
              </w:rPr>
              <w:t>Amount of revenues and profit associated with the “sanctionable activities.”</w:t>
            </w:r>
          </w:p>
        </w:tc>
        <w:tc>
          <w:tcPr>
            <w:tcW w:w="1247" w:type="dxa"/>
            <w:gridSpan w:val="2"/>
            <w:tcBorders>
              <w:top w:val="single" w:sz="4" w:space="0" w:color="auto"/>
            </w:tcBorders>
            <w:vAlign w:val="bottom"/>
          </w:tcPr>
          <w:p w14:paraId="505757F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41D6D2E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6966EEBE"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09650E2" w14:textId="77777777" w:rsidTr="4F4C4721">
        <w:tc>
          <w:tcPr>
            <w:tcW w:w="6574" w:type="dxa"/>
            <w:vAlign w:val="bottom"/>
          </w:tcPr>
          <w:p w14:paraId="6FE612E6" w14:textId="77777777" w:rsidR="002F4CED" w:rsidRPr="008458AB" w:rsidRDefault="002F4CED" w:rsidP="002F4CED">
            <w:pPr>
              <w:pStyle w:val="levelb"/>
              <w:widowControl w:val="0"/>
              <w:numPr>
                <w:ilvl w:val="0"/>
                <w:numId w:val="3"/>
              </w:numPr>
              <w:tabs>
                <w:tab w:val="clear" w:pos="576"/>
                <w:tab w:val="clear" w:pos="1152"/>
                <w:tab w:val="clear" w:pos="1728"/>
                <w:tab w:val="clear" w:pos="2304"/>
              </w:tabs>
              <w:spacing w:before="120" w:after="120" w:line="240" w:lineRule="atLeast"/>
              <w:ind w:left="880" w:hanging="180"/>
              <w:rPr>
                <w:rFonts w:cstheme="majorHAnsi"/>
                <w:sz w:val="20"/>
                <w:szCs w:val="20"/>
              </w:rPr>
            </w:pPr>
            <w:r w:rsidRPr="008458AB">
              <w:rPr>
                <w:rFonts w:cstheme="majorHAnsi"/>
                <w:sz w:val="20"/>
                <w:szCs w:val="20"/>
              </w:rPr>
              <w:t>Whether the registrant (or its subsidiary/affiliate) plans on continuing its relationship with Iran and Syria.</w:t>
            </w:r>
          </w:p>
        </w:tc>
        <w:tc>
          <w:tcPr>
            <w:tcW w:w="1247" w:type="dxa"/>
            <w:gridSpan w:val="2"/>
            <w:tcBorders>
              <w:top w:val="single" w:sz="4" w:space="0" w:color="auto"/>
            </w:tcBorders>
            <w:vAlign w:val="bottom"/>
          </w:tcPr>
          <w:p w14:paraId="686FFD6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B5988BA"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24DF0A6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7FA8CB99" w14:textId="77777777" w:rsidTr="4F4C4721">
        <w:tc>
          <w:tcPr>
            <w:tcW w:w="6574" w:type="dxa"/>
            <w:vAlign w:val="bottom"/>
          </w:tcPr>
          <w:p w14:paraId="61A9BC66" w14:textId="77777777" w:rsidR="002F4CED" w:rsidRPr="008458AB" w:rsidRDefault="002F4CED" w:rsidP="002F4CED">
            <w:pPr>
              <w:pStyle w:val="levelb"/>
              <w:widowControl w:val="0"/>
              <w:numPr>
                <w:ilvl w:val="0"/>
                <w:numId w:val="37"/>
              </w:numPr>
              <w:tabs>
                <w:tab w:val="clear" w:pos="576"/>
                <w:tab w:val="clear" w:pos="1152"/>
              </w:tabs>
              <w:spacing w:before="120" w:after="120" w:line="240" w:lineRule="atLeast"/>
              <w:rPr>
                <w:rFonts w:cstheme="majorHAnsi"/>
                <w:sz w:val="20"/>
                <w:szCs w:val="20"/>
              </w:rPr>
            </w:pPr>
            <w:r w:rsidRPr="008458AB">
              <w:rPr>
                <w:rFonts w:cstheme="majorHAnsi"/>
                <w:sz w:val="20"/>
                <w:szCs w:val="20"/>
              </w:rPr>
              <w:t>The registrant submitted the required IRANNOTICE form with the SEC.</w:t>
            </w:r>
          </w:p>
        </w:tc>
        <w:tc>
          <w:tcPr>
            <w:tcW w:w="1247" w:type="dxa"/>
            <w:gridSpan w:val="2"/>
            <w:tcBorders>
              <w:top w:val="single" w:sz="4" w:space="0" w:color="auto"/>
              <w:bottom w:val="single" w:sz="4" w:space="0" w:color="auto"/>
            </w:tcBorders>
            <w:vAlign w:val="bottom"/>
          </w:tcPr>
          <w:p w14:paraId="47AD8E23"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6832C2EF"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bottom w:val="single" w:sz="4" w:space="0" w:color="auto"/>
            </w:tcBorders>
            <w:vAlign w:val="bottom"/>
          </w:tcPr>
          <w:p w14:paraId="7E6D2C1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r w:rsidR="002F4CED" w:rsidRPr="008458AB" w14:paraId="43B9E17A" w14:textId="77777777" w:rsidTr="4F4C4721">
        <w:tc>
          <w:tcPr>
            <w:tcW w:w="6574" w:type="dxa"/>
            <w:vAlign w:val="bottom"/>
          </w:tcPr>
          <w:p w14:paraId="0997A6DE" w14:textId="039F13CD" w:rsidR="002F4CED" w:rsidRPr="008458AB" w:rsidRDefault="002F4CED" w:rsidP="002B76BB">
            <w:pPr>
              <w:pStyle w:val="levela"/>
              <w:widowControl w:val="0"/>
              <w:tabs>
                <w:tab w:val="clear" w:pos="576"/>
              </w:tabs>
              <w:spacing w:before="120" w:after="120" w:line="240" w:lineRule="atLeast"/>
              <w:ind w:left="250" w:firstLine="0"/>
              <w:rPr>
                <w:rFonts w:cstheme="majorHAnsi"/>
                <w:sz w:val="20"/>
                <w:szCs w:val="20"/>
              </w:rPr>
            </w:pPr>
            <w:r w:rsidRPr="008458AB">
              <w:rPr>
                <w:rFonts w:cstheme="majorHAnsi"/>
                <w:sz w:val="20"/>
                <w:szCs w:val="20"/>
              </w:rPr>
              <w:t xml:space="preserve">Refer to </w:t>
            </w:r>
            <w:hyperlink r:id="rId29" w:history="1">
              <w:r w:rsidR="00492C68" w:rsidRPr="00B13BFC">
                <w:rPr>
                  <w:rStyle w:val="Hyperlink"/>
                  <w:rFonts w:cstheme="majorHAnsi"/>
                  <w:sz w:val="20"/>
                  <w:szCs w:val="20"/>
                </w:rPr>
                <w:t>C&amp;DI 147.01</w:t>
              </w:r>
            </w:hyperlink>
            <w:r w:rsidRPr="008458AB">
              <w:rPr>
                <w:rFonts w:cstheme="majorHAnsi"/>
                <w:sz w:val="20"/>
                <w:szCs w:val="20"/>
              </w:rPr>
              <w:t xml:space="preserve"> regarding implementation guidance on Iran Threat Reduction and Syria Human Rights Act of 2012. </w:t>
            </w:r>
          </w:p>
        </w:tc>
        <w:tc>
          <w:tcPr>
            <w:tcW w:w="1247" w:type="dxa"/>
            <w:gridSpan w:val="2"/>
            <w:tcBorders>
              <w:top w:val="single" w:sz="4" w:space="0" w:color="auto"/>
            </w:tcBorders>
            <w:vAlign w:val="bottom"/>
          </w:tcPr>
          <w:p w14:paraId="19E956E9"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236" w:type="dxa"/>
            <w:vAlign w:val="bottom"/>
          </w:tcPr>
          <w:p w14:paraId="27B7EE54"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c>
          <w:tcPr>
            <w:tcW w:w="1303" w:type="dxa"/>
            <w:gridSpan w:val="2"/>
            <w:tcBorders>
              <w:top w:val="single" w:sz="4" w:space="0" w:color="auto"/>
            </w:tcBorders>
            <w:vAlign w:val="bottom"/>
          </w:tcPr>
          <w:p w14:paraId="563EE382" w14:textId="77777777" w:rsidR="002F4CED" w:rsidRPr="008458AB" w:rsidRDefault="002F4CED" w:rsidP="002F4CED">
            <w:pPr>
              <w:pStyle w:val="levela"/>
              <w:widowControl w:val="0"/>
              <w:spacing w:before="120" w:after="120" w:line="240" w:lineRule="atLeast"/>
              <w:ind w:left="0" w:firstLine="0"/>
              <w:rPr>
                <w:rFonts w:cstheme="majorHAnsi"/>
                <w:bCs/>
                <w:sz w:val="20"/>
                <w:szCs w:val="20"/>
              </w:rPr>
            </w:pPr>
          </w:p>
        </w:tc>
      </w:tr>
    </w:tbl>
    <w:p w14:paraId="16ACBB04" w14:textId="0A424B8E" w:rsidR="007800CD" w:rsidRDefault="007800CD" w:rsidP="00262606">
      <w:pPr>
        <w:pStyle w:val="Header"/>
        <w:widowControl w:val="0"/>
        <w:spacing w:before="120" w:after="120" w:line="240" w:lineRule="atLeast"/>
        <w:rPr>
          <w:rFonts w:asciiTheme="majorHAnsi" w:hAnsiTheme="majorHAnsi" w:cstheme="majorHAnsi"/>
          <w:sz w:val="18"/>
          <w:szCs w:val="18"/>
        </w:rPr>
      </w:pPr>
      <w:bookmarkStart w:id="15" w:name="_REVIEW_PROCEDURES"/>
      <w:bookmarkEnd w:id="15"/>
    </w:p>
    <w:p w14:paraId="2C594D78" w14:textId="77777777" w:rsidR="007800CD" w:rsidRDefault="007800CD">
      <w:pPr>
        <w:rPr>
          <w:rFonts w:asciiTheme="majorHAnsi" w:hAnsiTheme="majorHAnsi" w:cstheme="majorHAnsi"/>
          <w:sz w:val="18"/>
          <w:szCs w:val="18"/>
        </w:rPr>
      </w:pPr>
      <w:r>
        <w:rPr>
          <w:rFonts w:asciiTheme="majorHAnsi" w:hAnsiTheme="majorHAnsi" w:cstheme="majorHAnsi"/>
          <w:sz w:val="18"/>
          <w:szCs w:val="18"/>
        </w:rPr>
        <w:br w:type="page"/>
      </w:r>
    </w:p>
    <w:p w14:paraId="109048B7" w14:textId="77777777" w:rsidR="00002E9C" w:rsidRDefault="00002E9C" w:rsidP="00262606">
      <w:pPr>
        <w:pStyle w:val="Header"/>
        <w:widowControl w:val="0"/>
        <w:spacing w:before="120" w:after="120" w:line="240" w:lineRule="atLeast"/>
        <w:rPr>
          <w:rFonts w:asciiTheme="majorHAnsi" w:hAnsiTheme="majorHAnsi" w:cstheme="majorHAnsi"/>
          <w:sz w:val="18"/>
          <w:szCs w:val="18"/>
        </w:rPr>
      </w:pPr>
    </w:p>
    <w:p w14:paraId="4A9C7AA2" w14:textId="70196F04" w:rsidR="00D75D11" w:rsidRDefault="00D75D11" w:rsidP="00262606">
      <w:pPr>
        <w:pStyle w:val="Header"/>
        <w:widowControl w:val="0"/>
        <w:spacing w:before="120" w:after="120" w:line="240" w:lineRule="atLeast"/>
        <w:rPr>
          <w:rFonts w:asciiTheme="majorHAnsi" w:hAnsiTheme="majorHAnsi" w:cstheme="majorHAnsi"/>
          <w:sz w:val="18"/>
          <w:szCs w:val="18"/>
        </w:rPr>
      </w:pPr>
    </w:p>
    <w:p w14:paraId="5BC628FD" w14:textId="77777777" w:rsidR="00D75D11" w:rsidRPr="00430F08" w:rsidRDefault="00D75D11" w:rsidP="00D75D11">
      <w:pPr>
        <w:widowControl w:val="0"/>
        <w:tabs>
          <w:tab w:val="left" w:pos="459"/>
          <w:tab w:val="left" w:pos="460"/>
        </w:tabs>
        <w:autoSpaceDE w:val="0"/>
        <w:autoSpaceDN w:val="0"/>
        <w:spacing w:before="5280" w:after="120" w:line="240" w:lineRule="atLeast"/>
        <w:ind w:left="187" w:right="2520"/>
        <w:rPr>
          <w:rFonts w:cs="Calibri Light"/>
          <w:iCs/>
          <w:sz w:val="20"/>
          <w:szCs w:val="20"/>
        </w:rPr>
      </w:pPr>
      <w:r w:rsidRPr="00430F08">
        <w:rPr>
          <w:rFonts w:cs="Calibri Light"/>
          <w:iCs/>
          <w:noProof/>
          <w:sz w:val="20"/>
          <w:szCs w:val="20"/>
        </w:rPr>
        <w:drawing>
          <wp:inline distT="0" distB="0" distL="0" distR="0" wp14:anchorId="072F3279" wp14:editId="38B003EE">
            <wp:extent cx="1390911" cy="26035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DeloitteLogo.ti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06669" cy="263300"/>
                    </a:xfrm>
                    <a:prstGeom prst="rect">
                      <a:avLst/>
                    </a:prstGeom>
                  </pic:spPr>
                </pic:pic>
              </a:graphicData>
            </a:graphic>
          </wp:inline>
        </w:drawing>
      </w:r>
    </w:p>
    <w:p w14:paraId="5C1F5663" w14:textId="77777777" w:rsidR="00D75D11" w:rsidRPr="001C4BE9" w:rsidRDefault="00D75D11" w:rsidP="00D75D11">
      <w:pPr>
        <w:widowControl w:val="0"/>
        <w:tabs>
          <w:tab w:val="left" w:pos="459"/>
          <w:tab w:val="left" w:pos="460"/>
        </w:tabs>
        <w:autoSpaceDE w:val="0"/>
        <w:autoSpaceDN w:val="0"/>
        <w:spacing w:before="640" w:after="120" w:line="240" w:lineRule="atLeast"/>
        <w:ind w:left="187" w:right="2520"/>
        <w:rPr>
          <w:rFonts w:cs="Calibri Light"/>
          <w:iCs/>
          <w:sz w:val="16"/>
          <w:szCs w:val="16"/>
        </w:rPr>
      </w:pPr>
      <w:r w:rsidRPr="001C4BE9">
        <w:rPr>
          <w:rFonts w:cs="Calibri Light"/>
          <w:iCs/>
          <w:sz w:val="16"/>
          <w:szCs w:val="16"/>
        </w:rPr>
        <w:t>Deloitte</w:t>
      </w:r>
      <w:r w:rsidRPr="001C4BE9">
        <w:rPr>
          <w:rFonts w:cs="Calibri Light"/>
          <w:iCs/>
          <w:spacing w:val="-6"/>
          <w:sz w:val="16"/>
          <w:szCs w:val="16"/>
        </w:rPr>
        <w:t xml:space="preserve"> </w:t>
      </w:r>
      <w:r w:rsidRPr="001C4BE9">
        <w:rPr>
          <w:rFonts w:cs="Calibri Light"/>
          <w:iCs/>
          <w:sz w:val="16"/>
          <w:szCs w:val="16"/>
        </w:rPr>
        <w:t>refers</w:t>
      </w:r>
      <w:r w:rsidRPr="001C4BE9">
        <w:rPr>
          <w:rFonts w:cs="Calibri Light"/>
          <w:iCs/>
          <w:spacing w:val="-4"/>
          <w:sz w:val="16"/>
          <w:szCs w:val="16"/>
        </w:rPr>
        <w:t xml:space="preserve"> </w:t>
      </w:r>
      <w:r w:rsidRPr="001C4BE9">
        <w:rPr>
          <w:rFonts w:cs="Calibri Light"/>
          <w:iCs/>
          <w:sz w:val="16"/>
          <w:szCs w:val="16"/>
        </w:rPr>
        <w:t>to</w:t>
      </w:r>
      <w:r w:rsidRPr="001C4BE9">
        <w:rPr>
          <w:rFonts w:cs="Calibri Light"/>
          <w:iCs/>
          <w:spacing w:val="-4"/>
          <w:sz w:val="16"/>
          <w:szCs w:val="16"/>
        </w:rPr>
        <w:t xml:space="preserve"> </w:t>
      </w:r>
      <w:r w:rsidRPr="001C4BE9">
        <w:rPr>
          <w:rFonts w:cs="Calibri Light"/>
          <w:iCs/>
          <w:sz w:val="16"/>
          <w:szCs w:val="16"/>
        </w:rPr>
        <w:t>one</w:t>
      </w:r>
      <w:r w:rsidRPr="001C4BE9">
        <w:rPr>
          <w:rFonts w:cs="Calibri Light"/>
          <w:iCs/>
          <w:spacing w:val="-4"/>
          <w:sz w:val="16"/>
          <w:szCs w:val="16"/>
        </w:rPr>
        <w:t xml:space="preserve"> </w:t>
      </w:r>
      <w:r w:rsidRPr="001C4BE9">
        <w:rPr>
          <w:rFonts w:cs="Calibri Light"/>
          <w:iCs/>
          <w:sz w:val="16"/>
          <w:szCs w:val="16"/>
        </w:rPr>
        <w:t>or</w:t>
      </w:r>
      <w:r w:rsidRPr="001C4BE9">
        <w:rPr>
          <w:rFonts w:cs="Calibri Light"/>
          <w:iCs/>
          <w:spacing w:val="-4"/>
          <w:sz w:val="16"/>
          <w:szCs w:val="16"/>
        </w:rPr>
        <w:t xml:space="preserve"> </w:t>
      </w:r>
      <w:r w:rsidRPr="001C4BE9">
        <w:rPr>
          <w:rFonts w:cs="Calibri Light"/>
          <w:iCs/>
          <w:sz w:val="16"/>
          <w:szCs w:val="16"/>
        </w:rPr>
        <w:t>more</w:t>
      </w:r>
      <w:r w:rsidRPr="001C4BE9">
        <w:rPr>
          <w:rFonts w:cs="Calibri Light"/>
          <w:iCs/>
          <w:spacing w:val="-4"/>
          <w:sz w:val="16"/>
          <w:szCs w:val="16"/>
        </w:rPr>
        <w:t xml:space="preserve"> </w:t>
      </w:r>
      <w:r w:rsidRPr="001C4BE9">
        <w:rPr>
          <w:rFonts w:cs="Calibri Light"/>
          <w:iCs/>
          <w:sz w:val="16"/>
          <w:szCs w:val="16"/>
        </w:rPr>
        <w:t>of</w:t>
      </w:r>
      <w:r w:rsidRPr="001C4BE9">
        <w:rPr>
          <w:rFonts w:cs="Calibri Light"/>
          <w:iCs/>
          <w:spacing w:val="-5"/>
          <w:sz w:val="16"/>
          <w:szCs w:val="16"/>
        </w:rPr>
        <w:t xml:space="preserve"> </w:t>
      </w:r>
      <w:r w:rsidRPr="001C4BE9">
        <w:rPr>
          <w:rFonts w:cs="Calibri Light"/>
          <w:iCs/>
          <w:sz w:val="16"/>
          <w:szCs w:val="16"/>
        </w:rPr>
        <w:t>Deloitte</w:t>
      </w:r>
      <w:r w:rsidRPr="001C4BE9">
        <w:rPr>
          <w:rFonts w:cs="Calibri Light"/>
          <w:iCs/>
          <w:spacing w:val="-6"/>
          <w:sz w:val="16"/>
          <w:szCs w:val="16"/>
        </w:rPr>
        <w:t xml:space="preserve"> </w:t>
      </w:r>
      <w:r w:rsidRPr="001C4BE9">
        <w:rPr>
          <w:rFonts w:cs="Calibri Light"/>
          <w:iCs/>
          <w:sz w:val="16"/>
          <w:szCs w:val="16"/>
        </w:rPr>
        <w:t>Touche</w:t>
      </w:r>
      <w:r w:rsidRPr="001C4BE9">
        <w:rPr>
          <w:rFonts w:cs="Calibri Light"/>
          <w:iCs/>
          <w:spacing w:val="-4"/>
          <w:sz w:val="16"/>
          <w:szCs w:val="16"/>
        </w:rPr>
        <w:t xml:space="preserve"> </w:t>
      </w:r>
      <w:r w:rsidRPr="001C4BE9">
        <w:rPr>
          <w:rFonts w:cs="Calibri Light"/>
          <w:iCs/>
          <w:sz w:val="16"/>
          <w:szCs w:val="16"/>
        </w:rPr>
        <w:t>Tohmatsu</w:t>
      </w:r>
      <w:r w:rsidRPr="001C4BE9">
        <w:rPr>
          <w:rFonts w:cs="Calibri Light"/>
          <w:iCs/>
          <w:spacing w:val="-4"/>
          <w:sz w:val="16"/>
          <w:szCs w:val="16"/>
        </w:rPr>
        <w:t xml:space="preserve"> </w:t>
      </w:r>
      <w:r w:rsidRPr="001C4BE9">
        <w:rPr>
          <w:rFonts w:cs="Calibri Light"/>
          <w:iCs/>
          <w:sz w:val="16"/>
          <w:szCs w:val="16"/>
        </w:rPr>
        <w:t>Limited (“DTTL”), its global network of member firms, and their related entities (collectively, the “Deloitte organization”).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w:t>
      </w:r>
      <w:r w:rsidRPr="001C4BE9">
        <w:rPr>
          <w:rFonts w:cs="Calibri Light"/>
          <w:iCs/>
          <w:spacing w:val="-7"/>
          <w:sz w:val="16"/>
          <w:szCs w:val="16"/>
        </w:rPr>
        <w:t xml:space="preserve"> </w:t>
      </w:r>
      <w:r w:rsidRPr="001C4BE9">
        <w:rPr>
          <w:rFonts w:cs="Calibri Light"/>
          <w:iCs/>
          <w:sz w:val="16"/>
          <w:szCs w:val="16"/>
        </w:rPr>
        <w:t>to</w:t>
      </w:r>
      <w:r w:rsidRPr="001C4BE9">
        <w:rPr>
          <w:rFonts w:cs="Calibri Light"/>
          <w:iCs/>
          <w:spacing w:val="-2"/>
          <w:sz w:val="16"/>
          <w:szCs w:val="16"/>
        </w:rPr>
        <w:t xml:space="preserve"> </w:t>
      </w:r>
      <w:r w:rsidRPr="001C4BE9">
        <w:rPr>
          <w:rFonts w:cs="Calibri Light"/>
          <w:iCs/>
          <w:sz w:val="16"/>
          <w:szCs w:val="16"/>
        </w:rPr>
        <w:t>clients.</w:t>
      </w:r>
      <w:r w:rsidRPr="001C4BE9">
        <w:rPr>
          <w:rFonts w:cs="Calibri Light"/>
          <w:iCs/>
          <w:spacing w:val="-9"/>
          <w:sz w:val="16"/>
          <w:szCs w:val="16"/>
        </w:rPr>
        <w:t xml:space="preserve"> </w:t>
      </w:r>
      <w:r w:rsidRPr="001C4BE9">
        <w:rPr>
          <w:rFonts w:cs="Calibri Light"/>
          <w:iCs/>
          <w:sz w:val="16"/>
          <w:szCs w:val="16"/>
        </w:rPr>
        <w:t>Please</w:t>
      </w:r>
      <w:r w:rsidRPr="001C4BE9">
        <w:rPr>
          <w:rFonts w:cs="Calibri Light"/>
          <w:iCs/>
          <w:spacing w:val="-7"/>
          <w:sz w:val="16"/>
          <w:szCs w:val="16"/>
        </w:rPr>
        <w:t xml:space="preserve"> </w:t>
      </w:r>
      <w:r w:rsidRPr="001C4BE9">
        <w:rPr>
          <w:rFonts w:cs="Calibri Light"/>
          <w:iCs/>
          <w:sz w:val="16"/>
          <w:szCs w:val="16"/>
        </w:rPr>
        <w:t>see</w:t>
      </w:r>
      <w:r w:rsidRPr="001C4BE9">
        <w:rPr>
          <w:rFonts w:cs="Calibri Light"/>
          <w:iCs/>
          <w:spacing w:val="-3"/>
          <w:sz w:val="16"/>
          <w:szCs w:val="16"/>
        </w:rPr>
        <w:t xml:space="preserve"> </w:t>
      </w:r>
      <w:hyperlink r:id="rId31">
        <w:r w:rsidRPr="001C4BE9">
          <w:rPr>
            <w:rFonts w:cs="Calibri Light"/>
            <w:iCs/>
            <w:sz w:val="16"/>
            <w:szCs w:val="16"/>
          </w:rPr>
          <w:t>www.deloitte.com/about</w:t>
        </w:r>
        <w:r w:rsidRPr="001C4BE9">
          <w:rPr>
            <w:rFonts w:cs="Calibri Light"/>
            <w:iCs/>
            <w:spacing w:val="-12"/>
            <w:sz w:val="16"/>
            <w:szCs w:val="16"/>
          </w:rPr>
          <w:t xml:space="preserve"> </w:t>
        </w:r>
      </w:hyperlink>
      <w:r w:rsidRPr="001C4BE9">
        <w:rPr>
          <w:rFonts w:cs="Calibri Light"/>
          <w:iCs/>
          <w:sz w:val="16"/>
          <w:szCs w:val="16"/>
        </w:rPr>
        <w:t>to</w:t>
      </w:r>
      <w:r w:rsidRPr="001C4BE9">
        <w:rPr>
          <w:rFonts w:cs="Calibri Light"/>
          <w:iCs/>
          <w:spacing w:val="-3"/>
          <w:sz w:val="16"/>
          <w:szCs w:val="16"/>
        </w:rPr>
        <w:t xml:space="preserve"> </w:t>
      </w:r>
      <w:r w:rsidRPr="001C4BE9">
        <w:rPr>
          <w:rFonts w:cs="Calibri Light"/>
          <w:iCs/>
          <w:sz w:val="16"/>
          <w:szCs w:val="16"/>
        </w:rPr>
        <w:t>learn</w:t>
      </w:r>
      <w:r w:rsidRPr="001C4BE9">
        <w:rPr>
          <w:rFonts w:cs="Calibri Light"/>
          <w:iCs/>
          <w:spacing w:val="-5"/>
          <w:sz w:val="16"/>
          <w:szCs w:val="16"/>
        </w:rPr>
        <w:t xml:space="preserve"> </w:t>
      </w:r>
      <w:r w:rsidRPr="001C4BE9">
        <w:rPr>
          <w:rFonts w:cs="Calibri Light"/>
          <w:iCs/>
          <w:sz w:val="16"/>
          <w:szCs w:val="16"/>
        </w:rPr>
        <w:t>more.</w:t>
      </w:r>
    </w:p>
    <w:p w14:paraId="3942040F" w14:textId="77777777" w:rsidR="00D75D11" w:rsidRPr="001C4BE9" w:rsidRDefault="00D75D11" w:rsidP="00D75D11">
      <w:pPr>
        <w:widowControl w:val="0"/>
        <w:tabs>
          <w:tab w:val="left" w:pos="459"/>
          <w:tab w:val="left" w:pos="460"/>
        </w:tabs>
        <w:autoSpaceDE w:val="0"/>
        <w:autoSpaceDN w:val="0"/>
        <w:spacing w:after="120" w:line="240" w:lineRule="atLeast"/>
        <w:ind w:left="187" w:right="2520"/>
        <w:rPr>
          <w:rFonts w:cs="Calibri Light"/>
          <w:iCs/>
          <w:sz w:val="16"/>
          <w:szCs w:val="16"/>
        </w:rPr>
      </w:pPr>
      <w:r w:rsidRPr="001C4BE9">
        <w:rPr>
          <w:rFonts w:cs="Calibri Light"/>
          <w:iCs/>
          <w:sz w:val="16"/>
          <w:szCs w:val="16"/>
        </w:rPr>
        <w:t>Deloitte is a leading global provider of audit and assurance, consulting, financial advisory, risk advisory, tax and related services. Our</w:t>
      </w:r>
      <w:r w:rsidRPr="001C4BE9">
        <w:rPr>
          <w:rFonts w:cs="Calibri Light"/>
          <w:iCs/>
          <w:spacing w:val="-5"/>
          <w:sz w:val="16"/>
          <w:szCs w:val="16"/>
        </w:rPr>
        <w:t xml:space="preserve"> </w:t>
      </w:r>
      <w:r w:rsidRPr="001C4BE9">
        <w:rPr>
          <w:rFonts w:cs="Calibri Light"/>
          <w:iCs/>
          <w:sz w:val="16"/>
          <w:szCs w:val="16"/>
        </w:rPr>
        <w:t>global</w:t>
      </w:r>
      <w:r w:rsidRPr="001C4BE9">
        <w:rPr>
          <w:rFonts w:cs="Calibri Light"/>
          <w:iCs/>
          <w:spacing w:val="-8"/>
          <w:sz w:val="16"/>
          <w:szCs w:val="16"/>
        </w:rPr>
        <w:t xml:space="preserve"> </w:t>
      </w:r>
      <w:r w:rsidRPr="001C4BE9">
        <w:rPr>
          <w:rFonts w:cs="Calibri Light"/>
          <w:iCs/>
          <w:sz w:val="16"/>
          <w:szCs w:val="16"/>
        </w:rPr>
        <w:t>network</w:t>
      </w:r>
      <w:r w:rsidRPr="001C4BE9">
        <w:rPr>
          <w:rFonts w:cs="Calibri Light"/>
          <w:iCs/>
          <w:spacing w:val="-4"/>
          <w:sz w:val="16"/>
          <w:szCs w:val="16"/>
        </w:rPr>
        <w:t xml:space="preserve"> </w:t>
      </w:r>
      <w:r w:rsidRPr="001C4BE9">
        <w:rPr>
          <w:rFonts w:cs="Calibri Light"/>
          <w:iCs/>
          <w:sz w:val="16"/>
          <w:szCs w:val="16"/>
        </w:rPr>
        <w:t>of</w:t>
      </w:r>
      <w:r w:rsidRPr="001C4BE9">
        <w:rPr>
          <w:rFonts w:cs="Calibri Light"/>
          <w:iCs/>
          <w:spacing w:val="-6"/>
          <w:sz w:val="16"/>
          <w:szCs w:val="16"/>
        </w:rPr>
        <w:t xml:space="preserve"> </w:t>
      </w:r>
      <w:r w:rsidRPr="001C4BE9">
        <w:rPr>
          <w:rFonts w:cs="Calibri Light"/>
          <w:iCs/>
          <w:sz w:val="16"/>
          <w:szCs w:val="16"/>
        </w:rPr>
        <w:t>member</w:t>
      </w:r>
      <w:r w:rsidRPr="001C4BE9">
        <w:rPr>
          <w:rFonts w:cs="Calibri Light"/>
          <w:iCs/>
          <w:spacing w:val="-8"/>
          <w:sz w:val="16"/>
          <w:szCs w:val="16"/>
        </w:rPr>
        <w:t xml:space="preserve"> </w:t>
      </w:r>
      <w:r w:rsidRPr="001C4BE9">
        <w:rPr>
          <w:rFonts w:cs="Calibri Light"/>
          <w:iCs/>
          <w:sz w:val="16"/>
          <w:szCs w:val="16"/>
        </w:rPr>
        <w:t>firms</w:t>
      </w:r>
      <w:r w:rsidRPr="001C4BE9">
        <w:rPr>
          <w:rFonts w:cs="Calibri Light"/>
          <w:iCs/>
          <w:spacing w:val="-4"/>
          <w:sz w:val="16"/>
          <w:szCs w:val="16"/>
        </w:rPr>
        <w:t xml:space="preserve"> </w:t>
      </w:r>
      <w:r w:rsidRPr="001C4BE9">
        <w:rPr>
          <w:rFonts w:cs="Calibri Light"/>
          <w:iCs/>
          <w:sz w:val="16"/>
          <w:szCs w:val="16"/>
        </w:rPr>
        <w:t>and</w:t>
      </w:r>
      <w:r w:rsidRPr="001C4BE9">
        <w:rPr>
          <w:rFonts w:cs="Calibri Light"/>
          <w:iCs/>
          <w:spacing w:val="-4"/>
          <w:sz w:val="16"/>
          <w:szCs w:val="16"/>
        </w:rPr>
        <w:t xml:space="preserve"> </w:t>
      </w:r>
      <w:r w:rsidRPr="001C4BE9">
        <w:rPr>
          <w:rFonts w:cs="Calibri Light"/>
          <w:iCs/>
          <w:sz w:val="16"/>
          <w:szCs w:val="16"/>
        </w:rPr>
        <w:t>related</w:t>
      </w:r>
      <w:r w:rsidRPr="001C4BE9">
        <w:rPr>
          <w:rFonts w:cs="Calibri Light"/>
          <w:iCs/>
          <w:spacing w:val="-7"/>
          <w:sz w:val="16"/>
          <w:szCs w:val="16"/>
        </w:rPr>
        <w:t xml:space="preserve"> </w:t>
      </w:r>
      <w:r w:rsidRPr="001C4BE9">
        <w:rPr>
          <w:rFonts w:cs="Calibri Light"/>
          <w:iCs/>
          <w:sz w:val="16"/>
          <w:szCs w:val="16"/>
        </w:rPr>
        <w:t>entities</w:t>
      </w:r>
      <w:r w:rsidRPr="001C4BE9">
        <w:rPr>
          <w:rFonts w:cs="Calibri Light"/>
          <w:iCs/>
          <w:spacing w:val="-4"/>
          <w:sz w:val="16"/>
          <w:szCs w:val="16"/>
        </w:rPr>
        <w:t xml:space="preserve"> </w:t>
      </w:r>
      <w:r w:rsidRPr="001C4BE9">
        <w:rPr>
          <w:rFonts w:cs="Calibri Light"/>
          <w:iCs/>
          <w:sz w:val="16"/>
          <w:szCs w:val="16"/>
        </w:rPr>
        <w:t>in</w:t>
      </w:r>
      <w:r w:rsidRPr="001C4BE9">
        <w:rPr>
          <w:rFonts w:cs="Calibri Light"/>
          <w:iCs/>
          <w:spacing w:val="-5"/>
          <w:sz w:val="16"/>
          <w:szCs w:val="16"/>
        </w:rPr>
        <w:t xml:space="preserve"> </w:t>
      </w:r>
      <w:r w:rsidRPr="001C4BE9">
        <w:rPr>
          <w:rFonts w:cs="Calibri Light"/>
          <w:iCs/>
          <w:sz w:val="16"/>
          <w:szCs w:val="16"/>
        </w:rPr>
        <w:t>more</w:t>
      </w:r>
      <w:r w:rsidRPr="001C4BE9">
        <w:rPr>
          <w:rFonts w:cs="Calibri Light"/>
          <w:iCs/>
          <w:spacing w:val="-5"/>
          <w:sz w:val="16"/>
          <w:szCs w:val="16"/>
        </w:rPr>
        <w:t xml:space="preserve"> </w:t>
      </w:r>
      <w:r w:rsidRPr="001C4BE9">
        <w:rPr>
          <w:rFonts w:cs="Calibri Light"/>
          <w:iCs/>
          <w:sz w:val="16"/>
          <w:szCs w:val="16"/>
        </w:rPr>
        <w:t>than 150 countries</w:t>
      </w:r>
      <w:r w:rsidRPr="001C4BE9">
        <w:rPr>
          <w:rFonts w:cs="Calibri Light"/>
          <w:iCs/>
          <w:spacing w:val="-8"/>
          <w:sz w:val="16"/>
          <w:szCs w:val="16"/>
        </w:rPr>
        <w:t xml:space="preserve"> </w:t>
      </w:r>
      <w:r w:rsidRPr="001C4BE9">
        <w:rPr>
          <w:rFonts w:cs="Calibri Light"/>
          <w:iCs/>
          <w:sz w:val="16"/>
          <w:szCs w:val="16"/>
        </w:rPr>
        <w:t>and</w:t>
      </w:r>
      <w:r w:rsidRPr="001C4BE9">
        <w:rPr>
          <w:rFonts w:cs="Calibri Light"/>
          <w:iCs/>
          <w:spacing w:val="-6"/>
          <w:sz w:val="16"/>
          <w:szCs w:val="16"/>
        </w:rPr>
        <w:t xml:space="preserve"> </w:t>
      </w:r>
      <w:r w:rsidRPr="001C4BE9">
        <w:rPr>
          <w:rFonts w:cs="Calibri Light"/>
          <w:iCs/>
          <w:sz w:val="16"/>
          <w:szCs w:val="16"/>
        </w:rPr>
        <w:t>territories</w:t>
      </w:r>
      <w:r w:rsidRPr="001C4BE9">
        <w:rPr>
          <w:rFonts w:cs="Calibri Light"/>
          <w:iCs/>
          <w:spacing w:val="-5"/>
          <w:sz w:val="16"/>
          <w:szCs w:val="16"/>
        </w:rPr>
        <w:t xml:space="preserve"> </w:t>
      </w:r>
      <w:r w:rsidRPr="001C4BE9">
        <w:rPr>
          <w:rFonts w:cs="Calibri Light"/>
          <w:iCs/>
          <w:sz w:val="16"/>
          <w:szCs w:val="16"/>
        </w:rPr>
        <w:t>(collectively,</w:t>
      </w:r>
      <w:r w:rsidRPr="001C4BE9">
        <w:rPr>
          <w:rFonts w:cs="Calibri Light"/>
          <w:iCs/>
          <w:spacing w:val="-10"/>
          <w:sz w:val="16"/>
          <w:szCs w:val="16"/>
        </w:rPr>
        <w:t xml:space="preserve"> </w:t>
      </w:r>
      <w:r w:rsidRPr="001C4BE9">
        <w:rPr>
          <w:rFonts w:cs="Calibri Light"/>
          <w:iCs/>
          <w:sz w:val="16"/>
          <w:szCs w:val="16"/>
        </w:rPr>
        <w:t>the</w:t>
      </w:r>
      <w:r w:rsidRPr="001C4BE9">
        <w:rPr>
          <w:rFonts w:cs="Calibri Light"/>
          <w:iCs/>
          <w:spacing w:val="-5"/>
          <w:sz w:val="16"/>
          <w:szCs w:val="16"/>
        </w:rPr>
        <w:t xml:space="preserve"> </w:t>
      </w:r>
      <w:r w:rsidRPr="001C4BE9">
        <w:rPr>
          <w:rFonts w:cs="Calibri Light"/>
          <w:iCs/>
          <w:sz w:val="16"/>
          <w:szCs w:val="16"/>
        </w:rPr>
        <w:t>“Deloitte</w:t>
      </w:r>
      <w:r w:rsidRPr="001C4BE9">
        <w:rPr>
          <w:rFonts w:cs="Calibri Light"/>
          <w:iCs/>
          <w:spacing w:val="-8"/>
          <w:sz w:val="16"/>
          <w:szCs w:val="16"/>
        </w:rPr>
        <w:t xml:space="preserve"> </w:t>
      </w:r>
      <w:r w:rsidRPr="001C4BE9">
        <w:rPr>
          <w:rFonts w:cs="Calibri Light"/>
          <w:iCs/>
          <w:sz w:val="16"/>
          <w:szCs w:val="16"/>
        </w:rPr>
        <w:t>organization”) serves four out of five Fortune Global 500</w:t>
      </w:r>
      <w:r w:rsidRPr="001C4BE9">
        <w:rPr>
          <w:rFonts w:cs="Calibri Light"/>
          <w:iCs/>
          <w:sz w:val="16"/>
          <w:szCs w:val="16"/>
          <w:vertAlign w:val="superscript"/>
        </w:rPr>
        <w:t>®</w:t>
      </w:r>
      <w:r w:rsidRPr="001C4BE9">
        <w:rPr>
          <w:rFonts w:cs="Calibri Light"/>
          <w:iCs/>
          <w:sz w:val="16"/>
          <w:szCs w:val="16"/>
        </w:rPr>
        <w:t xml:space="preserve"> companies. Learn</w:t>
      </w:r>
      <w:r w:rsidRPr="001C4BE9">
        <w:rPr>
          <w:rFonts w:cs="Calibri Light"/>
          <w:iCs/>
          <w:spacing w:val="-29"/>
          <w:sz w:val="16"/>
          <w:szCs w:val="16"/>
        </w:rPr>
        <w:t xml:space="preserve"> </w:t>
      </w:r>
      <w:r w:rsidRPr="001C4BE9">
        <w:rPr>
          <w:rFonts w:cs="Calibri Light"/>
          <w:iCs/>
          <w:sz w:val="16"/>
          <w:szCs w:val="16"/>
        </w:rPr>
        <w:t xml:space="preserve">how Deloitte’s approximately 330,000 people make an impact that matters at </w:t>
      </w:r>
      <w:hyperlink r:id="rId32">
        <w:r w:rsidRPr="001C4BE9">
          <w:rPr>
            <w:rStyle w:val="Hyperlink"/>
            <w:sz w:val="16"/>
            <w:szCs w:val="18"/>
          </w:rPr>
          <w:t>www.deloitte.com</w:t>
        </w:r>
      </w:hyperlink>
      <w:r w:rsidRPr="001C4BE9">
        <w:rPr>
          <w:rFonts w:cs="Calibri Light"/>
          <w:iCs/>
          <w:sz w:val="16"/>
          <w:szCs w:val="16"/>
        </w:rPr>
        <w:t>.</w:t>
      </w:r>
    </w:p>
    <w:p w14:paraId="34A28319" w14:textId="77777777" w:rsidR="00D75D11" w:rsidRPr="001C4BE9" w:rsidRDefault="00D75D11" w:rsidP="00D75D11">
      <w:pPr>
        <w:widowControl w:val="0"/>
        <w:tabs>
          <w:tab w:val="left" w:pos="571"/>
          <w:tab w:val="left" w:pos="572"/>
        </w:tabs>
        <w:autoSpaceDE w:val="0"/>
        <w:autoSpaceDN w:val="0"/>
        <w:spacing w:after="120" w:line="240" w:lineRule="atLeast"/>
        <w:ind w:left="187" w:right="2520"/>
        <w:rPr>
          <w:rFonts w:cs="Calibri Light"/>
          <w:iCs/>
          <w:sz w:val="16"/>
          <w:szCs w:val="16"/>
        </w:rPr>
      </w:pPr>
      <w:r w:rsidRPr="001C4BE9">
        <w:rPr>
          <w:rFonts w:cs="Calibri Light"/>
          <w:iCs/>
          <w:sz w:val="16"/>
          <w:szCs w:val="16"/>
        </w:rPr>
        <w:t>This communication and any attachment to it is for internal distribution</w:t>
      </w:r>
      <w:r w:rsidRPr="001C4BE9">
        <w:rPr>
          <w:rFonts w:cs="Calibri Light"/>
          <w:iCs/>
          <w:spacing w:val="-8"/>
          <w:sz w:val="16"/>
          <w:szCs w:val="16"/>
        </w:rPr>
        <w:t xml:space="preserve"> </w:t>
      </w:r>
      <w:r w:rsidRPr="001C4BE9">
        <w:rPr>
          <w:rFonts w:cs="Calibri Light"/>
          <w:iCs/>
          <w:sz w:val="16"/>
          <w:szCs w:val="16"/>
        </w:rPr>
        <w:t>among</w:t>
      </w:r>
      <w:r w:rsidRPr="001C4BE9">
        <w:rPr>
          <w:rFonts w:cs="Calibri Light"/>
          <w:iCs/>
          <w:spacing w:val="-8"/>
          <w:sz w:val="16"/>
          <w:szCs w:val="16"/>
        </w:rPr>
        <w:t xml:space="preserve"> </w:t>
      </w:r>
      <w:r w:rsidRPr="001C4BE9">
        <w:rPr>
          <w:rFonts w:cs="Calibri Light"/>
          <w:iCs/>
          <w:sz w:val="16"/>
          <w:szCs w:val="16"/>
        </w:rPr>
        <w:t>personnel</w:t>
      </w:r>
      <w:r w:rsidRPr="001C4BE9">
        <w:rPr>
          <w:rFonts w:cs="Calibri Light"/>
          <w:iCs/>
          <w:spacing w:val="-9"/>
          <w:sz w:val="16"/>
          <w:szCs w:val="16"/>
        </w:rPr>
        <w:t xml:space="preserve"> </w:t>
      </w:r>
      <w:r w:rsidRPr="001C4BE9">
        <w:rPr>
          <w:rFonts w:cs="Calibri Light"/>
          <w:iCs/>
          <w:sz w:val="16"/>
          <w:szCs w:val="16"/>
        </w:rPr>
        <w:t>of</w:t>
      </w:r>
      <w:r w:rsidRPr="001C4BE9">
        <w:rPr>
          <w:rFonts w:cs="Calibri Light"/>
          <w:iCs/>
          <w:spacing w:val="-6"/>
          <w:sz w:val="16"/>
          <w:szCs w:val="16"/>
        </w:rPr>
        <w:t xml:space="preserve"> </w:t>
      </w:r>
      <w:r w:rsidRPr="001C4BE9">
        <w:rPr>
          <w:rFonts w:cs="Calibri Light"/>
          <w:iCs/>
          <w:sz w:val="16"/>
          <w:szCs w:val="16"/>
        </w:rPr>
        <w:t>Deloitte</w:t>
      </w:r>
      <w:r w:rsidRPr="001C4BE9">
        <w:rPr>
          <w:rFonts w:cs="Calibri Light"/>
          <w:iCs/>
          <w:spacing w:val="-7"/>
          <w:sz w:val="16"/>
          <w:szCs w:val="16"/>
        </w:rPr>
        <w:t xml:space="preserve"> </w:t>
      </w:r>
      <w:r w:rsidRPr="001C4BE9">
        <w:rPr>
          <w:rFonts w:cs="Calibri Light"/>
          <w:iCs/>
          <w:sz w:val="16"/>
          <w:szCs w:val="16"/>
        </w:rPr>
        <w:t>Touche</w:t>
      </w:r>
      <w:r w:rsidRPr="001C4BE9">
        <w:rPr>
          <w:rFonts w:cs="Calibri Light"/>
          <w:iCs/>
          <w:spacing w:val="-6"/>
          <w:sz w:val="16"/>
          <w:szCs w:val="16"/>
        </w:rPr>
        <w:t xml:space="preserve"> </w:t>
      </w:r>
      <w:r w:rsidRPr="001C4BE9">
        <w:rPr>
          <w:rFonts w:cs="Calibri Light"/>
          <w:iCs/>
          <w:sz w:val="16"/>
          <w:szCs w:val="16"/>
        </w:rPr>
        <w:t>Tohmatsu</w:t>
      </w:r>
      <w:r w:rsidRPr="001C4BE9">
        <w:rPr>
          <w:rFonts w:cs="Calibri Light"/>
          <w:iCs/>
          <w:spacing w:val="-6"/>
          <w:sz w:val="16"/>
          <w:szCs w:val="16"/>
        </w:rPr>
        <w:t xml:space="preserve"> </w:t>
      </w:r>
      <w:r w:rsidRPr="001C4BE9">
        <w:rPr>
          <w:rFonts w:cs="Calibri Light"/>
          <w:iCs/>
          <w:sz w:val="16"/>
          <w:szCs w:val="16"/>
        </w:rPr>
        <w:t>Limited (“DTTL”),</w:t>
      </w:r>
      <w:r w:rsidRPr="001C4BE9">
        <w:rPr>
          <w:rFonts w:cs="Calibri Light"/>
          <w:iCs/>
          <w:spacing w:val="-2"/>
          <w:sz w:val="16"/>
          <w:szCs w:val="16"/>
        </w:rPr>
        <w:t xml:space="preserve"> </w:t>
      </w:r>
      <w:r w:rsidRPr="001C4BE9">
        <w:rPr>
          <w:rFonts w:cs="Calibri Light"/>
          <w:iCs/>
          <w:sz w:val="16"/>
          <w:szCs w:val="16"/>
        </w:rPr>
        <w:t>its</w:t>
      </w:r>
      <w:r w:rsidRPr="001C4BE9">
        <w:rPr>
          <w:rFonts w:cs="Calibri Light"/>
          <w:iCs/>
          <w:spacing w:val="-2"/>
          <w:sz w:val="16"/>
          <w:szCs w:val="16"/>
        </w:rPr>
        <w:t xml:space="preserve"> </w:t>
      </w:r>
      <w:r w:rsidRPr="001C4BE9">
        <w:rPr>
          <w:rFonts w:cs="Calibri Light"/>
          <w:iCs/>
          <w:sz w:val="16"/>
          <w:szCs w:val="16"/>
        </w:rPr>
        <w:t>global</w:t>
      </w:r>
      <w:r w:rsidRPr="001C4BE9">
        <w:rPr>
          <w:rFonts w:cs="Calibri Light"/>
          <w:iCs/>
          <w:spacing w:val="-7"/>
          <w:sz w:val="16"/>
          <w:szCs w:val="16"/>
        </w:rPr>
        <w:t xml:space="preserve"> </w:t>
      </w:r>
      <w:r w:rsidRPr="001C4BE9">
        <w:rPr>
          <w:rFonts w:cs="Calibri Light"/>
          <w:iCs/>
          <w:sz w:val="16"/>
          <w:szCs w:val="16"/>
        </w:rPr>
        <w:t>network</w:t>
      </w:r>
      <w:r w:rsidRPr="001C4BE9">
        <w:rPr>
          <w:rFonts w:cs="Calibri Light"/>
          <w:iCs/>
          <w:spacing w:val="-3"/>
          <w:sz w:val="16"/>
          <w:szCs w:val="16"/>
        </w:rPr>
        <w:t xml:space="preserve"> </w:t>
      </w:r>
      <w:r w:rsidRPr="001C4BE9">
        <w:rPr>
          <w:rFonts w:cs="Calibri Light"/>
          <w:iCs/>
          <w:sz w:val="16"/>
          <w:szCs w:val="16"/>
        </w:rPr>
        <w:t>of</w:t>
      </w:r>
      <w:r w:rsidRPr="001C4BE9">
        <w:rPr>
          <w:rFonts w:cs="Calibri Light"/>
          <w:iCs/>
          <w:spacing w:val="-5"/>
          <w:sz w:val="16"/>
          <w:szCs w:val="16"/>
        </w:rPr>
        <w:t xml:space="preserve"> </w:t>
      </w:r>
      <w:r w:rsidRPr="001C4BE9">
        <w:rPr>
          <w:rFonts w:cs="Calibri Light"/>
          <w:iCs/>
          <w:sz w:val="16"/>
          <w:szCs w:val="16"/>
        </w:rPr>
        <w:t>member</w:t>
      </w:r>
      <w:r w:rsidRPr="001C4BE9">
        <w:rPr>
          <w:rFonts w:cs="Calibri Light"/>
          <w:iCs/>
          <w:spacing w:val="-8"/>
          <w:sz w:val="16"/>
          <w:szCs w:val="16"/>
        </w:rPr>
        <w:t xml:space="preserve"> </w:t>
      </w:r>
      <w:r w:rsidRPr="001C4BE9">
        <w:rPr>
          <w:rFonts w:cs="Calibri Light"/>
          <w:iCs/>
          <w:sz w:val="16"/>
          <w:szCs w:val="16"/>
        </w:rPr>
        <w:t>firms</w:t>
      </w:r>
      <w:r w:rsidRPr="001C4BE9">
        <w:rPr>
          <w:rFonts w:cs="Calibri Light"/>
          <w:iCs/>
          <w:spacing w:val="-2"/>
          <w:sz w:val="16"/>
          <w:szCs w:val="16"/>
        </w:rPr>
        <w:t xml:space="preserve"> </w:t>
      </w:r>
      <w:r w:rsidRPr="001C4BE9">
        <w:rPr>
          <w:rFonts w:cs="Calibri Light"/>
          <w:iCs/>
          <w:sz w:val="16"/>
          <w:szCs w:val="16"/>
        </w:rPr>
        <w:t>and</w:t>
      </w:r>
      <w:r w:rsidRPr="001C4BE9">
        <w:rPr>
          <w:rFonts w:cs="Calibri Light"/>
          <w:iCs/>
          <w:spacing w:val="-4"/>
          <w:sz w:val="16"/>
          <w:szCs w:val="16"/>
        </w:rPr>
        <w:t xml:space="preserve"> </w:t>
      </w:r>
      <w:r w:rsidRPr="001C4BE9">
        <w:rPr>
          <w:rFonts w:cs="Calibri Light"/>
          <w:iCs/>
          <w:sz w:val="16"/>
          <w:szCs w:val="16"/>
        </w:rPr>
        <w:t>their</w:t>
      </w:r>
      <w:r w:rsidRPr="001C4BE9">
        <w:rPr>
          <w:rFonts w:cs="Calibri Light"/>
          <w:iCs/>
          <w:spacing w:val="-6"/>
          <w:sz w:val="16"/>
          <w:szCs w:val="16"/>
        </w:rPr>
        <w:t xml:space="preserve"> </w:t>
      </w:r>
      <w:r w:rsidRPr="001C4BE9">
        <w:rPr>
          <w:rFonts w:cs="Calibri Light"/>
          <w:iCs/>
          <w:sz w:val="16"/>
          <w:szCs w:val="16"/>
        </w:rPr>
        <w:t>related entities (collectively, the “Deloitte organization”). It may contain confidential information and is intended solely for the use of the individual or entity to whom it is addressed. If you are not the intended recipient, please notify us immediately and then delete this communication and all copies of it on your system. Please do not use this communication in any way.</w:t>
      </w:r>
    </w:p>
    <w:p w14:paraId="598C3324" w14:textId="77777777" w:rsidR="00D75D11" w:rsidRPr="001C4BE9" w:rsidRDefault="00D75D11" w:rsidP="00D75D11">
      <w:pPr>
        <w:spacing w:after="120" w:line="240" w:lineRule="atLeast"/>
        <w:ind w:left="187" w:right="2520"/>
        <w:rPr>
          <w:rFonts w:cs="Calibri Light"/>
          <w:iCs/>
          <w:sz w:val="16"/>
          <w:szCs w:val="16"/>
        </w:rPr>
      </w:pPr>
      <w:r w:rsidRPr="001C4BE9">
        <w:rPr>
          <w:rFonts w:cs="Calibri Light"/>
          <w:iCs/>
          <w:sz w:val="16"/>
          <w:szCs w:val="16"/>
        </w:rPr>
        <w:t>None</w:t>
      </w:r>
      <w:r w:rsidRPr="001C4BE9">
        <w:rPr>
          <w:rFonts w:cs="Calibri Light"/>
          <w:iCs/>
          <w:spacing w:val="-6"/>
          <w:sz w:val="16"/>
          <w:szCs w:val="16"/>
        </w:rPr>
        <w:t xml:space="preserve"> </w:t>
      </w:r>
      <w:r w:rsidRPr="001C4BE9">
        <w:rPr>
          <w:rFonts w:cs="Calibri Light"/>
          <w:iCs/>
          <w:sz w:val="16"/>
          <w:szCs w:val="16"/>
        </w:rPr>
        <w:t>of</w:t>
      </w:r>
      <w:r w:rsidRPr="001C4BE9">
        <w:rPr>
          <w:rFonts w:cs="Calibri Light"/>
          <w:iCs/>
          <w:spacing w:val="-6"/>
          <w:sz w:val="16"/>
          <w:szCs w:val="16"/>
        </w:rPr>
        <w:t xml:space="preserve"> </w:t>
      </w:r>
      <w:r w:rsidRPr="001C4BE9">
        <w:rPr>
          <w:rFonts w:cs="Calibri Light"/>
          <w:iCs/>
          <w:sz w:val="16"/>
          <w:szCs w:val="16"/>
        </w:rPr>
        <w:t>DTTL,</w:t>
      </w:r>
      <w:r w:rsidRPr="001C4BE9">
        <w:rPr>
          <w:rFonts w:cs="Calibri Light"/>
          <w:iCs/>
          <w:spacing w:val="2"/>
          <w:sz w:val="16"/>
          <w:szCs w:val="16"/>
        </w:rPr>
        <w:t xml:space="preserve"> </w:t>
      </w:r>
      <w:r w:rsidRPr="001C4BE9">
        <w:rPr>
          <w:rFonts w:cs="Calibri Light"/>
          <w:iCs/>
          <w:sz w:val="16"/>
          <w:szCs w:val="16"/>
        </w:rPr>
        <w:t>its</w:t>
      </w:r>
      <w:r w:rsidRPr="001C4BE9">
        <w:rPr>
          <w:rFonts w:cs="Calibri Light"/>
          <w:iCs/>
          <w:spacing w:val="-3"/>
          <w:sz w:val="16"/>
          <w:szCs w:val="16"/>
        </w:rPr>
        <w:t xml:space="preserve"> </w:t>
      </w:r>
      <w:r w:rsidRPr="001C4BE9">
        <w:rPr>
          <w:rFonts w:cs="Calibri Light"/>
          <w:iCs/>
          <w:sz w:val="16"/>
          <w:szCs w:val="16"/>
        </w:rPr>
        <w:t>member</w:t>
      </w:r>
      <w:r w:rsidRPr="001C4BE9">
        <w:rPr>
          <w:rFonts w:cs="Calibri Light"/>
          <w:iCs/>
          <w:spacing w:val="-9"/>
          <w:sz w:val="16"/>
          <w:szCs w:val="16"/>
        </w:rPr>
        <w:t xml:space="preserve"> </w:t>
      </w:r>
      <w:r w:rsidRPr="001C4BE9">
        <w:rPr>
          <w:rFonts w:cs="Calibri Light"/>
          <w:iCs/>
          <w:sz w:val="16"/>
          <w:szCs w:val="16"/>
        </w:rPr>
        <w:t>firms,</w:t>
      </w:r>
      <w:r w:rsidRPr="001C4BE9">
        <w:rPr>
          <w:rFonts w:cs="Calibri Light"/>
          <w:iCs/>
          <w:spacing w:val="-5"/>
          <w:sz w:val="16"/>
          <w:szCs w:val="16"/>
        </w:rPr>
        <w:t xml:space="preserve"> </w:t>
      </w:r>
      <w:r w:rsidRPr="001C4BE9">
        <w:rPr>
          <w:rFonts w:cs="Calibri Light"/>
          <w:iCs/>
          <w:sz w:val="16"/>
          <w:szCs w:val="16"/>
        </w:rPr>
        <w:t>related</w:t>
      </w:r>
      <w:r w:rsidRPr="001C4BE9">
        <w:rPr>
          <w:rFonts w:cs="Calibri Light"/>
          <w:iCs/>
          <w:spacing w:val="-7"/>
          <w:sz w:val="16"/>
          <w:szCs w:val="16"/>
        </w:rPr>
        <w:t xml:space="preserve"> </w:t>
      </w:r>
      <w:r w:rsidRPr="001C4BE9">
        <w:rPr>
          <w:rFonts w:cs="Calibri Light"/>
          <w:iCs/>
          <w:sz w:val="16"/>
          <w:szCs w:val="16"/>
        </w:rPr>
        <w:t>entities,</w:t>
      </w:r>
      <w:r w:rsidRPr="001C4BE9">
        <w:rPr>
          <w:rFonts w:cs="Calibri Light"/>
          <w:iCs/>
          <w:spacing w:val="-5"/>
          <w:sz w:val="16"/>
          <w:szCs w:val="16"/>
        </w:rPr>
        <w:t xml:space="preserve"> </w:t>
      </w:r>
      <w:r w:rsidRPr="001C4BE9">
        <w:rPr>
          <w:rFonts w:cs="Calibri Light"/>
          <w:iCs/>
          <w:sz w:val="16"/>
          <w:szCs w:val="16"/>
        </w:rPr>
        <w:t>employees</w:t>
      </w:r>
      <w:r w:rsidRPr="001C4BE9">
        <w:rPr>
          <w:rFonts w:cs="Calibri Light"/>
          <w:iCs/>
          <w:spacing w:val="-8"/>
          <w:sz w:val="16"/>
          <w:szCs w:val="16"/>
        </w:rPr>
        <w:t xml:space="preserve"> </w:t>
      </w:r>
      <w:r w:rsidRPr="001C4BE9">
        <w:rPr>
          <w:rFonts w:cs="Calibri Light"/>
          <w:iCs/>
          <w:sz w:val="16"/>
          <w:szCs w:val="16"/>
        </w:rPr>
        <w:t>or</w:t>
      </w:r>
      <w:r w:rsidRPr="001C4BE9">
        <w:rPr>
          <w:rFonts w:cs="Calibri Light"/>
          <w:iCs/>
          <w:spacing w:val="-7"/>
          <w:sz w:val="16"/>
          <w:szCs w:val="16"/>
        </w:rPr>
        <w:t xml:space="preserve"> </w:t>
      </w:r>
      <w:r w:rsidRPr="001C4BE9">
        <w:rPr>
          <w:rFonts w:cs="Calibri Light"/>
          <w:iCs/>
          <w:sz w:val="16"/>
          <w:szCs w:val="16"/>
        </w:rPr>
        <w:t>agents shall be responsible for any loss or damage whatsoever arising directly or indirectly in connection with any person relying on this communication.</w:t>
      </w:r>
      <w:r w:rsidRPr="001C4BE9">
        <w:rPr>
          <w:rFonts w:cs="Calibri Light"/>
          <w:iCs/>
          <w:spacing w:val="-13"/>
          <w:sz w:val="16"/>
          <w:szCs w:val="16"/>
        </w:rPr>
        <w:t xml:space="preserve"> </w:t>
      </w:r>
      <w:r w:rsidRPr="001C4BE9">
        <w:rPr>
          <w:rFonts w:cs="Calibri Light"/>
          <w:iCs/>
          <w:sz w:val="16"/>
          <w:szCs w:val="16"/>
        </w:rPr>
        <w:t>DTTL</w:t>
      </w:r>
      <w:r w:rsidRPr="001C4BE9">
        <w:rPr>
          <w:rFonts w:cs="Calibri Light"/>
          <w:iCs/>
          <w:spacing w:val="2"/>
          <w:sz w:val="16"/>
          <w:szCs w:val="16"/>
        </w:rPr>
        <w:t xml:space="preserve"> </w:t>
      </w:r>
      <w:r w:rsidRPr="001C4BE9">
        <w:rPr>
          <w:rFonts w:cs="Calibri Light"/>
          <w:iCs/>
          <w:sz w:val="16"/>
          <w:szCs w:val="16"/>
        </w:rPr>
        <w:t>and</w:t>
      </w:r>
      <w:r w:rsidRPr="001C4BE9">
        <w:rPr>
          <w:rFonts w:cs="Calibri Light"/>
          <w:iCs/>
          <w:spacing w:val="-5"/>
          <w:sz w:val="16"/>
          <w:szCs w:val="16"/>
        </w:rPr>
        <w:t xml:space="preserve"> </w:t>
      </w:r>
      <w:r w:rsidRPr="001C4BE9">
        <w:rPr>
          <w:rFonts w:cs="Calibri Light"/>
          <w:iCs/>
          <w:sz w:val="16"/>
          <w:szCs w:val="16"/>
        </w:rPr>
        <w:t>each</w:t>
      </w:r>
      <w:r w:rsidRPr="001C4BE9">
        <w:rPr>
          <w:rFonts w:cs="Calibri Light"/>
          <w:iCs/>
          <w:spacing w:val="-6"/>
          <w:sz w:val="16"/>
          <w:szCs w:val="16"/>
        </w:rPr>
        <w:t xml:space="preserve"> </w:t>
      </w:r>
      <w:r w:rsidRPr="001C4BE9">
        <w:rPr>
          <w:rFonts w:cs="Calibri Light"/>
          <w:iCs/>
          <w:sz w:val="16"/>
          <w:szCs w:val="16"/>
        </w:rPr>
        <w:t>of</w:t>
      </w:r>
      <w:r w:rsidRPr="001C4BE9">
        <w:rPr>
          <w:rFonts w:cs="Calibri Light"/>
          <w:iCs/>
          <w:spacing w:val="-6"/>
          <w:sz w:val="16"/>
          <w:szCs w:val="16"/>
        </w:rPr>
        <w:t xml:space="preserve"> </w:t>
      </w:r>
      <w:r w:rsidRPr="001C4BE9">
        <w:rPr>
          <w:rFonts w:cs="Calibri Light"/>
          <w:iCs/>
          <w:sz w:val="16"/>
          <w:szCs w:val="16"/>
        </w:rPr>
        <w:t>its</w:t>
      </w:r>
      <w:r w:rsidRPr="001C4BE9">
        <w:rPr>
          <w:rFonts w:cs="Calibri Light"/>
          <w:iCs/>
          <w:spacing w:val="-3"/>
          <w:sz w:val="16"/>
          <w:szCs w:val="16"/>
        </w:rPr>
        <w:t xml:space="preserve"> </w:t>
      </w:r>
      <w:r w:rsidRPr="001C4BE9">
        <w:rPr>
          <w:rFonts w:cs="Calibri Light"/>
          <w:iCs/>
          <w:sz w:val="16"/>
          <w:szCs w:val="16"/>
        </w:rPr>
        <w:t>member</w:t>
      </w:r>
      <w:r w:rsidRPr="001C4BE9">
        <w:rPr>
          <w:rFonts w:cs="Calibri Light"/>
          <w:iCs/>
          <w:spacing w:val="-9"/>
          <w:sz w:val="16"/>
          <w:szCs w:val="16"/>
        </w:rPr>
        <w:t xml:space="preserve"> </w:t>
      </w:r>
      <w:r w:rsidRPr="001C4BE9">
        <w:rPr>
          <w:rFonts w:cs="Calibri Light"/>
          <w:iCs/>
          <w:sz w:val="16"/>
          <w:szCs w:val="16"/>
        </w:rPr>
        <w:t>firms,</w:t>
      </w:r>
      <w:r w:rsidRPr="001C4BE9">
        <w:rPr>
          <w:rFonts w:cs="Calibri Light"/>
          <w:iCs/>
          <w:spacing w:val="-2"/>
          <w:sz w:val="16"/>
          <w:szCs w:val="16"/>
        </w:rPr>
        <w:t xml:space="preserve"> </w:t>
      </w:r>
      <w:r w:rsidRPr="001C4BE9">
        <w:rPr>
          <w:rFonts w:cs="Calibri Light"/>
          <w:iCs/>
          <w:sz w:val="16"/>
          <w:szCs w:val="16"/>
        </w:rPr>
        <w:t>and</w:t>
      </w:r>
      <w:r w:rsidRPr="001C4BE9">
        <w:rPr>
          <w:rFonts w:cs="Calibri Light"/>
          <w:iCs/>
          <w:spacing w:val="-5"/>
          <w:sz w:val="16"/>
          <w:szCs w:val="16"/>
        </w:rPr>
        <w:t xml:space="preserve"> </w:t>
      </w:r>
      <w:r w:rsidRPr="001C4BE9">
        <w:rPr>
          <w:rFonts w:cs="Calibri Light"/>
          <w:iCs/>
          <w:sz w:val="16"/>
          <w:szCs w:val="16"/>
        </w:rPr>
        <w:t>their</w:t>
      </w:r>
      <w:r w:rsidRPr="001C4BE9">
        <w:rPr>
          <w:rFonts w:cs="Calibri Light"/>
          <w:iCs/>
          <w:spacing w:val="-7"/>
          <w:sz w:val="16"/>
          <w:szCs w:val="16"/>
        </w:rPr>
        <w:t xml:space="preserve"> </w:t>
      </w:r>
      <w:r w:rsidRPr="001C4BE9">
        <w:rPr>
          <w:rFonts w:cs="Calibri Light"/>
          <w:iCs/>
          <w:sz w:val="16"/>
          <w:szCs w:val="16"/>
        </w:rPr>
        <w:t>related entities, are legally separate and independent</w:t>
      </w:r>
      <w:r w:rsidRPr="001C4BE9">
        <w:rPr>
          <w:rFonts w:cs="Calibri Light"/>
          <w:iCs/>
          <w:spacing w:val="-23"/>
          <w:sz w:val="16"/>
          <w:szCs w:val="16"/>
        </w:rPr>
        <w:t xml:space="preserve"> </w:t>
      </w:r>
      <w:r w:rsidRPr="001C4BE9">
        <w:rPr>
          <w:rFonts w:cs="Calibri Light"/>
          <w:iCs/>
          <w:sz w:val="16"/>
          <w:szCs w:val="16"/>
        </w:rPr>
        <w:t>entities.</w:t>
      </w:r>
    </w:p>
    <w:p w14:paraId="4731C7AE" w14:textId="02BFB78C" w:rsidR="00D75D11" w:rsidRPr="00D33019" w:rsidRDefault="00D75D11" w:rsidP="007800CD">
      <w:pPr>
        <w:pStyle w:val="standard"/>
        <w:spacing w:before="0" w:line="240" w:lineRule="atLeast"/>
        <w:ind w:left="187" w:right="2520"/>
        <w:rPr>
          <w:rFonts w:asciiTheme="majorHAnsi" w:hAnsiTheme="majorHAnsi" w:cstheme="majorHAnsi"/>
          <w:sz w:val="18"/>
          <w:szCs w:val="18"/>
        </w:rPr>
      </w:pPr>
      <w:r w:rsidRPr="001C4BE9">
        <w:rPr>
          <w:rFonts w:cs="Calibri Light"/>
          <w:iCs/>
          <w:sz w:val="16"/>
          <w:szCs w:val="16"/>
          <w:lang w:val="en-US"/>
        </w:rPr>
        <w:t>© 202</w:t>
      </w:r>
      <w:r w:rsidR="00A1386B">
        <w:rPr>
          <w:rFonts w:cs="Calibri Light"/>
          <w:iCs/>
          <w:sz w:val="16"/>
          <w:szCs w:val="16"/>
          <w:lang w:val="en-US"/>
        </w:rPr>
        <w:t>2</w:t>
      </w:r>
      <w:r w:rsidRPr="001C4BE9">
        <w:rPr>
          <w:rFonts w:cs="Calibri Light"/>
          <w:iCs/>
          <w:sz w:val="16"/>
          <w:szCs w:val="16"/>
          <w:lang w:val="en-US"/>
        </w:rPr>
        <w:t>. For information, contact Deloitte Global.</w:t>
      </w:r>
    </w:p>
    <w:sectPr w:rsidR="00D75D11" w:rsidRPr="00D33019" w:rsidSect="00D33019">
      <w:headerReference w:type="default" r:id="rId33"/>
      <w:footerReference w:type="default" r:id="rId34"/>
      <w:headerReference w:type="first" r:id="rId35"/>
      <w:footerReference w:type="first" r:id="rId36"/>
      <w:footnotePr>
        <w:numRestart w:val="eachSect"/>
      </w:footnotePr>
      <w:pgSz w:w="12240" w:h="15840" w:code="1"/>
      <w:pgMar w:top="1440" w:right="1440" w:bottom="1440" w:left="1440" w:header="576" w:footer="576"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2AC8B" w14:textId="77777777" w:rsidR="00C172B8" w:rsidRDefault="00C172B8">
      <w:r>
        <w:separator/>
      </w:r>
    </w:p>
  </w:endnote>
  <w:endnote w:type="continuationSeparator" w:id="0">
    <w:p w14:paraId="5C6766C3" w14:textId="77777777" w:rsidR="00C172B8" w:rsidRDefault="00C172B8">
      <w:r>
        <w:continuationSeparator/>
      </w:r>
    </w:p>
  </w:endnote>
  <w:endnote w:type="continuationNotice" w:id="1">
    <w:p w14:paraId="39D15442" w14:textId="77777777" w:rsidR="00C172B8" w:rsidRDefault="00C17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93B0" w14:textId="57A0A2C4" w:rsidR="00055D21" w:rsidRPr="0041387F" w:rsidRDefault="00055D21" w:rsidP="00AE37CE">
    <w:pPr>
      <w:pStyle w:val="Footer"/>
      <w:tabs>
        <w:tab w:val="center" w:pos="4680"/>
        <w:tab w:val="left" w:pos="5870"/>
      </w:tabs>
      <w:rPr>
        <w:sz w:val="16"/>
        <w:szCs w:val="16"/>
      </w:rPr>
    </w:pPr>
    <w:r>
      <w:rPr>
        <w:rStyle w:val="PageNumber"/>
        <w:rFonts w:ascii="Verdana" w:hAnsi="Verdana"/>
        <w:sz w:val="16"/>
        <w:szCs w:val="16"/>
      </w:rPr>
      <w:tab/>
    </w:r>
    <w:r w:rsidRPr="0041387F">
      <w:rPr>
        <w:rStyle w:val="PageNumber"/>
        <w:sz w:val="16"/>
        <w:szCs w:val="16"/>
      </w:rPr>
      <w:fldChar w:fldCharType="begin"/>
    </w:r>
    <w:r w:rsidRPr="0041387F">
      <w:rPr>
        <w:rStyle w:val="PageNumber"/>
        <w:sz w:val="16"/>
        <w:szCs w:val="16"/>
      </w:rPr>
      <w:instrText xml:space="preserve"> PAGE </w:instrText>
    </w:r>
    <w:r w:rsidRPr="0041387F">
      <w:rPr>
        <w:rStyle w:val="PageNumber"/>
        <w:sz w:val="16"/>
        <w:szCs w:val="16"/>
      </w:rPr>
      <w:fldChar w:fldCharType="separate"/>
    </w:r>
    <w:r w:rsidRPr="0041387F">
      <w:rPr>
        <w:rStyle w:val="PageNumber"/>
        <w:noProof/>
        <w:sz w:val="16"/>
        <w:szCs w:val="16"/>
      </w:rPr>
      <w:t>27</w:t>
    </w:r>
    <w:r w:rsidRPr="0041387F">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83C1" w14:textId="77777777" w:rsidR="00055D21" w:rsidRDefault="00055D21">
    <w:pPr>
      <w:pStyle w:val="Footer"/>
      <w:tabs>
        <w:tab w:val="center" w:pos="44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A852" w14:textId="77777777" w:rsidR="00C172B8" w:rsidRDefault="00C172B8">
      <w:r>
        <w:separator/>
      </w:r>
    </w:p>
  </w:footnote>
  <w:footnote w:type="continuationSeparator" w:id="0">
    <w:p w14:paraId="248B9B82" w14:textId="77777777" w:rsidR="00C172B8" w:rsidRDefault="00C172B8">
      <w:r>
        <w:continuationSeparator/>
      </w:r>
    </w:p>
  </w:footnote>
  <w:footnote w:type="continuationNotice" w:id="1">
    <w:p w14:paraId="2810CD86" w14:textId="77777777" w:rsidR="00C172B8" w:rsidRDefault="00C17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8EEF" w14:textId="413754DF" w:rsidR="00055D21" w:rsidRPr="000E7080" w:rsidRDefault="00055D21" w:rsidP="00D75D11">
    <w:pPr>
      <w:pStyle w:val="Header"/>
      <w:tabs>
        <w:tab w:val="right" w:pos="8460"/>
      </w:tabs>
      <w:jc w:val="right"/>
      <w:rPr>
        <w:rFonts w:cs="Calibri Light"/>
        <w:sz w:val="16"/>
      </w:rPr>
    </w:pPr>
    <w:r w:rsidRPr="000E7080">
      <w:rPr>
        <w:rFonts w:cs="Calibri Light"/>
        <w:sz w:val="16"/>
      </w:rPr>
      <w:t>Checklist for Annual Report on SEC Form 10-K (1</w:t>
    </w:r>
    <w:r>
      <w:rPr>
        <w:rFonts w:cs="Calibri Light"/>
        <w:sz w:val="16"/>
      </w:rPr>
      <w:t>2</w:t>
    </w:r>
    <w:r w:rsidRPr="000E7080">
      <w:rPr>
        <w:rFonts w:cs="Calibri Light"/>
        <w:sz w:val="16"/>
      </w:rPr>
      <w:t>-2</w:t>
    </w:r>
    <w:r w:rsidR="00E941F8">
      <w:rPr>
        <w:rFonts w:cs="Calibri Light"/>
        <w:sz w:val="16"/>
      </w:rPr>
      <w:t>2</w:t>
    </w:r>
    <w:r w:rsidRPr="000E7080">
      <w:rPr>
        <w:rFonts w:cs="Calibri Light"/>
        <w:sz w:val="16"/>
      </w:rPr>
      <w:t>)</w:t>
    </w:r>
  </w:p>
  <w:p w14:paraId="3E887789" w14:textId="3DFCCE43" w:rsidR="00055D21" w:rsidRPr="00AE37CE" w:rsidRDefault="00055D21" w:rsidP="00AE37CE">
    <w:pPr>
      <w:pStyle w:val="Header"/>
      <w:tabs>
        <w:tab w:val="right" w:pos="8460"/>
      </w:tabs>
      <w:spacing w:after="120" w:line="240" w:lineRule="atLeast"/>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8F8D" w14:textId="7DD95EB6" w:rsidR="00055D21" w:rsidRPr="000E7080" w:rsidRDefault="00055D21" w:rsidP="00C56999">
    <w:pPr>
      <w:pStyle w:val="Header"/>
      <w:tabs>
        <w:tab w:val="right" w:pos="8460"/>
      </w:tabs>
      <w:jc w:val="right"/>
      <w:rPr>
        <w:rFonts w:cs="Calibri Light"/>
        <w:sz w:val="16"/>
      </w:rPr>
    </w:pPr>
    <w:r>
      <w:rPr>
        <w:iCs/>
        <w:noProof/>
        <w:sz w:val="18"/>
        <w:szCs w:val="18"/>
      </w:rPr>
      <w:drawing>
        <wp:inline distT="0" distB="0" distL="0" distR="0" wp14:anchorId="393FDB89" wp14:editId="57BD80F3">
          <wp:extent cx="1390911" cy="260350"/>
          <wp:effectExtent l="0" t="0" r="0" b="635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DeloitteLogo.tif"/>
                  <pic:cNvPicPr/>
                </pic:nvPicPr>
                <pic:blipFill>
                  <a:blip r:embed="rId1">
                    <a:extLst>
                      <a:ext uri="{28A0092B-C50C-407E-A947-70E740481C1C}">
                        <a14:useLocalDpi xmlns:a14="http://schemas.microsoft.com/office/drawing/2010/main" val="0"/>
                      </a:ext>
                    </a:extLst>
                  </a:blip>
                  <a:stretch>
                    <a:fillRect/>
                  </a:stretch>
                </pic:blipFill>
                <pic:spPr>
                  <a:xfrm>
                    <a:off x="0" y="0"/>
                    <a:ext cx="1390911" cy="260350"/>
                  </a:xfrm>
                  <a:prstGeom prst="rect">
                    <a:avLst/>
                  </a:prstGeom>
                </pic:spPr>
              </pic:pic>
            </a:graphicData>
          </a:graphic>
        </wp:inline>
      </w:drawing>
    </w:r>
    <w:r>
      <w:rPr>
        <w:rFonts w:ascii="Verdana" w:hAnsi="Verdana"/>
        <w:sz w:val="16"/>
        <w:szCs w:val="16"/>
      </w:rPr>
      <w:tab/>
    </w:r>
    <w:r>
      <w:rPr>
        <w:rFonts w:ascii="Verdana" w:hAnsi="Verdana"/>
        <w:sz w:val="16"/>
        <w:szCs w:val="16"/>
      </w:rPr>
      <w:tab/>
    </w:r>
  </w:p>
  <w:p w14:paraId="6AC47930" w14:textId="4B9CAEFE" w:rsidR="00055D21" w:rsidRPr="00F77F5A" w:rsidRDefault="00055D21" w:rsidP="00283B3A">
    <w:pPr>
      <w:pStyle w:val="Header"/>
      <w:tabs>
        <w:tab w:val="clear" w:pos="9026"/>
        <w:tab w:val="right" w:pos="936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9D42924"/>
    <w:lvl w:ilvl="0">
      <w:start w:val="1"/>
      <w:numFmt w:val="decimal"/>
      <w:pStyle w:val="ListNumber2"/>
      <w:lvlText w:val="%1."/>
      <w:lvlJc w:val="left"/>
      <w:pPr>
        <w:tabs>
          <w:tab w:val="num" w:pos="5503"/>
        </w:tabs>
        <w:ind w:left="5503" w:hanging="360"/>
      </w:pPr>
    </w:lvl>
  </w:abstractNum>
  <w:abstractNum w:abstractNumId="1" w15:restartNumberingAfterBreak="0">
    <w:nsid w:val="FFFFFF83"/>
    <w:multiLevelType w:val="singleLevel"/>
    <w:tmpl w:val="DA9AD624"/>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6AAA80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0C5A99"/>
    <w:multiLevelType w:val="hybridMultilevel"/>
    <w:tmpl w:val="E0326A5C"/>
    <w:lvl w:ilvl="0" w:tplc="04090019">
      <w:start w:val="1"/>
      <w:numFmt w:val="lowerLetter"/>
      <w:lvlText w:val="%1."/>
      <w:lvlJc w:val="left"/>
      <w:pPr>
        <w:ind w:left="1440" w:hanging="360"/>
      </w:pPr>
    </w:lvl>
    <w:lvl w:ilvl="1" w:tplc="CB5E903C">
      <w:start w:val="1"/>
      <w:numFmt w:val="lowerLetter"/>
      <w:pStyle w:val="DFORM2020INDENTEDlowerAlphaLVL3"/>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8E2E45"/>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38724C"/>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6A50FF"/>
    <w:multiLevelType w:val="hybridMultilevel"/>
    <w:tmpl w:val="D390D806"/>
    <w:lvl w:ilvl="0" w:tplc="090A3782">
      <w:start w:val="1"/>
      <w:numFmt w:val="lowerLetter"/>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8" w15:restartNumberingAfterBreak="0">
    <w:nsid w:val="0B1B3334"/>
    <w:multiLevelType w:val="hybridMultilevel"/>
    <w:tmpl w:val="B17C6236"/>
    <w:lvl w:ilvl="0" w:tplc="46A6ADF6">
      <w:start w:val="1"/>
      <w:numFmt w:val="bullet"/>
      <w:pStyle w:val="FORM2020DBULLETLV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5C013B"/>
    <w:multiLevelType w:val="multilevel"/>
    <w:tmpl w:val="C7CA3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E2ECF"/>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544DE"/>
    <w:multiLevelType w:val="hybridMultilevel"/>
    <w:tmpl w:val="224AD6E6"/>
    <w:lvl w:ilvl="0" w:tplc="04090019">
      <w:start w:val="1"/>
      <w:numFmt w:val="lowerLetter"/>
      <w:lvlText w:val="%1."/>
      <w:lvlJc w:val="left"/>
      <w:pPr>
        <w:ind w:left="720" w:hanging="360"/>
      </w:pPr>
    </w:lvl>
    <w:lvl w:ilvl="1" w:tplc="E12E3CAC">
      <w:start w:val="1"/>
      <w:numFmt w:val="lowerRoman"/>
      <w:pStyle w:val="FORMLIST2020ALowerRomanLevel2"/>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23366"/>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4053F"/>
    <w:multiLevelType w:val="hybridMultilevel"/>
    <w:tmpl w:val="72A20C84"/>
    <w:lvl w:ilvl="0" w:tplc="9AC2894C">
      <w:start w:val="1"/>
      <w:numFmt w:val="decimal"/>
      <w:lvlText w:val="%1."/>
      <w:lvlJc w:val="left"/>
      <w:pPr>
        <w:ind w:left="720" w:hanging="360"/>
      </w:pPr>
      <w:rPr>
        <w:b w:val="0"/>
        <w:bCs/>
      </w:rPr>
    </w:lvl>
    <w:lvl w:ilvl="1" w:tplc="99BC71B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96B1C"/>
    <w:multiLevelType w:val="hybridMultilevel"/>
    <w:tmpl w:val="D8BE7874"/>
    <w:lvl w:ilvl="0" w:tplc="4442F1D2">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27F50B5E"/>
    <w:multiLevelType w:val="hybridMultilevel"/>
    <w:tmpl w:val="E3C6C13E"/>
    <w:lvl w:ilvl="0" w:tplc="219814A0">
      <w:start w:val="1"/>
      <w:numFmt w:val="decimal"/>
      <w:pStyle w:val="FORMNUMBEREDLIST202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42591"/>
    <w:multiLevelType w:val="hybridMultilevel"/>
    <w:tmpl w:val="8508E76C"/>
    <w:lvl w:ilvl="0" w:tplc="DDFA832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1446A"/>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A2D4F"/>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56BC3"/>
    <w:multiLevelType w:val="hybridMultilevel"/>
    <w:tmpl w:val="CD1E74C0"/>
    <w:lvl w:ilvl="0" w:tplc="0409001B">
      <w:start w:val="1"/>
      <w:numFmt w:val="low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3BA326E6"/>
    <w:multiLevelType w:val="hybridMultilevel"/>
    <w:tmpl w:val="EACE8F96"/>
    <w:lvl w:ilvl="0" w:tplc="9D14847C">
      <w:numFmt w:val="bullet"/>
      <w:lvlText w:val="•"/>
      <w:lvlJc w:val="left"/>
      <w:pPr>
        <w:ind w:left="405" w:hanging="360"/>
      </w:pPr>
      <w:rPr>
        <w:rFonts w:ascii="Calibri Light" w:eastAsia="Times New Roman" w:hAnsi="Calibri Light" w:cs="Open San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2B96C96"/>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11098"/>
    <w:multiLevelType w:val="hybridMultilevel"/>
    <w:tmpl w:val="C5A036E4"/>
    <w:lvl w:ilvl="0" w:tplc="7B284D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450DA4"/>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85CF3"/>
    <w:multiLevelType w:val="hybridMultilevel"/>
    <w:tmpl w:val="4F9C92A8"/>
    <w:lvl w:ilvl="0" w:tplc="9AC2894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65508"/>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B0111"/>
    <w:multiLevelType w:val="hybridMultilevel"/>
    <w:tmpl w:val="C2B07BEC"/>
    <w:lvl w:ilvl="0" w:tplc="6F3607EC">
      <w:start w:val="2"/>
      <w:numFmt w:val="decimal"/>
      <w:pStyle w:val="D2020FORMLISTNUMs"/>
      <w:lvlText w:val="%1."/>
      <w:lvlJc w:val="left"/>
      <w:pPr>
        <w:ind w:left="720" w:hanging="360"/>
      </w:pPr>
      <w:rPr>
        <w:rFonts w:ascii="Verdana" w:hAnsi="Verdana" w:hint="default"/>
        <w:b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C1A88"/>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A308C"/>
    <w:multiLevelType w:val="hybridMultilevel"/>
    <w:tmpl w:val="03C4DF98"/>
    <w:lvl w:ilvl="0" w:tplc="7F1CFC86">
      <w:start w:val="1"/>
      <w:numFmt w:val="lowerLetter"/>
      <w:pStyle w:val="FORM2020LISTLowerAlph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794C5A"/>
    <w:multiLevelType w:val="hybridMultilevel"/>
    <w:tmpl w:val="7902A1BC"/>
    <w:lvl w:ilvl="0" w:tplc="4824FE12">
      <w:start w:val="1"/>
      <w:numFmt w:val="bullet"/>
      <w:pStyle w:val="DeloitteTableBullet1"/>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00863"/>
    <w:multiLevelType w:val="multilevel"/>
    <w:tmpl w:val="F34AE4E2"/>
    <w:lvl w:ilvl="0">
      <w:start w:val="1"/>
      <w:numFmt w:val="decimal"/>
      <w:pStyle w:val="FormBullet1"/>
      <w:lvlText w:val="%1."/>
      <w:lvlJc w:val="left"/>
      <w:pPr>
        <w:tabs>
          <w:tab w:val="num" w:pos="720"/>
        </w:tabs>
        <w:ind w:left="720" w:hanging="720"/>
      </w:pPr>
    </w:lvl>
    <w:lvl w:ilvl="1">
      <w:start w:val="1"/>
      <w:numFmt w:val="decimal"/>
      <w:pStyle w:val="FormBullet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DCD4463"/>
    <w:multiLevelType w:val="hybridMultilevel"/>
    <w:tmpl w:val="E9B4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375C7"/>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301B6"/>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47002"/>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F0209"/>
    <w:multiLevelType w:val="hybridMultilevel"/>
    <w:tmpl w:val="9034AD5C"/>
    <w:lvl w:ilvl="0" w:tplc="0C2A1B88">
      <w:start w:val="1"/>
      <w:numFmt w:val="decimal"/>
      <w:lvlText w:val="%1."/>
      <w:lvlJc w:val="left"/>
      <w:pPr>
        <w:ind w:left="720" w:hanging="360"/>
      </w:pPr>
      <w:rPr>
        <w:rFonts w:ascii="TimesNewRomanPS-BoldMT" w:eastAsia="Times New Roman" w:hAnsi="TimesNewRomanPS-BoldMT" w:cs="TimesNewRomanPS-BoldMT"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44077"/>
    <w:multiLevelType w:val="hybridMultilevel"/>
    <w:tmpl w:val="B3A0AF82"/>
    <w:lvl w:ilvl="0" w:tplc="0540A27E">
      <w:start w:val="1"/>
      <w:numFmt w:val="bullet"/>
      <w:pStyle w:val="FormBullet2"/>
      <w:lvlText w:val=""/>
      <w:lvlJc w:val="left"/>
      <w:pPr>
        <w:ind w:left="720" w:hanging="360"/>
      </w:pPr>
      <w:rPr>
        <w:rFonts w:ascii="Symbol" w:hAnsi="Symbol" w:hint="default"/>
      </w:rPr>
    </w:lvl>
    <w:lvl w:ilvl="1" w:tplc="9380FE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52BC2"/>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35D8C"/>
    <w:multiLevelType w:val="hybridMultilevel"/>
    <w:tmpl w:val="4F9C92A8"/>
    <w:lvl w:ilvl="0" w:tplc="9AC289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19"/>
  </w:num>
  <w:num w:numId="4">
    <w:abstractNumId w:val="9"/>
  </w:num>
  <w:num w:numId="5">
    <w:abstractNumId w:val="20"/>
  </w:num>
  <w:num w:numId="6">
    <w:abstractNumId w:val="4"/>
  </w:num>
  <w:num w:numId="7">
    <w:abstractNumId w:val="26"/>
  </w:num>
  <w:num w:numId="8">
    <w:abstractNumId w:val="29"/>
  </w:num>
  <w:num w:numId="9">
    <w:abstractNumId w:val="28"/>
    <w:lvlOverride w:ilvl="0">
      <w:startOverride w:val="1"/>
    </w:lvlOverride>
  </w:num>
  <w:num w:numId="10">
    <w:abstractNumId w:val="36"/>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15"/>
  </w:num>
  <w:num w:numId="15">
    <w:abstractNumId w:val="3"/>
  </w:num>
  <w:num w:numId="16">
    <w:abstractNumId w:val="1"/>
  </w:num>
  <w:num w:numId="17">
    <w:abstractNumId w:val="2"/>
  </w:num>
  <w:num w:numId="18">
    <w:abstractNumId w:val="0"/>
  </w:num>
  <w:num w:numId="19">
    <w:abstractNumId w:val="17"/>
  </w:num>
  <w:num w:numId="20">
    <w:abstractNumId w:val="12"/>
  </w:num>
  <w:num w:numId="21">
    <w:abstractNumId w:val="6"/>
  </w:num>
  <w:num w:numId="22">
    <w:abstractNumId w:val="33"/>
  </w:num>
  <w:num w:numId="23">
    <w:abstractNumId w:val="21"/>
  </w:num>
  <w:num w:numId="24">
    <w:abstractNumId w:val="34"/>
  </w:num>
  <w:num w:numId="25">
    <w:abstractNumId w:val="31"/>
  </w:num>
  <w:num w:numId="26">
    <w:abstractNumId w:val="18"/>
  </w:num>
  <w:num w:numId="27">
    <w:abstractNumId w:val="13"/>
  </w:num>
  <w:num w:numId="28">
    <w:abstractNumId w:val="32"/>
  </w:num>
  <w:num w:numId="29">
    <w:abstractNumId w:val="24"/>
  </w:num>
  <w:num w:numId="30">
    <w:abstractNumId w:val="27"/>
  </w:num>
  <w:num w:numId="31">
    <w:abstractNumId w:val="5"/>
  </w:num>
  <w:num w:numId="32">
    <w:abstractNumId w:val="10"/>
  </w:num>
  <w:num w:numId="33">
    <w:abstractNumId w:val="23"/>
  </w:num>
  <w:num w:numId="34">
    <w:abstractNumId w:val="25"/>
  </w:num>
  <w:num w:numId="35">
    <w:abstractNumId w:val="37"/>
  </w:num>
  <w:num w:numId="36">
    <w:abstractNumId w:val="38"/>
  </w:num>
  <w:num w:numId="37">
    <w:abstractNumId w:val="7"/>
  </w:num>
  <w:num w:numId="38">
    <w:abstractNumId w:val="35"/>
  </w:num>
  <w:num w:numId="39">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6"/>
  <w:doNotHyphenateCaps/>
  <w:drawingGridHorizontalSpacing w:val="105"/>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34"/>
    <w:rsid w:val="00002E9C"/>
    <w:rsid w:val="000043C4"/>
    <w:rsid w:val="00004DBE"/>
    <w:rsid w:val="00007447"/>
    <w:rsid w:val="0000756C"/>
    <w:rsid w:val="00010470"/>
    <w:rsid w:val="000106EC"/>
    <w:rsid w:val="00013751"/>
    <w:rsid w:val="00013950"/>
    <w:rsid w:val="00017793"/>
    <w:rsid w:val="00017C00"/>
    <w:rsid w:val="000226F5"/>
    <w:rsid w:val="00022749"/>
    <w:rsid w:val="00022FFF"/>
    <w:rsid w:val="0002326E"/>
    <w:rsid w:val="00026305"/>
    <w:rsid w:val="00026C3B"/>
    <w:rsid w:val="00031B02"/>
    <w:rsid w:val="00032EDC"/>
    <w:rsid w:val="00034B85"/>
    <w:rsid w:val="0004289F"/>
    <w:rsid w:val="00044A1E"/>
    <w:rsid w:val="00045616"/>
    <w:rsid w:val="000459F3"/>
    <w:rsid w:val="000472A1"/>
    <w:rsid w:val="00052DD3"/>
    <w:rsid w:val="00054598"/>
    <w:rsid w:val="000558A3"/>
    <w:rsid w:val="00055D21"/>
    <w:rsid w:val="00057C79"/>
    <w:rsid w:val="000617CF"/>
    <w:rsid w:val="000630D6"/>
    <w:rsid w:val="00063CA9"/>
    <w:rsid w:val="00063D70"/>
    <w:rsid w:val="000657DE"/>
    <w:rsid w:val="00065A7D"/>
    <w:rsid w:val="00066086"/>
    <w:rsid w:val="000669C2"/>
    <w:rsid w:val="00066FEB"/>
    <w:rsid w:val="00067A8D"/>
    <w:rsid w:val="00070458"/>
    <w:rsid w:val="00073D8F"/>
    <w:rsid w:val="0007425C"/>
    <w:rsid w:val="00074BBD"/>
    <w:rsid w:val="00075C06"/>
    <w:rsid w:val="00080DAD"/>
    <w:rsid w:val="00083AD5"/>
    <w:rsid w:val="00084D5D"/>
    <w:rsid w:val="00087107"/>
    <w:rsid w:val="00090A4A"/>
    <w:rsid w:val="00091C68"/>
    <w:rsid w:val="000935E7"/>
    <w:rsid w:val="000A081A"/>
    <w:rsid w:val="000A166F"/>
    <w:rsid w:val="000A3D7F"/>
    <w:rsid w:val="000A4B1C"/>
    <w:rsid w:val="000A5AB8"/>
    <w:rsid w:val="000A5AD4"/>
    <w:rsid w:val="000A65EE"/>
    <w:rsid w:val="000A72BF"/>
    <w:rsid w:val="000A7976"/>
    <w:rsid w:val="000B0B57"/>
    <w:rsid w:val="000B0FFE"/>
    <w:rsid w:val="000B1675"/>
    <w:rsid w:val="000B3FC4"/>
    <w:rsid w:val="000C1B8C"/>
    <w:rsid w:val="000C5970"/>
    <w:rsid w:val="000C6BD7"/>
    <w:rsid w:val="000D0622"/>
    <w:rsid w:val="000D2D0F"/>
    <w:rsid w:val="000D61E0"/>
    <w:rsid w:val="000E2FDB"/>
    <w:rsid w:val="000E3545"/>
    <w:rsid w:val="000E39AC"/>
    <w:rsid w:val="000E3A8B"/>
    <w:rsid w:val="000E3EB3"/>
    <w:rsid w:val="000E6723"/>
    <w:rsid w:val="000F034C"/>
    <w:rsid w:val="000F10C7"/>
    <w:rsid w:val="000F3859"/>
    <w:rsid w:val="000F3B25"/>
    <w:rsid w:val="000F6922"/>
    <w:rsid w:val="001026E0"/>
    <w:rsid w:val="00102E21"/>
    <w:rsid w:val="00113D5E"/>
    <w:rsid w:val="00114D6E"/>
    <w:rsid w:val="00115BD1"/>
    <w:rsid w:val="00115DF6"/>
    <w:rsid w:val="0011621E"/>
    <w:rsid w:val="00116DE0"/>
    <w:rsid w:val="00117AFE"/>
    <w:rsid w:val="00120BAE"/>
    <w:rsid w:val="0012211B"/>
    <w:rsid w:val="001224A7"/>
    <w:rsid w:val="00122AA4"/>
    <w:rsid w:val="00130212"/>
    <w:rsid w:val="001308DD"/>
    <w:rsid w:val="001332ED"/>
    <w:rsid w:val="00133E84"/>
    <w:rsid w:val="0013674D"/>
    <w:rsid w:val="00136BDB"/>
    <w:rsid w:val="001373C3"/>
    <w:rsid w:val="00137A64"/>
    <w:rsid w:val="00137C1D"/>
    <w:rsid w:val="00142B47"/>
    <w:rsid w:val="001445A3"/>
    <w:rsid w:val="001451E2"/>
    <w:rsid w:val="00150EAC"/>
    <w:rsid w:val="001520D3"/>
    <w:rsid w:val="001547C5"/>
    <w:rsid w:val="001571FF"/>
    <w:rsid w:val="00160FE4"/>
    <w:rsid w:val="0016625E"/>
    <w:rsid w:val="00166BB4"/>
    <w:rsid w:val="00170DC5"/>
    <w:rsid w:val="00171478"/>
    <w:rsid w:val="00173C3B"/>
    <w:rsid w:val="00175000"/>
    <w:rsid w:val="00177560"/>
    <w:rsid w:val="00177BB8"/>
    <w:rsid w:val="00182669"/>
    <w:rsid w:val="001839CA"/>
    <w:rsid w:val="00186190"/>
    <w:rsid w:val="00193B13"/>
    <w:rsid w:val="001952FA"/>
    <w:rsid w:val="001A3FB7"/>
    <w:rsid w:val="001A4FB8"/>
    <w:rsid w:val="001A7E38"/>
    <w:rsid w:val="001A7EB1"/>
    <w:rsid w:val="001B3E74"/>
    <w:rsid w:val="001B650D"/>
    <w:rsid w:val="001B6ABF"/>
    <w:rsid w:val="001C2608"/>
    <w:rsid w:val="001C2C66"/>
    <w:rsid w:val="001C4213"/>
    <w:rsid w:val="001C671A"/>
    <w:rsid w:val="001D08C2"/>
    <w:rsid w:val="001D0CC2"/>
    <w:rsid w:val="001D17F5"/>
    <w:rsid w:val="001D1CE7"/>
    <w:rsid w:val="001D24B7"/>
    <w:rsid w:val="001D27B5"/>
    <w:rsid w:val="001D665B"/>
    <w:rsid w:val="001D6706"/>
    <w:rsid w:val="001E04C1"/>
    <w:rsid w:val="001E1555"/>
    <w:rsid w:val="001E2443"/>
    <w:rsid w:val="001E34D8"/>
    <w:rsid w:val="001E3A52"/>
    <w:rsid w:val="001E401F"/>
    <w:rsid w:val="001E7B28"/>
    <w:rsid w:val="001E7BF8"/>
    <w:rsid w:val="001E7D8D"/>
    <w:rsid w:val="001F0E85"/>
    <w:rsid w:val="001F1235"/>
    <w:rsid w:val="001F1728"/>
    <w:rsid w:val="001F1EFD"/>
    <w:rsid w:val="001F4A2C"/>
    <w:rsid w:val="001F7819"/>
    <w:rsid w:val="0020254F"/>
    <w:rsid w:val="002028DF"/>
    <w:rsid w:val="00203787"/>
    <w:rsid w:val="00203B58"/>
    <w:rsid w:val="00204A97"/>
    <w:rsid w:val="00205C82"/>
    <w:rsid w:val="00205CF1"/>
    <w:rsid w:val="0021095E"/>
    <w:rsid w:val="0021352E"/>
    <w:rsid w:val="00213A07"/>
    <w:rsid w:val="00213CFE"/>
    <w:rsid w:val="002145FC"/>
    <w:rsid w:val="00214EA1"/>
    <w:rsid w:val="00220A02"/>
    <w:rsid w:val="00223B2F"/>
    <w:rsid w:val="00226B9C"/>
    <w:rsid w:val="00227A6B"/>
    <w:rsid w:val="00231004"/>
    <w:rsid w:val="00233965"/>
    <w:rsid w:val="00234F81"/>
    <w:rsid w:val="002358C2"/>
    <w:rsid w:val="00235BD3"/>
    <w:rsid w:val="002373E8"/>
    <w:rsid w:val="0023740B"/>
    <w:rsid w:val="002377BD"/>
    <w:rsid w:val="00237C75"/>
    <w:rsid w:val="00237EC4"/>
    <w:rsid w:val="00240421"/>
    <w:rsid w:val="00240A5C"/>
    <w:rsid w:val="00240EDD"/>
    <w:rsid w:val="002423CA"/>
    <w:rsid w:val="002442A2"/>
    <w:rsid w:val="00245835"/>
    <w:rsid w:val="002458ED"/>
    <w:rsid w:val="002501CE"/>
    <w:rsid w:val="002511A5"/>
    <w:rsid w:val="002517B4"/>
    <w:rsid w:val="00251D6F"/>
    <w:rsid w:val="00254427"/>
    <w:rsid w:val="002549D2"/>
    <w:rsid w:val="00262606"/>
    <w:rsid w:val="00263CC1"/>
    <w:rsid w:val="00264193"/>
    <w:rsid w:val="0026428F"/>
    <w:rsid w:val="00265154"/>
    <w:rsid w:val="002655DD"/>
    <w:rsid w:val="00265CE2"/>
    <w:rsid w:val="00270E1D"/>
    <w:rsid w:val="00271060"/>
    <w:rsid w:val="00271518"/>
    <w:rsid w:val="002716E8"/>
    <w:rsid w:val="002736A3"/>
    <w:rsid w:val="002752C9"/>
    <w:rsid w:val="00275AC3"/>
    <w:rsid w:val="00276FF1"/>
    <w:rsid w:val="00280460"/>
    <w:rsid w:val="00282888"/>
    <w:rsid w:val="00283B3A"/>
    <w:rsid w:val="00283E03"/>
    <w:rsid w:val="00284471"/>
    <w:rsid w:val="00284AC2"/>
    <w:rsid w:val="00284B45"/>
    <w:rsid w:val="002850D8"/>
    <w:rsid w:val="00285500"/>
    <w:rsid w:val="0028558B"/>
    <w:rsid w:val="00287B34"/>
    <w:rsid w:val="00287F48"/>
    <w:rsid w:val="00293D08"/>
    <w:rsid w:val="00295056"/>
    <w:rsid w:val="002955B0"/>
    <w:rsid w:val="002A08DB"/>
    <w:rsid w:val="002A108D"/>
    <w:rsid w:val="002A178A"/>
    <w:rsid w:val="002A2629"/>
    <w:rsid w:val="002A2B16"/>
    <w:rsid w:val="002A36E6"/>
    <w:rsid w:val="002A3E27"/>
    <w:rsid w:val="002A76FD"/>
    <w:rsid w:val="002B13EE"/>
    <w:rsid w:val="002B20C0"/>
    <w:rsid w:val="002B3012"/>
    <w:rsid w:val="002B3A68"/>
    <w:rsid w:val="002B4171"/>
    <w:rsid w:val="002B571B"/>
    <w:rsid w:val="002B76BB"/>
    <w:rsid w:val="002C0675"/>
    <w:rsid w:val="002C1058"/>
    <w:rsid w:val="002C788C"/>
    <w:rsid w:val="002D09D8"/>
    <w:rsid w:val="002D4AB6"/>
    <w:rsid w:val="002D4CD6"/>
    <w:rsid w:val="002D53B2"/>
    <w:rsid w:val="002D5756"/>
    <w:rsid w:val="002D6192"/>
    <w:rsid w:val="002E089F"/>
    <w:rsid w:val="002E159F"/>
    <w:rsid w:val="002E2E38"/>
    <w:rsid w:val="002E35BD"/>
    <w:rsid w:val="002E4C86"/>
    <w:rsid w:val="002E6B59"/>
    <w:rsid w:val="002E7D2A"/>
    <w:rsid w:val="002F066E"/>
    <w:rsid w:val="002F069A"/>
    <w:rsid w:val="002F091D"/>
    <w:rsid w:val="002F33B4"/>
    <w:rsid w:val="002F3CF9"/>
    <w:rsid w:val="002F4AF4"/>
    <w:rsid w:val="002F4CED"/>
    <w:rsid w:val="002F62E9"/>
    <w:rsid w:val="00300ADB"/>
    <w:rsid w:val="00303061"/>
    <w:rsid w:val="00304C86"/>
    <w:rsid w:val="003052CD"/>
    <w:rsid w:val="00305982"/>
    <w:rsid w:val="003102F7"/>
    <w:rsid w:val="00311598"/>
    <w:rsid w:val="00311B31"/>
    <w:rsid w:val="00313ABF"/>
    <w:rsid w:val="00315F36"/>
    <w:rsid w:val="0031610E"/>
    <w:rsid w:val="0031763A"/>
    <w:rsid w:val="00320FE6"/>
    <w:rsid w:val="00322535"/>
    <w:rsid w:val="003229D4"/>
    <w:rsid w:val="00322EB6"/>
    <w:rsid w:val="0032490E"/>
    <w:rsid w:val="003303A2"/>
    <w:rsid w:val="00331102"/>
    <w:rsid w:val="00331684"/>
    <w:rsid w:val="003343EA"/>
    <w:rsid w:val="00337369"/>
    <w:rsid w:val="00337DD5"/>
    <w:rsid w:val="00341D68"/>
    <w:rsid w:val="00342C1F"/>
    <w:rsid w:val="00344B34"/>
    <w:rsid w:val="00345083"/>
    <w:rsid w:val="003466F4"/>
    <w:rsid w:val="00347A39"/>
    <w:rsid w:val="0035012C"/>
    <w:rsid w:val="00350EB2"/>
    <w:rsid w:val="00352A0C"/>
    <w:rsid w:val="00355033"/>
    <w:rsid w:val="003556BC"/>
    <w:rsid w:val="00355CE0"/>
    <w:rsid w:val="00356B6B"/>
    <w:rsid w:val="00356FA0"/>
    <w:rsid w:val="003573D8"/>
    <w:rsid w:val="0036062E"/>
    <w:rsid w:val="00364438"/>
    <w:rsid w:val="003659EC"/>
    <w:rsid w:val="00371832"/>
    <w:rsid w:val="003735BB"/>
    <w:rsid w:val="0037551A"/>
    <w:rsid w:val="00376263"/>
    <w:rsid w:val="00376502"/>
    <w:rsid w:val="0037700C"/>
    <w:rsid w:val="00380889"/>
    <w:rsid w:val="00383C32"/>
    <w:rsid w:val="0038491B"/>
    <w:rsid w:val="00384EA1"/>
    <w:rsid w:val="00385D92"/>
    <w:rsid w:val="00395F9D"/>
    <w:rsid w:val="00397133"/>
    <w:rsid w:val="003A1FAC"/>
    <w:rsid w:val="003A7746"/>
    <w:rsid w:val="003A7982"/>
    <w:rsid w:val="003B0457"/>
    <w:rsid w:val="003B4623"/>
    <w:rsid w:val="003B68D1"/>
    <w:rsid w:val="003B6B39"/>
    <w:rsid w:val="003B6B6E"/>
    <w:rsid w:val="003B71C0"/>
    <w:rsid w:val="003B7CE7"/>
    <w:rsid w:val="003C009A"/>
    <w:rsid w:val="003C213C"/>
    <w:rsid w:val="003C3CB4"/>
    <w:rsid w:val="003C4355"/>
    <w:rsid w:val="003C6180"/>
    <w:rsid w:val="003C7131"/>
    <w:rsid w:val="003C7BBF"/>
    <w:rsid w:val="003D21BB"/>
    <w:rsid w:val="003D2BBB"/>
    <w:rsid w:val="003D4288"/>
    <w:rsid w:val="003E024C"/>
    <w:rsid w:val="003E1400"/>
    <w:rsid w:val="003E4CD6"/>
    <w:rsid w:val="003E7795"/>
    <w:rsid w:val="003F1861"/>
    <w:rsid w:val="003F237B"/>
    <w:rsid w:val="003F2404"/>
    <w:rsid w:val="003F4B5A"/>
    <w:rsid w:val="003F548B"/>
    <w:rsid w:val="003F5CB3"/>
    <w:rsid w:val="003F6EE1"/>
    <w:rsid w:val="00402014"/>
    <w:rsid w:val="004038AB"/>
    <w:rsid w:val="00404319"/>
    <w:rsid w:val="004104E6"/>
    <w:rsid w:val="00411CF5"/>
    <w:rsid w:val="0041387F"/>
    <w:rsid w:val="00413AAB"/>
    <w:rsid w:val="00415666"/>
    <w:rsid w:val="004178B7"/>
    <w:rsid w:val="004267B3"/>
    <w:rsid w:val="0043383D"/>
    <w:rsid w:val="00433DC9"/>
    <w:rsid w:val="004357A8"/>
    <w:rsid w:val="004415F1"/>
    <w:rsid w:val="00442D6E"/>
    <w:rsid w:val="00451A67"/>
    <w:rsid w:val="00451AEF"/>
    <w:rsid w:val="00453949"/>
    <w:rsid w:val="00455271"/>
    <w:rsid w:val="0046030C"/>
    <w:rsid w:val="00472054"/>
    <w:rsid w:val="0047244A"/>
    <w:rsid w:val="00472649"/>
    <w:rsid w:val="004753F1"/>
    <w:rsid w:val="0047715F"/>
    <w:rsid w:val="0048033B"/>
    <w:rsid w:val="0048097B"/>
    <w:rsid w:val="00481C79"/>
    <w:rsid w:val="00483271"/>
    <w:rsid w:val="0048387C"/>
    <w:rsid w:val="00485659"/>
    <w:rsid w:val="00486381"/>
    <w:rsid w:val="0049073A"/>
    <w:rsid w:val="0049214B"/>
    <w:rsid w:val="00492A5E"/>
    <w:rsid w:val="00492C68"/>
    <w:rsid w:val="004934B0"/>
    <w:rsid w:val="00494535"/>
    <w:rsid w:val="00494D66"/>
    <w:rsid w:val="004957D4"/>
    <w:rsid w:val="00495D84"/>
    <w:rsid w:val="0049667A"/>
    <w:rsid w:val="004A04C9"/>
    <w:rsid w:val="004A0CC8"/>
    <w:rsid w:val="004A114C"/>
    <w:rsid w:val="004A128E"/>
    <w:rsid w:val="004A19DA"/>
    <w:rsid w:val="004A2BA6"/>
    <w:rsid w:val="004A4413"/>
    <w:rsid w:val="004A52AA"/>
    <w:rsid w:val="004A575F"/>
    <w:rsid w:val="004A622D"/>
    <w:rsid w:val="004A6416"/>
    <w:rsid w:val="004A659B"/>
    <w:rsid w:val="004A7CC2"/>
    <w:rsid w:val="004B04E7"/>
    <w:rsid w:val="004B0872"/>
    <w:rsid w:val="004B0DDD"/>
    <w:rsid w:val="004B1C2E"/>
    <w:rsid w:val="004B2227"/>
    <w:rsid w:val="004B2AE3"/>
    <w:rsid w:val="004B52FE"/>
    <w:rsid w:val="004B6DBB"/>
    <w:rsid w:val="004C00A0"/>
    <w:rsid w:val="004C24BA"/>
    <w:rsid w:val="004C2CAE"/>
    <w:rsid w:val="004C4D50"/>
    <w:rsid w:val="004C58FB"/>
    <w:rsid w:val="004C5D28"/>
    <w:rsid w:val="004C7F6C"/>
    <w:rsid w:val="004D023B"/>
    <w:rsid w:val="004D19F5"/>
    <w:rsid w:val="004D4B06"/>
    <w:rsid w:val="004D4FA4"/>
    <w:rsid w:val="004D6125"/>
    <w:rsid w:val="004E13DC"/>
    <w:rsid w:val="004E31F6"/>
    <w:rsid w:val="004E5BBC"/>
    <w:rsid w:val="004E74B3"/>
    <w:rsid w:val="004F0185"/>
    <w:rsid w:val="004F15FC"/>
    <w:rsid w:val="004F5701"/>
    <w:rsid w:val="0050126D"/>
    <w:rsid w:val="00501DAE"/>
    <w:rsid w:val="005065B6"/>
    <w:rsid w:val="00507709"/>
    <w:rsid w:val="00511703"/>
    <w:rsid w:val="005158BD"/>
    <w:rsid w:val="00515D2A"/>
    <w:rsid w:val="00520E84"/>
    <w:rsid w:val="00520F97"/>
    <w:rsid w:val="00522560"/>
    <w:rsid w:val="005229EC"/>
    <w:rsid w:val="00532F58"/>
    <w:rsid w:val="005346CF"/>
    <w:rsid w:val="00534847"/>
    <w:rsid w:val="00535330"/>
    <w:rsid w:val="00536F03"/>
    <w:rsid w:val="00537E67"/>
    <w:rsid w:val="005407BB"/>
    <w:rsid w:val="005414D4"/>
    <w:rsid w:val="00543441"/>
    <w:rsid w:val="00545B31"/>
    <w:rsid w:val="00546733"/>
    <w:rsid w:val="00546E01"/>
    <w:rsid w:val="00551817"/>
    <w:rsid w:val="0055251E"/>
    <w:rsid w:val="005526B7"/>
    <w:rsid w:val="00555CEF"/>
    <w:rsid w:val="00556897"/>
    <w:rsid w:val="005570BF"/>
    <w:rsid w:val="00563D52"/>
    <w:rsid w:val="00564260"/>
    <w:rsid w:val="005651D0"/>
    <w:rsid w:val="00567265"/>
    <w:rsid w:val="005677E2"/>
    <w:rsid w:val="00567D3D"/>
    <w:rsid w:val="00573A39"/>
    <w:rsid w:val="0057566B"/>
    <w:rsid w:val="0058003E"/>
    <w:rsid w:val="005845BF"/>
    <w:rsid w:val="00585C39"/>
    <w:rsid w:val="0058661D"/>
    <w:rsid w:val="00586D29"/>
    <w:rsid w:val="00587EFF"/>
    <w:rsid w:val="00590654"/>
    <w:rsid w:val="00593C18"/>
    <w:rsid w:val="005943F4"/>
    <w:rsid w:val="005A2E46"/>
    <w:rsid w:val="005A464A"/>
    <w:rsid w:val="005A651E"/>
    <w:rsid w:val="005A7CA8"/>
    <w:rsid w:val="005C7D9E"/>
    <w:rsid w:val="005D056A"/>
    <w:rsid w:val="005D26A6"/>
    <w:rsid w:val="005D324B"/>
    <w:rsid w:val="005D54D0"/>
    <w:rsid w:val="005D7549"/>
    <w:rsid w:val="005D7871"/>
    <w:rsid w:val="005E073D"/>
    <w:rsid w:val="005F0A24"/>
    <w:rsid w:val="005F2188"/>
    <w:rsid w:val="005F2B6D"/>
    <w:rsid w:val="00600DFD"/>
    <w:rsid w:val="006034AE"/>
    <w:rsid w:val="00607AAE"/>
    <w:rsid w:val="00607EBB"/>
    <w:rsid w:val="006119CB"/>
    <w:rsid w:val="00612192"/>
    <w:rsid w:val="00614B4F"/>
    <w:rsid w:val="006160FA"/>
    <w:rsid w:val="00616D96"/>
    <w:rsid w:val="0062129B"/>
    <w:rsid w:val="00621847"/>
    <w:rsid w:val="00621EF7"/>
    <w:rsid w:val="00622B4D"/>
    <w:rsid w:val="00623E87"/>
    <w:rsid w:val="0062691E"/>
    <w:rsid w:val="00626E4B"/>
    <w:rsid w:val="00630456"/>
    <w:rsid w:val="006306B1"/>
    <w:rsid w:val="0063087C"/>
    <w:rsid w:val="00631E44"/>
    <w:rsid w:val="00633A66"/>
    <w:rsid w:val="00635369"/>
    <w:rsid w:val="00636BF6"/>
    <w:rsid w:val="00636F03"/>
    <w:rsid w:val="0064042E"/>
    <w:rsid w:val="00643481"/>
    <w:rsid w:val="00645606"/>
    <w:rsid w:val="00650852"/>
    <w:rsid w:val="00652DB9"/>
    <w:rsid w:val="0065478C"/>
    <w:rsid w:val="006547BB"/>
    <w:rsid w:val="006551C1"/>
    <w:rsid w:val="00656BA9"/>
    <w:rsid w:val="006573FD"/>
    <w:rsid w:val="00666AF4"/>
    <w:rsid w:val="00666EF8"/>
    <w:rsid w:val="0067094E"/>
    <w:rsid w:val="00674A7D"/>
    <w:rsid w:val="0067738B"/>
    <w:rsid w:val="0067795D"/>
    <w:rsid w:val="00680352"/>
    <w:rsid w:val="00680657"/>
    <w:rsid w:val="006807EB"/>
    <w:rsid w:val="00680B6E"/>
    <w:rsid w:val="00681328"/>
    <w:rsid w:val="006836C7"/>
    <w:rsid w:val="0068383E"/>
    <w:rsid w:val="0068578B"/>
    <w:rsid w:val="00687A94"/>
    <w:rsid w:val="00687AFC"/>
    <w:rsid w:val="00687F1F"/>
    <w:rsid w:val="00690037"/>
    <w:rsid w:val="00691097"/>
    <w:rsid w:val="00691896"/>
    <w:rsid w:val="00692A41"/>
    <w:rsid w:val="0069378C"/>
    <w:rsid w:val="00693832"/>
    <w:rsid w:val="00694EC9"/>
    <w:rsid w:val="00695A3D"/>
    <w:rsid w:val="00695CF4"/>
    <w:rsid w:val="00696588"/>
    <w:rsid w:val="006A2B27"/>
    <w:rsid w:val="006A577A"/>
    <w:rsid w:val="006A7E37"/>
    <w:rsid w:val="006B18F1"/>
    <w:rsid w:val="006B1D5D"/>
    <w:rsid w:val="006B2A7E"/>
    <w:rsid w:val="006B2F93"/>
    <w:rsid w:val="006B380C"/>
    <w:rsid w:val="006B69F0"/>
    <w:rsid w:val="006B6D6E"/>
    <w:rsid w:val="006B6D9C"/>
    <w:rsid w:val="006C46E3"/>
    <w:rsid w:val="006C7F8A"/>
    <w:rsid w:val="006D2225"/>
    <w:rsid w:val="006D3969"/>
    <w:rsid w:val="006D3A94"/>
    <w:rsid w:val="006D44B0"/>
    <w:rsid w:val="006D7417"/>
    <w:rsid w:val="006D763F"/>
    <w:rsid w:val="006E0676"/>
    <w:rsid w:val="006E09BA"/>
    <w:rsid w:val="006E1BDA"/>
    <w:rsid w:val="006E38E6"/>
    <w:rsid w:val="006E398A"/>
    <w:rsid w:val="006E3C08"/>
    <w:rsid w:val="006E3D1C"/>
    <w:rsid w:val="006E42E0"/>
    <w:rsid w:val="006E5D4B"/>
    <w:rsid w:val="006E682B"/>
    <w:rsid w:val="006E6B59"/>
    <w:rsid w:val="006E6D2F"/>
    <w:rsid w:val="006E7268"/>
    <w:rsid w:val="006E7772"/>
    <w:rsid w:val="006E7A01"/>
    <w:rsid w:val="006E7CB6"/>
    <w:rsid w:val="006F10E5"/>
    <w:rsid w:val="006F3BB3"/>
    <w:rsid w:val="006F3F64"/>
    <w:rsid w:val="006F4AAD"/>
    <w:rsid w:val="006F54BB"/>
    <w:rsid w:val="006F55D8"/>
    <w:rsid w:val="006F5634"/>
    <w:rsid w:val="006F611A"/>
    <w:rsid w:val="0070483F"/>
    <w:rsid w:val="00705A23"/>
    <w:rsid w:val="00705F78"/>
    <w:rsid w:val="007113F8"/>
    <w:rsid w:val="00711942"/>
    <w:rsid w:val="00712583"/>
    <w:rsid w:val="00714466"/>
    <w:rsid w:val="00715DF9"/>
    <w:rsid w:val="00716D9A"/>
    <w:rsid w:val="007218F1"/>
    <w:rsid w:val="007235B3"/>
    <w:rsid w:val="00724D56"/>
    <w:rsid w:val="0072570D"/>
    <w:rsid w:val="007325EF"/>
    <w:rsid w:val="007326E3"/>
    <w:rsid w:val="0073642D"/>
    <w:rsid w:val="0073693C"/>
    <w:rsid w:val="007370F6"/>
    <w:rsid w:val="00740EBB"/>
    <w:rsid w:val="00743474"/>
    <w:rsid w:val="007438B0"/>
    <w:rsid w:val="0074433A"/>
    <w:rsid w:val="007466DD"/>
    <w:rsid w:val="00746C46"/>
    <w:rsid w:val="00754429"/>
    <w:rsid w:val="007547E0"/>
    <w:rsid w:val="007566AB"/>
    <w:rsid w:val="007570A9"/>
    <w:rsid w:val="00762EB2"/>
    <w:rsid w:val="00762FA4"/>
    <w:rsid w:val="00764B38"/>
    <w:rsid w:val="00764B63"/>
    <w:rsid w:val="007707B5"/>
    <w:rsid w:val="007713D3"/>
    <w:rsid w:val="0077241A"/>
    <w:rsid w:val="007730F2"/>
    <w:rsid w:val="007739AE"/>
    <w:rsid w:val="00775B85"/>
    <w:rsid w:val="00777BEE"/>
    <w:rsid w:val="007800CD"/>
    <w:rsid w:val="00781FE6"/>
    <w:rsid w:val="0078272C"/>
    <w:rsid w:val="00783E5E"/>
    <w:rsid w:val="0078434A"/>
    <w:rsid w:val="007875A5"/>
    <w:rsid w:val="0079185A"/>
    <w:rsid w:val="00794A41"/>
    <w:rsid w:val="0079617A"/>
    <w:rsid w:val="007A0C63"/>
    <w:rsid w:val="007A22ED"/>
    <w:rsid w:val="007A360E"/>
    <w:rsid w:val="007A7C5A"/>
    <w:rsid w:val="007B1FB0"/>
    <w:rsid w:val="007B5366"/>
    <w:rsid w:val="007B61CD"/>
    <w:rsid w:val="007B68A4"/>
    <w:rsid w:val="007C14BA"/>
    <w:rsid w:val="007C1B57"/>
    <w:rsid w:val="007C4245"/>
    <w:rsid w:val="007D0580"/>
    <w:rsid w:val="007D0770"/>
    <w:rsid w:val="007D1B49"/>
    <w:rsid w:val="007D2831"/>
    <w:rsid w:val="007D51C8"/>
    <w:rsid w:val="007D73B3"/>
    <w:rsid w:val="007E125B"/>
    <w:rsid w:val="007F0C62"/>
    <w:rsid w:val="007F16D1"/>
    <w:rsid w:val="007F212B"/>
    <w:rsid w:val="007F7FA4"/>
    <w:rsid w:val="00800B65"/>
    <w:rsid w:val="00801A65"/>
    <w:rsid w:val="00801C8A"/>
    <w:rsid w:val="00802FD2"/>
    <w:rsid w:val="00803BDF"/>
    <w:rsid w:val="0080410D"/>
    <w:rsid w:val="008042CE"/>
    <w:rsid w:val="0080499C"/>
    <w:rsid w:val="0080571A"/>
    <w:rsid w:val="008062E8"/>
    <w:rsid w:val="00806651"/>
    <w:rsid w:val="00807246"/>
    <w:rsid w:val="00811300"/>
    <w:rsid w:val="00811CCD"/>
    <w:rsid w:val="00813360"/>
    <w:rsid w:val="00813E8F"/>
    <w:rsid w:val="00814023"/>
    <w:rsid w:val="0081555C"/>
    <w:rsid w:val="008213E6"/>
    <w:rsid w:val="008219E4"/>
    <w:rsid w:val="00821D66"/>
    <w:rsid w:val="00824291"/>
    <w:rsid w:val="008245C5"/>
    <w:rsid w:val="008328A9"/>
    <w:rsid w:val="00835118"/>
    <w:rsid w:val="008412BD"/>
    <w:rsid w:val="00841425"/>
    <w:rsid w:val="00843BD2"/>
    <w:rsid w:val="00844BF9"/>
    <w:rsid w:val="008458AB"/>
    <w:rsid w:val="00846E6C"/>
    <w:rsid w:val="008507BE"/>
    <w:rsid w:val="00850BFB"/>
    <w:rsid w:val="00853832"/>
    <w:rsid w:val="00856455"/>
    <w:rsid w:val="0085679F"/>
    <w:rsid w:val="0086163E"/>
    <w:rsid w:val="0086246F"/>
    <w:rsid w:val="0086289C"/>
    <w:rsid w:val="0086773E"/>
    <w:rsid w:val="00871E5E"/>
    <w:rsid w:val="008725D6"/>
    <w:rsid w:val="008726F6"/>
    <w:rsid w:val="008737EF"/>
    <w:rsid w:val="008746AE"/>
    <w:rsid w:val="00875CF2"/>
    <w:rsid w:val="008763C9"/>
    <w:rsid w:val="00877458"/>
    <w:rsid w:val="00880434"/>
    <w:rsid w:val="008834AB"/>
    <w:rsid w:val="00884309"/>
    <w:rsid w:val="00885390"/>
    <w:rsid w:val="008863A0"/>
    <w:rsid w:val="008868B1"/>
    <w:rsid w:val="008868E3"/>
    <w:rsid w:val="00886A80"/>
    <w:rsid w:val="008912D0"/>
    <w:rsid w:val="008948A3"/>
    <w:rsid w:val="00896771"/>
    <w:rsid w:val="00897062"/>
    <w:rsid w:val="008A1057"/>
    <w:rsid w:val="008A1D0A"/>
    <w:rsid w:val="008A2DD3"/>
    <w:rsid w:val="008A34D6"/>
    <w:rsid w:val="008A5EAF"/>
    <w:rsid w:val="008A5F0C"/>
    <w:rsid w:val="008A73F2"/>
    <w:rsid w:val="008B3129"/>
    <w:rsid w:val="008B64D0"/>
    <w:rsid w:val="008B6819"/>
    <w:rsid w:val="008C008C"/>
    <w:rsid w:val="008C1950"/>
    <w:rsid w:val="008C21B6"/>
    <w:rsid w:val="008C2FC2"/>
    <w:rsid w:val="008C3114"/>
    <w:rsid w:val="008C38E7"/>
    <w:rsid w:val="008C548B"/>
    <w:rsid w:val="008C5E17"/>
    <w:rsid w:val="008C7803"/>
    <w:rsid w:val="008D010A"/>
    <w:rsid w:val="008D0A32"/>
    <w:rsid w:val="008D361E"/>
    <w:rsid w:val="008D432D"/>
    <w:rsid w:val="008D43A9"/>
    <w:rsid w:val="008D48CA"/>
    <w:rsid w:val="008D54AE"/>
    <w:rsid w:val="008D6344"/>
    <w:rsid w:val="008E157A"/>
    <w:rsid w:val="008E200B"/>
    <w:rsid w:val="008E50C6"/>
    <w:rsid w:val="008E51F9"/>
    <w:rsid w:val="008E55D1"/>
    <w:rsid w:val="008E61BA"/>
    <w:rsid w:val="008E7523"/>
    <w:rsid w:val="008F10CA"/>
    <w:rsid w:val="008F17C0"/>
    <w:rsid w:val="008F19A7"/>
    <w:rsid w:val="008F3057"/>
    <w:rsid w:val="008F333D"/>
    <w:rsid w:val="008F42B6"/>
    <w:rsid w:val="008F4B35"/>
    <w:rsid w:val="008F5146"/>
    <w:rsid w:val="008F6158"/>
    <w:rsid w:val="0090386A"/>
    <w:rsid w:val="00903AC8"/>
    <w:rsid w:val="00904ED9"/>
    <w:rsid w:val="00906AD8"/>
    <w:rsid w:val="00910A76"/>
    <w:rsid w:val="00911A54"/>
    <w:rsid w:val="0091690B"/>
    <w:rsid w:val="00917417"/>
    <w:rsid w:val="009204BF"/>
    <w:rsid w:val="00920712"/>
    <w:rsid w:val="00921EB6"/>
    <w:rsid w:val="0092289B"/>
    <w:rsid w:val="00923C06"/>
    <w:rsid w:val="00926186"/>
    <w:rsid w:val="00927CEA"/>
    <w:rsid w:val="00930E4D"/>
    <w:rsid w:val="009316B1"/>
    <w:rsid w:val="00933966"/>
    <w:rsid w:val="009429E9"/>
    <w:rsid w:val="00943843"/>
    <w:rsid w:val="00943899"/>
    <w:rsid w:val="009449E4"/>
    <w:rsid w:val="0095082E"/>
    <w:rsid w:val="0095175C"/>
    <w:rsid w:val="00951A72"/>
    <w:rsid w:val="0095290F"/>
    <w:rsid w:val="009561B7"/>
    <w:rsid w:val="0096425D"/>
    <w:rsid w:val="009647F8"/>
    <w:rsid w:val="009668BE"/>
    <w:rsid w:val="0097306E"/>
    <w:rsid w:val="009773F9"/>
    <w:rsid w:val="00984923"/>
    <w:rsid w:val="00986A42"/>
    <w:rsid w:val="009904CE"/>
    <w:rsid w:val="00992927"/>
    <w:rsid w:val="0099478C"/>
    <w:rsid w:val="00994B9D"/>
    <w:rsid w:val="00997AFD"/>
    <w:rsid w:val="009A0E57"/>
    <w:rsid w:val="009A1B8B"/>
    <w:rsid w:val="009A35D3"/>
    <w:rsid w:val="009B3A45"/>
    <w:rsid w:val="009B3D8C"/>
    <w:rsid w:val="009C1F64"/>
    <w:rsid w:val="009C51BF"/>
    <w:rsid w:val="009C53FA"/>
    <w:rsid w:val="009C639F"/>
    <w:rsid w:val="009C6C22"/>
    <w:rsid w:val="009D02CA"/>
    <w:rsid w:val="009D08BF"/>
    <w:rsid w:val="009D0AAD"/>
    <w:rsid w:val="009D169B"/>
    <w:rsid w:val="009D43EB"/>
    <w:rsid w:val="009D4D6F"/>
    <w:rsid w:val="009D6A05"/>
    <w:rsid w:val="009E2CD5"/>
    <w:rsid w:val="009E41E4"/>
    <w:rsid w:val="009E70C0"/>
    <w:rsid w:val="009E763C"/>
    <w:rsid w:val="009E7BCF"/>
    <w:rsid w:val="009F3E70"/>
    <w:rsid w:val="009F408E"/>
    <w:rsid w:val="009F48E4"/>
    <w:rsid w:val="009F5479"/>
    <w:rsid w:val="009F611F"/>
    <w:rsid w:val="009F66A0"/>
    <w:rsid w:val="00A00313"/>
    <w:rsid w:val="00A01C0A"/>
    <w:rsid w:val="00A02301"/>
    <w:rsid w:val="00A02D09"/>
    <w:rsid w:val="00A049EC"/>
    <w:rsid w:val="00A11583"/>
    <w:rsid w:val="00A11CD0"/>
    <w:rsid w:val="00A1359E"/>
    <w:rsid w:val="00A1386B"/>
    <w:rsid w:val="00A15519"/>
    <w:rsid w:val="00A174D4"/>
    <w:rsid w:val="00A238C8"/>
    <w:rsid w:val="00A274BE"/>
    <w:rsid w:val="00A3158E"/>
    <w:rsid w:val="00A3308B"/>
    <w:rsid w:val="00A34C29"/>
    <w:rsid w:val="00A351D1"/>
    <w:rsid w:val="00A4052C"/>
    <w:rsid w:val="00A43356"/>
    <w:rsid w:val="00A43F9C"/>
    <w:rsid w:val="00A44FBF"/>
    <w:rsid w:val="00A45340"/>
    <w:rsid w:val="00A45B10"/>
    <w:rsid w:val="00A461BF"/>
    <w:rsid w:val="00A519B7"/>
    <w:rsid w:val="00A544B7"/>
    <w:rsid w:val="00A548E0"/>
    <w:rsid w:val="00A54B44"/>
    <w:rsid w:val="00A61860"/>
    <w:rsid w:val="00A628B2"/>
    <w:rsid w:val="00A6596C"/>
    <w:rsid w:val="00A661D2"/>
    <w:rsid w:val="00A673BE"/>
    <w:rsid w:val="00A67E18"/>
    <w:rsid w:val="00A70122"/>
    <w:rsid w:val="00A71C50"/>
    <w:rsid w:val="00A71EED"/>
    <w:rsid w:val="00A72459"/>
    <w:rsid w:val="00A7322B"/>
    <w:rsid w:val="00A73936"/>
    <w:rsid w:val="00A80DF9"/>
    <w:rsid w:val="00A84A9B"/>
    <w:rsid w:val="00A8521F"/>
    <w:rsid w:val="00A863B4"/>
    <w:rsid w:val="00A8680D"/>
    <w:rsid w:val="00A87708"/>
    <w:rsid w:val="00A90BA7"/>
    <w:rsid w:val="00A90DFF"/>
    <w:rsid w:val="00A91CB1"/>
    <w:rsid w:val="00A91F40"/>
    <w:rsid w:val="00A93120"/>
    <w:rsid w:val="00A9469F"/>
    <w:rsid w:val="00A94BAC"/>
    <w:rsid w:val="00AA1453"/>
    <w:rsid w:val="00AA1CDE"/>
    <w:rsid w:val="00AA3518"/>
    <w:rsid w:val="00AA3B5F"/>
    <w:rsid w:val="00AA4B51"/>
    <w:rsid w:val="00AA52F6"/>
    <w:rsid w:val="00AA5865"/>
    <w:rsid w:val="00AA5B91"/>
    <w:rsid w:val="00AA6271"/>
    <w:rsid w:val="00AA7051"/>
    <w:rsid w:val="00AA7C63"/>
    <w:rsid w:val="00AB00A3"/>
    <w:rsid w:val="00AB30DD"/>
    <w:rsid w:val="00AB5BB5"/>
    <w:rsid w:val="00AB61A8"/>
    <w:rsid w:val="00AC35C0"/>
    <w:rsid w:val="00AC3D40"/>
    <w:rsid w:val="00AC3E74"/>
    <w:rsid w:val="00AC4141"/>
    <w:rsid w:val="00AC5098"/>
    <w:rsid w:val="00AC6A90"/>
    <w:rsid w:val="00AC6C2C"/>
    <w:rsid w:val="00AC7540"/>
    <w:rsid w:val="00AC7FFE"/>
    <w:rsid w:val="00AD1456"/>
    <w:rsid w:val="00AD18FF"/>
    <w:rsid w:val="00AD2A5B"/>
    <w:rsid w:val="00AD401C"/>
    <w:rsid w:val="00AD4604"/>
    <w:rsid w:val="00AD500B"/>
    <w:rsid w:val="00AD5726"/>
    <w:rsid w:val="00AD5B64"/>
    <w:rsid w:val="00AD5D43"/>
    <w:rsid w:val="00AD7226"/>
    <w:rsid w:val="00AE185C"/>
    <w:rsid w:val="00AE2276"/>
    <w:rsid w:val="00AE2ED1"/>
    <w:rsid w:val="00AE37CE"/>
    <w:rsid w:val="00AE432F"/>
    <w:rsid w:val="00AE461E"/>
    <w:rsid w:val="00AE64F5"/>
    <w:rsid w:val="00AF0FD7"/>
    <w:rsid w:val="00AF37F2"/>
    <w:rsid w:val="00AF4B6D"/>
    <w:rsid w:val="00AF659A"/>
    <w:rsid w:val="00AF77C0"/>
    <w:rsid w:val="00B00921"/>
    <w:rsid w:val="00B01CE6"/>
    <w:rsid w:val="00B03327"/>
    <w:rsid w:val="00B04E96"/>
    <w:rsid w:val="00B11648"/>
    <w:rsid w:val="00B124D6"/>
    <w:rsid w:val="00B125AE"/>
    <w:rsid w:val="00B13181"/>
    <w:rsid w:val="00B14A32"/>
    <w:rsid w:val="00B23F48"/>
    <w:rsid w:val="00B25090"/>
    <w:rsid w:val="00B26BAD"/>
    <w:rsid w:val="00B27674"/>
    <w:rsid w:val="00B4009F"/>
    <w:rsid w:val="00B40EFC"/>
    <w:rsid w:val="00B41C80"/>
    <w:rsid w:val="00B41E1C"/>
    <w:rsid w:val="00B42A41"/>
    <w:rsid w:val="00B43D34"/>
    <w:rsid w:val="00B43FD9"/>
    <w:rsid w:val="00B43FE5"/>
    <w:rsid w:val="00B45DD7"/>
    <w:rsid w:val="00B469C3"/>
    <w:rsid w:val="00B4799E"/>
    <w:rsid w:val="00B509BF"/>
    <w:rsid w:val="00B50CB1"/>
    <w:rsid w:val="00B512FC"/>
    <w:rsid w:val="00B53B33"/>
    <w:rsid w:val="00B56EE2"/>
    <w:rsid w:val="00B60E79"/>
    <w:rsid w:val="00B7228A"/>
    <w:rsid w:val="00B7259B"/>
    <w:rsid w:val="00B726B7"/>
    <w:rsid w:val="00B74470"/>
    <w:rsid w:val="00B749C4"/>
    <w:rsid w:val="00B77F2F"/>
    <w:rsid w:val="00B804C2"/>
    <w:rsid w:val="00B81BC3"/>
    <w:rsid w:val="00B84786"/>
    <w:rsid w:val="00B85010"/>
    <w:rsid w:val="00B92B5D"/>
    <w:rsid w:val="00B92B93"/>
    <w:rsid w:val="00B930F1"/>
    <w:rsid w:val="00B931B8"/>
    <w:rsid w:val="00B9640A"/>
    <w:rsid w:val="00BA1498"/>
    <w:rsid w:val="00BA14A3"/>
    <w:rsid w:val="00BA4237"/>
    <w:rsid w:val="00BA4FC1"/>
    <w:rsid w:val="00BA572C"/>
    <w:rsid w:val="00BA5DBE"/>
    <w:rsid w:val="00BA6420"/>
    <w:rsid w:val="00BB0022"/>
    <w:rsid w:val="00BB238D"/>
    <w:rsid w:val="00BB30E9"/>
    <w:rsid w:val="00BB4E7C"/>
    <w:rsid w:val="00BB5BD5"/>
    <w:rsid w:val="00BB5D19"/>
    <w:rsid w:val="00BB5D34"/>
    <w:rsid w:val="00BB6545"/>
    <w:rsid w:val="00BC042F"/>
    <w:rsid w:val="00BC0B04"/>
    <w:rsid w:val="00BC17C0"/>
    <w:rsid w:val="00BC4E18"/>
    <w:rsid w:val="00BC5A73"/>
    <w:rsid w:val="00BC6984"/>
    <w:rsid w:val="00BC787F"/>
    <w:rsid w:val="00BD0491"/>
    <w:rsid w:val="00BD244B"/>
    <w:rsid w:val="00BD26FF"/>
    <w:rsid w:val="00BD34B7"/>
    <w:rsid w:val="00BE0009"/>
    <w:rsid w:val="00BE121E"/>
    <w:rsid w:val="00BE33C5"/>
    <w:rsid w:val="00BE67C0"/>
    <w:rsid w:val="00BF143D"/>
    <w:rsid w:val="00BF174E"/>
    <w:rsid w:val="00BF344C"/>
    <w:rsid w:val="00BF6653"/>
    <w:rsid w:val="00C018C1"/>
    <w:rsid w:val="00C06D9B"/>
    <w:rsid w:val="00C10030"/>
    <w:rsid w:val="00C12E5E"/>
    <w:rsid w:val="00C148D1"/>
    <w:rsid w:val="00C14E65"/>
    <w:rsid w:val="00C172B8"/>
    <w:rsid w:val="00C17FC6"/>
    <w:rsid w:val="00C21DB5"/>
    <w:rsid w:val="00C22766"/>
    <w:rsid w:val="00C24553"/>
    <w:rsid w:val="00C26DF9"/>
    <w:rsid w:val="00C27F1E"/>
    <w:rsid w:val="00C3025B"/>
    <w:rsid w:val="00C326E5"/>
    <w:rsid w:val="00C3324D"/>
    <w:rsid w:val="00C36CF2"/>
    <w:rsid w:val="00C37ABA"/>
    <w:rsid w:val="00C41507"/>
    <w:rsid w:val="00C41C8F"/>
    <w:rsid w:val="00C44518"/>
    <w:rsid w:val="00C447AD"/>
    <w:rsid w:val="00C45701"/>
    <w:rsid w:val="00C46304"/>
    <w:rsid w:val="00C51836"/>
    <w:rsid w:val="00C5367B"/>
    <w:rsid w:val="00C557DD"/>
    <w:rsid w:val="00C56999"/>
    <w:rsid w:val="00C620EB"/>
    <w:rsid w:val="00C629B0"/>
    <w:rsid w:val="00C63659"/>
    <w:rsid w:val="00C643EC"/>
    <w:rsid w:val="00C65829"/>
    <w:rsid w:val="00C6667C"/>
    <w:rsid w:val="00C66739"/>
    <w:rsid w:val="00C67203"/>
    <w:rsid w:val="00C678FF"/>
    <w:rsid w:val="00C72398"/>
    <w:rsid w:val="00C7556B"/>
    <w:rsid w:val="00C800A7"/>
    <w:rsid w:val="00C80D66"/>
    <w:rsid w:val="00C818C9"/>
    <w:rsid w:val="00C8255D"/>
    <w:rsid w:val="00C834E2"/>
    <w:rsid w:val="00C83D64"/>
    <w:rsid w:val="00C83E6A"/>
    <w:rsid w:val="00C91786"/>
    <w:rsid w:val="00C942DD"/>
    <w:rsid w:val="00C9516D"/>
    <w:rsid w:val="00C96654"/>
    <w:rsid w:val="00CA07CA"/>
    <w:rsid w:val="00CA249F"/>
    <w:rsid w:val="00CA3D98"/>
    <w:rsid w:val="00CA46ED"/>
    <w:rsid w:val="00CA6515"/>
    <w:rsid w:val="00CA6776"/>
    <w:rsid w:val="00CB06D0"/>
    <w:rsid w:val="00CB2709"/>
    <w:rsid w:val="00CB2D1C"/>
    <w:rsid w:val="00CB2EEE"/>
    <w:rsid w:val="00CB4DBD"/>
    <w:rsid w:val="00CB5CBA"/>
    <w:rsid w:val="00CB672F"/>
    <w:rsid w:val="00CB6D39"/>
    <w:rsid w:val="00CB71D6"/>
    <w:rsid w:val="00CC0FFD"/>
    <w:rsid w:val="00CC2952"/>
    <w:rsid w:val="00CC2A48"/>
    <w:rsid w:val="00CC4866"/>
    <w:rsid w:val="00CC4E03"/>
    <w:rsid w:val="00CC5E9F"/>
    <w:rsid w:val="00CD0AE9"/>
    <w:rsid w:val="00CD1BC4"/>
    <w:rsid w:val="00CD1E38"/>
    <w:rsid w:val="00CD3082"/>
    <w:rsid w:val="00CD4353"/>
    <w:rsid w:val="00CD6276"/>
    <w:rsid w:val="00CD672F"/>
    <w:rsid w:val="00CE016C"/>
    <w:rsid w:val="00CE222A"/>
    <w:rsid w:val="00CE389E"/>
    <w:rsid w:val="00CE3961"/>
    <w:rsid w:val="00CE56B2"/>
    <w:rsid w:val="00CE623B"/>
    <w:rsid w:val="00CE7010"/>
    <w:rsid w:val="00CF24E4"/>
    <w:rsid w:val="00CF370B"/>
    <w:rsid w:val="00CF5249"/>
    <w:rsid w:val="00CF5D52"/>
    <w:rsid w:val="00CF6145"/>
    <w:rsid w:val="00CF6B9B"/>
    <w:rsid w:val="00CF7243"/>
    <w:rsid w:val="00D019EF"/>
    <w:rsid w:val="00D0283E"/>
    <w:rsid w:val="00D02E34"/>
    <w:rsid w:val="00D031AE"/>
    <w:rsid w:val="00D04049"/>
    <w:rsid w:val="00D04406"/>
    <w:rsid w:val="00D06CD7"/>
    <w:rsid w:val="00D07D6F"/>
    <w:rsid w:val="00D129A0"/>
    <w:rsid w:val="00D12D1C"/>
    <w:rsid w:val="00D17174"/>
    <w:rsid w:val="00D20746"/>
    <w:rsid w:val="00D21BF3"/>
    <w:rsid w:val="00D306D7"/>
    <w:rsid w:val="00D31E33"/>
    <w:rsid w:val="00D33019"/>
    <w:rsid w:val="00D333E6"/>
    <w:rsid w:val="00D34A32"/>
    <w:rsid w:val="00D36988"/>
    <w:rsid w:val="00D36E2B"/>
    <w:rsid w:val="00D37E7A"/>
    <w:rsid w:val="00D4141C"/>
    <w:rsid w:val="00D425EA"/>
    <w:rsid w:val="00D44268"/>
    <w:rsid w:val="00D46C9A"/>
    <w:rsid w:val="00D47549"/>
    <w:rsid w:val="00D50DDA"/>
    <w:rsid w:val="00D53F99"/>
    <w:rsid w:val="00D57D30"/>
    <w:rsid w:val="00D67222"/>
    <w:rsid w:val="00D6729E"/>
    <w:rsid w:val="00D74D63"/>
    <w:rsid w:val="00D75A06"/>
    <w:rsid w:val="00D75D11"/>
    <w:rsid w:val="00D76205"/>
    <w:rsid w:val="00D7716E"/>
    <w:rsid w:val="00D77369"/>
    <w:rsid w:val="00D82537"/>
    <w:rsid w:val="00D830DF"/>
    <w:rsid w:val="00D83348"/>
    <w:rsid w:val="00D849D0"/>
    <w:rsid w:val="00D84E39"/>
    <w:rsid w:val="00D853D4"/>
    <w:rsid w:val="00D910CA"/>
    <w:rsid w:val="00D9229F"/>
    <w:rsid w:val="00D93EDA"/>
    <w:rsid w:val="00D9780D"/>
    <w:rsid w:val="00D97A04"/>
    <w:rsid w:val="00DA2411"/>
    <w:rsid w:val="00DA2549"/>
    <w:rsid w:val="00DA4635"/>
    <w:rsid w:val="00DA53C3"/>
    <w:rsid w:val="00DA6286"/>
    <w:rsid w:val="00DB29D1"/>
    <w:rsid w:val="00DB42BB"/>
    <w:rsid w:val="00DB4406"/>
    <w:rsid w:val="00DB76BB"/>
    <w:rsid w:val="00DB76CC"/>
    <w:rsid w:val="00DC0760"/>
    <w:rsid w:val="00DC0896"/>
    <w:rsid w:val="00DC11A3"/>
    <w:rsid w:val="00DC2024"/>
    <w:rsid w:val="00DC3E26"/>
    <w:rsid w:val="00DC5840"/>
    <w:rsid w:val="00DC6B1D"/>
    <w:rsid w:val="00DC6BDD"/>
    <w:rsid w:val="00DC761F"/>
    <w:rsid w:val="00DD0B8C"/>
    <w:rsid w:val="00DD3807"/>
    <w:rsid w:val="00DD38A0"/>
    <w:rsid w:val="00DD3D3B"/>
    <w:rsid w:val="00DD3FBD"/>
    <w:rsid w:val="00DD4A9A"/>
    <w:rsid w:val="00DD5BFA"/>
    <w:rsid w:val="00DD5EC1"/>
    <w:rsid w:val="00DE0F5A"/>
    <w:rsid w:val="00DE348D"/>
    <w:rsid w:val="00DE3D70"/>
    <w:rsid w:val="00DE761A"/>
    <w:rsid w:val="00DE7E12"/>
    <w:rsid w:val="00DF0B6A"/>
    <w:rsid w:val="00DF4DEB"/>
    <w:rsid w:val="00DF5F10"/>
    <w:rsid w:val="00DF60F7"/>
    <w:rsid w:val="00DF64F5"/>
    <w:rsid w:val="00E01726"/>
    <w:rsid w:val="00E03DD0"/>
    <w:rsid w:val="00E0469C"/>
    <w:rsid w:val="00E1034A"/>
    <w:rsid w:val="00E1052B"/>
    <w:rsid w:val="00E10B57"/>
    <w:rsid w:val="00E167CD"/>
    <w:rsid w:val="00E20267"/>
    <w:rsid w:val="00E20DE9"/>
    <w:rsid w:val="00E22AAD"/>
    <w:rsid w:val="00E24332"/>
    <w:rsid w:val="00E25306"/>
    <w:rsid w:val="00E25993"/>
    <w:rsid w:val="00E261C6"/>
    <w:rsid w:val="00E317D5"/>
    <w:rsid w:val="00E32843"/>
    <w:rsid w:val="00E34F69"/>
    <w:rsid w:val="00E3556D"/>
    <w:rsid w:val="00E36B62"/>
    <w:rsid w:val="00E370A0"/>
    <w:rsid w:val="00E3717C"/>
    <w:rsid w:val="00E37CA4"/>
    <w:rsid w:val="00E4206D"/>
    <w:rsid w:val="00E44954"/>
    <w:rsid w:val="00E4772C"/>
    <w:rsid w:val="00E515CF"/>
    <w:rsid w:val="00E53102"/>
    <w:rsid w:val="00E53904"/>
    <w:rsid w:val="00E5393C"/>
    <w:rsid w:val="00E5609F"/>
    <w:rsid w:val="00E56E5E"/>
    <w:rsid w:val="00E6589E"/>
    <w:rsid w:val="00E6600E"/>
    <w:rsid w:val="00E66276"/>
    <w:rsid w:val="00E675E8"/>
    <w:rsid w:val="00E71384"/>
    <w:rsid w:val="00E732C7"/>
    <w:rsid w:val="00E734E4"/>
    <w:rsid w:val="00E76605"/>
    <w:rsid w:val="00E8048C"/>
    <w:rsid w:val="00E82045"/>
    <w:rsid w:val="00E86CC8"/>
    <w:rsid w:val="00E87768"/>
    <w:rsid w:val="00E87874"/>
    <w:rsid w:val="00E87A4C"/>
    <w:rsid w:val="00E87D02"/>
    <w:rsid w:val="00E91092"/>
    <w:rsid w:val="00E91667"/>
    <w:rsid w:val="00E92F19"/>
    <w:rsid w:val="00E93EFD"/>
    <w:rsid w:val="00E941F8"/>
    <w:rsid w:val="00E94B51"/>
    <w:rsid w:val="00E9700E"/>
    <w:rsid w:val="00EA1558"/>
    <w:rsid w:val="00EA2C87"/>
    <w:rsid w:val="00EA4FB0"/>
    <w:rsid w:val="00EA789B"/>
    <w:rsid w:val="00EA7D87"/>
    <w:rsid w:val="00EB2DB7"/>
    <w:rsid w:val="00EB537C"/>
    <w:rsid w:val="00EB65A2"/>
    <w:rsid w:val="00EB7C34"/>
    <w:rsid w:val="00EC225B"/>
    <w:rsid w:val="00EC2EB4"/>
    <w:rsid w:val="00EC3447"/>
    <w:rsid w:val="00EC3FC8"/>
    <w:rsid w:val="00EC4CDE"/>
    <w:rsid w:val="00EC74D8"/>
    <w:rsid w:val="00ED2BF0"/>
    <w:rsid w:val="00ED56D4"/>
    <w:rsid w:val="00ED5C93"/>
    <w:rsid w:val="00EE0960"/>
    <w:rsid w:val="00EE193D"/>
    <w:rsid w:val="00EE1C3F"/>
    <w:rsid w:val="00EE36D4"/>
    <w:rsid w:val="00EF1561"/>
    <w:rsid w:val="00EF2164"/>
    <w:rsid w:val="00EF2554"/>
    <w:rsid w:val="00EF3F8F"/>
    <w:rsid w:val="00EF4520"/>
    <w:rsid w:val="00EF706C"/>
    <w:rsid w:val="00F02100"/>
    <w:rsid w:val="00F031D0"/>
    <w:rsid w:val="00F03D6F"/>
    <w:rsid w:val="00F047E0"/>
    <w:rsid w:val="00F05BCB"/>
    <w:rsid w:val="00F061D0"/>
    <w:rsid w:val="00F06A06"/>
    <w:rsid w:val="00F073AF"/>
    <w:rsid w:val="00F11074"/>
    <w:rsid w:val="00F131C2"/>
    <w:rsid w:val="00F14423"/>
    <w:rsid w:val="00F14F19"/>
    <w:rsid w:val="00F15DE4"/>
    <w:rsid w:val="00F16EC1"/>
    <w:rsid w:val="00F20E54"/>
    <w:rsid w:val="00F21EFF"/>
    <w:rsid w:val="00F22DB1"/>
    <w:rsid w:val="00F2363E"/>
    <w:rsid w:val="00F2407D"/>
    <w:rsid w:val="00F24921"/>
    <w:rsid w:val="00F26480"/>
    <w:rsid w:val="00F31619"/>
    <w:rsid w:val="00F31E86"/>
    <w:rsid w:val="00F33B68"/>
    <w:rsid w:val="00F35317"/>
    <w:rsid w:val="00F35B52"/>
    <w:rsid w:val="00F35F7F"/>
    <w:rsid w:val="00F408B8"/>
    <w:rsid w:val="00F418B7"/>
    <w:rsid w:val="00F43D58"/>
    <w:rsid w:val="00F44765"/>
    <w:rsid w:val="00F47829"/>
    <w:rsid w:val="00F51390"/>
    <w:rsid w:val="00F529CE"/>
    <w:rsid w:val="00F540AA"/>
    <w:rsid w:val="00F54743"/>
    <w:rsid w:val="00F55D23"/>
    <w:rsid w:val="00F62205"/>
    <w:rsid w:val="00F65B5B"/>
    <w:rsid w:val="00F661FF"/>
    <w:rsid w:val="00F70212"/>
    <w:rsid w:val="00F70908"/>
    <w:rsid w:val="00F70D2D"/>
    <w:rsid w:val="00F7169C"/>
    <w:rsid w:val="00F725DA"/>
    <w:rsid w:val="00F75FB8"/>
    <w:rsid w:val="00F76DE7"/>
    <w:rsid w:val="00F77F5A"/>
    <w:rsid w:val="00F83A34"/>
    <w:rsid w:val="00F86486"/>
    <w:rsid w:val="00F90712"/>
    <w:rsid w:val="00F9155F"/>
    <w:rsid w:val="00F93BD1"/>
    <w:rsid w:val="00F93EB6"/>
    <w:rsid w:val="00F96CA2"/>
    <w:rsid w:val="00FA0030"/>
    <w:rsid w:val="00FA1076"/>
    <w:rsid w:val="00FA4045"/>
    <w:rsid w:val="00FB03D5"/>
    <w:rsid w:val="00FB1A1F"/>
    <w:rsid w:val="00FB38C4"/>
    <w:rsid w:val="00FB434B"/>
    <w:rsid w:val="00FB43F1"/>
    <w:rsid w:val="00FB5E64"/>
    <w:rsid w:val="00FB609F"/>
    <w:rsid w:val="00FC12A9"/>
    <w:rsid w:val="00FC17C2"/>
    <w:rsid w:val="00FC2439"/>
    <w:rsid w:val="00FC4054"/>
    <w:rsid w:val="00FC4C2B"/>
    <w:rsid w:val="00FC58EE"/>
    <w:rsid w:val="00FC630D"/>
    <w:rsid w:val="00FC726E"/>
    <w:rsid w:val="00FC7C8C"/>
    <w:rsid w:val="00FD0286"/>
    <w:rsid w:val="00FD0D1B"/>
    <w:rsid w:val="00FD2F6C"/>
    <w:rsid w:val="00FD359E"/>
    <w:rsid w:val="00FD5532"/>
    <w:rsid w:val="00FD5DA6"/>
    <w:rsid w:val="00FE053B"/>
    <w:rsid w:val="00FE14FB"/>
    <w:rsid w:val="00FE2CCF"/>
    <w:rsid w:val="00FE2F79"/>
    <w:rsid w:val="00FE5C38"/>
    <w:rsid w:val="00FE7C94"/>
    <w:rsid w:val="00FF0574"/>
    <w:rsid w:val="00FF0C23"/>
    <w:rsid w:val="00FF1576"/>
    <w:rsid w:val="00FF2846"/>
    <w:rsid w:val="00FF386C"/>
    <w:rsid w:val="00FF637B"/>
    <w:rsid w:val="00FF791D"/>
    <w:rsid w:val="01765FEA"/>
    <w:rsid w:val="061E52B3"/>
    <w:rsid w:val="07F0694C"/>
    <w:rsid w:val="1104146A"/>
    <w:rsid w:val="164AAA7D"/>
    <w:rsid w:val="1B7912C3"/>
    <w:rsid w:val="1BFFECE7"/>
    <w:rsid w:val="359B6183"/>
    <w:rsid w:val="3A4CFD6C"/>
    <w:rsid w:val="3A79A23B"/>
    <w:rsid w:val="43E2F964"/>
    <w:rsid w:val="49C14B5C"/>
    <w:rsid w:val="4F4C4721"/>
    <w:rsid w:val="57802F89"/>
    <w:rsid w:val="5DB694B6"/>
    <w:rsid w:val="6BEFEFA9"/>
    <w:rsid w:val="70D6D245"/>
    <w:rsid w:val="726D86DE"/>
    <w:rsid w:val="74DC0AFD"/>
    <w:rsid w:val="74E5B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C54DF"/>
  <w15:chartTrackingRefBased/>
  <w15:docId w15:val="{78E53F37-AA31-4CF7-B35B-3C9E9DB6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List Number" w:uiPriority="99"/>
    <w:lsdException w:name="List Bullet 2" w:uiPriority="99"/>
    <w:lsdException w:name="List Number 2"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CB3"/>
    <w:rPr>
      <w:rFonts w:ascii="Calibri Light" w:eastAsiaTheme="minorEastAsia" w:hAnsi="Calibri Light"/>
      <w:color w:val="000000"/>
      <w:sz w:val="22"/>
      <w:szCs w:val="24"/>
      <w:lang w:val="en-GB" w:eastAsia="zh-TW"/>
    </w:rPr>
  </w:style>
  <w:style w:type="paragraph" w:styleId="Heading1">
    <w:name w:val="heading 1"/>
    <w:aliases w:val="Heading black"/>
    <w:next w:val="Normal"/>
    <w:link w:val="Heading1Char"/>
    <w:uiPriority w:val="9"/>
    <w:qFormat/>
    <w:rsid w:val="003F5CB3"/>
    <w:pPr>
      <w:keepNext/>
      <w:keepLines/>
      <w:outlineLvl w:val="0"/>
    </w:pPr>
    <w:rPr>
      <w:rFonts w:ascii="Calibri Light" w:eastAsiaTheme="majorEastAsia" w:hAnsi="Calibri Light" w:cstheme="majorBidi"/>
      <w:bCs/>
      <w:spacing w:val="-2"/>
      <w:kern w:val="28"/>
      <w:sz w:val="36"/>
      <w:szCs w:val="28"/>
      <w:lang w:val="en-GB"/>
    </w:rPr>
  </w:style>
  <w:style w:type="paragraph" w:styleId="Heading2">
    <w:name w:val="heading 2"/>
    <w:aliases w:val="Heading white"/>
    <w:next w:val="Normal"/>
    <w:link w:val="Heading2Char"/>
    <w:uiPriority w:val="9"/>
    <w:qFormat/>
    <w:rsid w:val="003F5CB3"/>
    <w:pPr>
      <w:keepNext/>
      <w:keepLines/>
      <w:spacing w:before="240" w:after="240" w:line="240" w:lineRule="atLeast"/>
      <w:outlineLvl w:val="1"/>
    </w:pPr>
    <w:rPr>
      <w:rFonts w:ascii="Calibri Light" w:eastAsiaTheme="majorEastAsia" w:hAnsi="Calibri Light" w:cstheme="majorBidi"/>
      <w:bCs/>
      <w:spacing w:val="4"/>
      <w:sz w:val="36"/>
      <w:szCs w:val="36"/>
    </w:rPr>
  </w:style>
  <w:style w:type="paragraph" w:styleId="Heading3">
    <w:name w:val="heading 3"/>
    <w:aliases w:val="Subheading black"/>
    <w:basedOn w:val="Normal"/>
    <w:next w:val="Normal"/>
    <w:link w:val="Heading3Char"/>
    <w:uiPriority w:val="9"/>
    <w:qFormat/>
    <w:rsid w:val="003F5CB3"/>
    <w:pPr>
      <w:keepNext/>
      <w:keepLines/>
      <w:outlineLvl w:val="2"/>
    </w:pPr>
    <w:rPr>
      <w:rFonts w:eastAsiaTheme="majorEastAsia" w:cstheme="majorBidi"/>
      <w:bCs/>
      <w:sz w:val="42"/>
    </w:rPr>
  </w:style>
  <w:style w:type="paragraph" w:styleId="Heading4">
    <w:name w:val="heading 4"/>
    <w:aliases w:val="Subheading white"/>
    <w:basedOn w:val="Heading3"/>
    <w:next w:val="Normal"/>
    <w:link w:val="Heading4Char"/>
    <w:uiPriority w:val="9"/>
    <w:qFormat/>
    <w:rsid w:val="003F5CB3"/>
    <w:pPr>
      <w:outlineLvl w:val="3"/>
    </w:pPr>
    <w:rPr>
      <w:color w:val="FFFFFF"/>
      <w:lang w:eastAsia="en-US"/>
    </w:rPr>
  </w:style>
  <w:style w:type="paragraph" w:styleId="Heading5">
    <w:name w:val="heading 5"/>
    <w:aliases w:val="Intro/Highlighted text"/>
    <w:next w:val="Normal"/>
    <w:link w:val="Heading5Char"/>
    <w:uiPriority w:val="9"/>
    <w:qFormat/>
    <w:rsid w:val="003F5CB3"/>
    <w:pPr>
      <w:spacing w:before="120" w:after="120"/>
      <w:outlineLvl w:val="4"/>
    </w:pPr>
    <w:rPr>
      <w:rFonts w:ascii="Calibri" w:eastAsiaTheme="majorEastAsia" w:hAnsi="Calibri" w:cstheme="majorBidi"/>
      <w:bCs/>
      <w:color w:val="000000"/>
      <w:sz w:val="36"/>
      <w:szCs w:val="24"/>
      <w:lang w:val="en-GB"/>
    </w:rPr>
  </w:style>
  <w:style w:type="paragraph" w:styleId="Heading6">
    <w:name w:val="heading 6"/>
    <w:aliases w:val="Section heading"/>
    <w:next w:val="Normal"/>
    <w:link w:val="Heading6Char"/>
    <w:uiPriority w:val="9"/>
    <w:qFormat/>
    <w:rsid w:val="003F5CB3"/>
    <w:pPr>
      <w:outlineLvl w:val="5"/>
    </w:pPr>
    <w:rPr>
      <w:rFonts w:ascii="Calibri" w:eastAsiaTheme="majorEastAsia" w:hAnsi="Calibri" w:cstheme="majorBidi"/>
      <w:b/>
      <w:bCs/>
      <w:color w:val="000000"/>
      <w:sz w:val="22"/>
      <w:szCs w:val="24"/>
      <w:lang w:val="en-GB"/>
    </w:rPr>
  </w:style>
  <w:style w:type="paragraph" w:styleId="Heading7">
    <w:name w:val="heading 7"/>
    <w:basedOn w:val="Heading6"/>
    <w:link w:val="Heading7Char"/>
    <w:qFormat/>
    <w:rsid w:val="003F5CB3"/>
    <w:pPr>
      <w:outlineLvl w:val="6"/>
    </w:pPr>
    <w:rPr>
      <w:sz w:val="20"/>
    </w:rPr>
  </w:style>
  <w:style w:type="paragraph" w:styleId="Heading8">
    <w:name w:val="heading 8"/>
    <w:basedOn w:val="Normal"/>
    <w:next w:val="Normal"/>
    <w:link w:val="Heading8Char"/>
    <w:qFormat/>
    <w:rsid w:val="003F5CB3"/>
    <w:pPr>
      <w:jc w:val="center"/>
      <w:outlineLvl w:val="7"/>
    </w:pPr>
    <w:rPr>
      <w:rFonts w:ascii="Arial" w:hAnsi="Arial"/>
      <w:b/>
      <w:bCs/>
      <w:iCs/>
      <w:sz w:val="20"/>
    </w:rPr>
  </w:style>
  <w:style w:type="paragraph" w:styleId="Heading9">
    <w:name w:val="heading 9"/>
    <w:basedOn w:val="Normal"/>
    <w:next w:val="Normal"/>
    <w:link w:val="Heading9Char"/>
    <w:qFormat/>
    <w:rsid w:val="003F5CB3"/>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3F5CB3"/>
    <w:pPr>
      <w:widowControl w:val="0"/>
      <w:spacing w:after="320"/>
    </w:pPr>
    <w:rPr>
      <w:sz w:val="20"/>
      <w:szCs w:val="20"/>
    </w:rPr>
  </w:style>
  <w:style w:type="paragraph" w:styleId="Footer">
    <w:name w:val="footer"/>
    <w:basedOn w:val="Normal"/>
    <w:link w:val="FooterChar"/>
    <w:uiPriority w:val="99"/>
    <w:rsid w:val="003F5CB3"/>
    <w:pPr>
      <w:tabs>
        <w:tab w:val="right" w:pos="7371"/>
      </w:tabs>
      <w:spacing w:line="200" w:lineRule="atLeast"/>
    </w:pPr>
  </w:style>
  <w:style w:type="paragraph" w:styleId="Header">
    <w:name w:val="header"/>
    <w:basedOn w:val="Normal"/>
    <w:link w:val="HeaderChar"/>
    <w:uiPriority w:val="99"/>
    <w:rsid w:val="003F5CB3"/>
    <w:pPr>
      <w:tabs>
        <w:tab w:val="center" w:pos="4513"/>
        <w:tab w:val="right" w:pos="9026"/>
      </w:tabs>
    </w:pPr>
  </w:style>
  <w:style w:type="paragraph" w:styleId="FootnoteText">
    <w:name w:val="footnote text"/>
    <w:basedOn w:val="Normal"/>
    <w:link w:val="FootnoteTextChar"/>
    <w:uiPriority w:val="99"/>
    <w:rsid w:val="003F5CB3"/>
    <w:rPr>
      <w:sz w:val="16"/>
      <w:szCs w:val="20"/>
    </w:rPr>
  </w:style>
  <w:style w:type="paragraph" w:styleId="NormalIndent">
    <w:name w:val="Normal Indent"/>
    <w:basedOn w:val="Normal"/>
    <w:rsid w:val="003F5CB3"/>
    <w:pPr>
      <w:ind w:left="720"/>
    </w:pPr>
  </w:style>
  <w:style w:type="paragraph" w:customStyle="1" w:styleId="standard">
    <w:name w:val="standard"/>
    <w:basedOn w:val="Normal"/>
    <w:link w:val="standardChar"/>
    <w:rsid w:val="00BC4E18"/>
    <w:pPr>
      <w:tabs>
        <w:tab w:val="left" w:pos="576"/>
        <w:tab w:val="left" w:pos="1152"/>
        <w:tab w:val="left" w:pos="1728"/>
        <w:tab w:val="left" w:pos="2304"/>
        <w:tab w:val="left" w:pos="2880"/>
      </w:tabs>
      <w:spacing w:before="220"/>
    </w:pPr>
  </w:style>
  <w:style w:type="paragraph" w:customStyle="1" w:styleId="Title1">
    <w:name w:val="Title1"/>
    <w:basedOn w:val="Heading1"/>
    <w:rsid w:val="00BC4E18"/>
    <w:pPr>
      <w:spacing w:line="540" w:lineRule="exact"/>
      <w:jc w:val="center"/>
      <w:outlineLvl w:val="9"/>
    </w:pPr>
    <w:rPr>
      <w:sz w:val="28"/>
    </w:rPr>
  </w:style>
  <w:style w:type="paragraph" w:customStyle="1" w:styleId="level1">
    <w:name w:val="level 1"/>
    <w:basedOn w:val="standard"/>
    <w:rsid w:val="00BC4E18"/>
    <w:pPr>
      <w:ind w:left="1152" w:hanging="576"/>
    </w:pPr>
  </w:style>
  <w:style w:type="paragraph" w:customStyle="1" w:styleId="level2">
    <w:name w:val="level 2"/>
    <w:basedOn w:val="level1"/>
    <w:rsid w:val="00BC4E18"/>
    <w:pPr>
      <w:ind w:left="1728"/>
    </w:pPr>
  </w:style>
  <w:style w:type="paragraph" w:customStyle="1" w:styleId="level3">
    <w:name w:val="level 3"/>
    <w:basedOn w:val="level2"/>
    <w:rsid w:val="00BC4E18"/>
    <w:pPr>
      <w:ind w:left="1152" w:hanging="1152"/>
    </w:pPr>
  </w:style>
  <w:style w:type="paragraph" w:customStyle="1" w:styleId="level4">
    <w:name w:val="level 4"/>
    <w:basedOn w:val="level1"/>
    <w:rsid w:val="00BC4E18"/>
    <w:pPr>
      <w:ind w:left="1728" w:hanging="1152"/>
    </w:pPr>
  </w:style>
  <w:style w:type="paragraph" w:customStyle="1" w:styleId="level5">
    <w:name w:val="level 5"/>
    <w:basedOn w:val="level1"/>
    <w:rsid w:val="00BC4E18"/>
    <w:pPr>
      <w:ind w:left="1728"/>
    </w:pPr>
  </w:style>
  <w:style w:type="paragraph" w:customStyle="1" w:styleId="levela">
    <w:name w:val="level a"/>
    <w:basedOn w:val="standard"/>
    <w:rsid w:val="00BC4E18"/>
    <w:pPr>
      <w:tabs>
        <w:tab w:val="clear" w:pos="1152"/>
        <w:tab w:val="clear" w:pos="1728"/>
        <w:tab w:val="clear" w:pos="2304"/>
        <w:tab w:val="clear" w:pos="2880"/>
      </w:tabs>
      <w:ind w:left="576" w:hanging="576"/>
    </w:pPr>
  </w:style>
  <w:style w:type="paragraph" w:customStyle="1" w:styleId="BULLETEDLISTFIVE">
    <w:name w:val="BULLETED LIST FIVE"/>
    <w:rsid w:val="00BC4E18"/>
    <w:pPr>
      <w:tabs>
        <w:tab w:val="left" w:pos="2880"/>
        <w:tab w:val="left" w:pos="3456"/>
        <w:tab w:val="left" w:pos="4032"/>
        <w:tab w:val="right" w:pos="5904"/>
        <w:tab w:val="right" w:pos="7056"/>
        <w:tab w:val="right" w:pos="8208"/>
      </w:tabs>
      <w:spacing w:before="240" w:line="240" w:lineRule="exact"/>
      <w:ind w:left="2880" w:hanging="576"/>
    </w:pPr>
    <w:rPr>
      <w:rFonts w:ascii="Times" w:hAnsi="Times"/>
      <w:sz w:val="22"/>
    </w:rPr>
  </w:style>
  <w:style w:type="paragraph" w:customStyle="1" w:styleId="HEADLEVEL6">
    <w:name w:val="HEAD LEVEL 6"/>
    <w:rsid w:val="00BC4E18"/>
    <w:pPr>
      <w:keepNext/>
      <w:keepLines/>
      <w:spacing w:before="300" w:line="240" w:lineRule="exact"/>
      <w:ind w:left="576"/>
    </w:pPr>
    <w:rPr>
      <w:rFonts w:ascii="Times" w:hAnsi="Times"/>
      <w:i/>
      <w:sz w:val="22"/>
    </w:rPr>
  </w:style>
  <w:style w:type="paragraph" w:customStyle="1" w:styleId="INDENTEDQUOTE">
    <w:name w:val="INDENTED QUOTE"/>
    <w:rsid w:val="00BC4E18"/>
    <w:pPr>
      <w:tabs>
        <w:tab w:val="left" w:pos="1152"/>
        <w:tab w:val="left" w:pos="1728"/>
        <w:tab w:val="left" w:pos="2304"/>
        <w:tab w:val="left" w:pos="2880"/>
        <w:tab w:val="left" w:pos="3456"/>
        <w:tab w:val="right" w:pos="5472"/>
        <w:tab w:val="right" w:pos="6624"/>
        <w:tab w:val="right" w:pos="7776"/>
      </w:tabs>
      <w:spacing w:before="240" w:line="240" w:lineRule="exact"/>
      <w:ind w:left="576" w:right="576"/>
    </w:pPr>
    <w:rPr>
      <w:rFonts w:ascii="Times" w:hAnsi="Times"/>
      <w:sz w:val="22"/>
    </w:rPr>
  </w:style>
  <w:style w:type="paragraph" w:customStyle="1" w:styleId="BULLETEDLISTSINGLE">
    <w:name w:val="BULLETED LIST SINGLE"/>
    <w:rsid w:val="00BC4E18"/>
    <w:pPr>
      <w:tabs>
        <w:tab w:val="left" w:pos="576"/>
        <w:tab w:val="left" w:pos="1152"/>
        <w:tab w:val="left" w:pos="1728"/>
        <w:tab w:val="left" w:pos="2304"/>
        <w:tab w:val="left" w:pos="2880"/>
        <w:tab w:val="left" w:pos="3456"/>
        <w:tab w:val="left" w:pos="4032"/>
        <w:tab w:val="right" w:pos="5904"/>
        <w:tab w:val="right" w:pos="7056"/>
        <w:tab w:val="right" w:pos="8208"/>
      </w:tabs>
      <w:spacing w:before="240" w:line="240" w:lineRule="exact"/>
      <w:ind w:left="576" w:hanging="576"/>
    </w:pPr>
    <w:rPr>
      <w:rFonts w:ascii="Times" w:hAnsi="Times"/>
      <w:sz w:val="22"/>
    </w:rPr>
  </w:style>
  <w:style w:type="paragraph" w:customStyle="1" w:styleId="BULLETEDLISTDOUBLE">
    <w:name w:val="BULLETED LIST DOUBLE"/>
    <w:rsid w:val="00BC4E18"/>
    <w:pPr>
      <w:tabs>
        <w:tab w:val="left" w:pos="1152"/>
        <w:tab w:val="left" w:pos="1728"/>
        <w:tab w:val="left" w:pos="2304"/>
        <w:tab w:val="left" w:pos="2880"/>
        <w:tab w:val="left" w:pos="3456"/>
        <w:tab w:val="left" w:pos="4032"/>
        <w:tab w:val="right" w:pos="5904"/>
        <w:tab w:val="right" w:pos="7056"/>
        <w:tab w:val="right" w:pos="8208"/>
      </w:tabs>
      <w:spacing w:before="240" w:line="240" w:lineRule="exact"/>
      <w:ind w:left="1152" w:hanging="576"/>
    </w:pPr>
    <w:rPr>
      <w:rFonts w:ascii="Times" w:hAnsi="Times"/>
      <w:sz w:val="22"/>
    </w:rPr>
  </w:style>
  <w:style w:type="paragraph" w:customStyle="1" w:styleId="BULLETEDLISTTRIPLE">
    <w:name w:val="BULLETED LIST TRIPLE"/>
    <w:rsid w:val="00BC4E18"/>
    <w:pPr>
      <w:tabs>
        <w:tab w:val="left" w:pos="1728"/>
        <w:tab w:val="left" w:pos="2304"/>
        <w:tab w:val="left" w:pos="2880"/>
        <w:tab w:val="left" w:pos="3456"/>
        <w:tab w:val="left" w:pos="4032"/>
        <w:tab w:val="right" w:pos="5904"/>
        <w:tab w:val="right" w:pos="7056"/>
        <w:tab w:val="right" w:pos="8208"/>
      </w:tabs>
      <w:spacing w:before="240" w:line="240" w:lineRule="exact"/>
      <w:ind w:left="1728" w:hanging="576"/>
    </w:pPr>
    <w:rPr>
      <w:rFonts w:ascii="Times" w:hAnsi="Times"/>
      <w:sz w:val="22"/>
    </w:rPr>
  </w:style>
  <w:style w:type="paragraph" w:customStyle="1" w:styleId="BULLETEDLISTSIX">
    <w:name w:val="BULLETED LIST SIX"/>
    <w:rsid w:val="00BC4E18"/>
    <w:pPr>
      <w:tabs>
        <w:tab w:val="left" w:pos="3456"/>
        <w:tab w:val="left" w:pos="4032"/>
        <w:tab w:val="right" w:pos="5904"/>
        <w:tab w:val="right" w:pos="7056"/>
        <w:tab w:val="right" w:pos="8208"/>
      </w:tabs>
      <w:spacing w:before="240" w:line="240" w:lineRule="exact"/>
      <w:ind w:left="3456" w:hanging="576"/>
    </w:pPr>
    <w:rPr>
      <w:rFonts w:ascii="Times" w:hAnsi="Times"/>
      <w:sz w:val="22"/>
    </w:rPr>
  </w:style>
  <w:style w:type="paragraph" w:customStyle="1" w:styleId="BULLETEDLISTSEVEN">
    <w:name w:val="BULLETED LIST SEVEN"/>
    <w:rsid w:val="00BC4E18"/>
    <w:pPr>
      <w:tabs>
        <w:tab w:val="left" w:pos="4032"/>
        <w:tab w:val="right" w:pos="5904"/>
        <w:tab w:val="right" w:pos="7056"/>
        <w:tab w:val="right" w:pos="8208"/>
      </w:tabs>
      <w:spacing w:before="240" w:line="240" w:lineRule="exact"/>
      <w:ind w:left="4032" w:hanging="576"/>
    </w:pPr>
    <w:rPr>
      <w:rFonts w:ascii="Times" w:hAnsi="Times"/>
      <w:sz w:val="22"/>
    </w:rPr>
  </w:style>
  <w:style w:type="paragraph" w:customStyle="1" w:styleId="BULLETEDLISTQUAD">
    <w:name w:val="BULLETED LIST QUAD"/>
    <w:rsid w:val="00BC4E18"/>
    <w:pPr>
      <w:tabs>
        <w:tab w:val="left" w:pos="2304"/>
        <w:tab w:val="left" w:pos="2880"/>
        <w:tab w:val="left" w:pos="3456"/>
        <w:tab w:val="left" w:pos="4032"/>
        <w:tab w:val="right" w:pos="5904"/>
        <w:tab w:val="right" w:pos="7056"/>
        <w:tab w:val="right" w:pos="8208"/>
      </w:tabs>
      <w:spacing w:before="240" w:line="240" w:lineRule="exact"/>
      <w:ind w:left="2304" w:hanging="576"/>
    </w:pPr>
    <w:rPr>
      <w:rFonts w:ascii="Times" w:hAnsi="Times"/>
      <w:sz w:val="22"/>
    </w:rPr>
  </w:style>
  <w:style w:type="paragraph" w:customStyle="1" w:styleId="LEFTOFTWO">
    <w:name w:val="LEFT OF TWO"/>
    <w:rsid w:val="00BC4E18"/>
    <w:pPr>
      <w:tabs>
        <w:tab w:val="left" w:pos="432"/>
        <w:tab w:val="left" w:pos="864"/>
        <w:tab w:val="left" w:pos="1296"/>
      </w:tabs>
      <w:spacing w:before="240" w:line="240" w:lineRule="exact"/>
      <w:ind w:left="432" w:right="4493" w:hanging="432"/>
    </w:pPr>
    <w:rPr>
      <w:rFonts w:ascii="Times" w:hAnsi="Times"/>
      <w:sz w:val="22"/>
    </w:rPr>
  </w:style>
  <w:style w:type="paragraph" w:customStyle="1" w:styleId="RIGHTOFTWO">
    <w:name w:val="RIGHT OF TWO"/>
    <w:rsid w:val="00BC4E18"/>
    <w:pPr>
      <w:tabs>
        <w:tab w:val="left" w:pos="4925"/>
        <w:tab w:val="left" w:pos="5357"/>
        <w:tab w:val="left" w:pos="5789"/>
      </w:tabs>
      <w:spacing w:before="240" w:line="240" w:lineRule="exact"/>
      <w:ind w:left="4925" w:hanging="432"/>
    </w:pPr>
    <w:rPr>
      <w:rFonts w:ascii="Times" w:hAnsi="Times"/>
      <w:sz w:val="22"/>
    </w:rPr>
  </w:style>
  <w:style w:type="paragraph" w:customStyle="1" w:styleId="LEFTOFTHREE">
    <w:name w:val="LEFT OF THREE"/>
    <w:rsid w:val="00BC4E18"/>
    <w:pPr>
      <w:tabs>
        <w:tab w:val="left" w:pos="432"/>
        <w:tab w:val="left" w:pos="864"/>
        <w:tab w:val="left" w:pos="1296"/>
      </w:tabs>
      <w:spacing w:before="240" w:line="240" w:lineRule="exact"/>
      <w:ind w:left="432" w:right="6005" w:hanging="432"/>
    </w:pPr>
    <w:rPr>
      <w:rFonts w:ascii="Times" w:hAnsi="Times"/>
      <w:sz w:val="22"/>
    </w:rPr>
  </w:style>
  <w:style w:type="paragraph" w:customStyle="1" w:styleId="CENTEROFTHREE">
    <w:name w:val="CENTER OF THREE"/>
    <w:rsid w:val="00BC4E18"/>
    <w:pPr>
      <w:tabs>
        <w:tab w:val="left" w:pos="3427"/>
        <w:tab w:val="left" w:pos="3859"/>
        <w:tab w:val="left" w:pos="4291"/>
      </w:tabs>
      <w:spacing w:before="240" w:line="240" w:lineRule="exact"/>
      <w:ind w:left="3427" w:right="2995" w:hanging="432"/>
    </w:pPr>
    <w:rPr>
      <w:rFonts w:ascii="Times" w:hAnsi="Times"/>
      <w:sz w:val="22"/>
    </w:rPr>
  </w:style>
  <w:style w:type="paragraph" w:customStyle="1" w:styleId="RIGHTOFTHREE">
    <w:name w:val="RIGHT OF THREE"/>
    <w:rsid w:val="00BC4E18"/>
    <w:pPr>
      <w:tabs>
        <w:tab w:val="left" w:pos="6437"/>
        <w:tab w:val="left" w:pos="6869"/>
        <w:tab w:val="left" w:pos="7301"/>
      </w:tabs>
      <w:spacing w:before="240" w:line="240" w:lineRule="exact"/>
      <w:ind w:left="6437" w:hanging="432"/>
    </w:pPr>
    <w:rPr>
      <w:rFonts w:ascii="Times" w:hAnsi="Times"/>
      <w:sz w:val="22"/>
    </w:rPr>
  </w:style>
  <w:style w:type="paragraph" w:customStyle="1" w:styleId="boldstandard">
    <w:name w:val="bold standard"/>
    <w:basedOn w:val="standard"/>
    <w:rsid w:val="00BC4E18"/>
    <w:rPr>
      <w:b/>
    </w:rPr>
  </w:style>
  <w:style w:type="paragraph" w:customStyle="1" w:styleId="level6">
    <w:name w:val="level 6"/>
    <w:basedOn w:val="level5"/>
    <w:rsid w:val="00BC4E18"/>
    <w:pPr>
      <w:ind w:left="2304"/>
    </w:pPr>
    <w:rPr>
      <w:sz w:val="24"/>
    </w:rPr>
  </w:style>
  <w:style w:type="paragraph" w:customStyle="1" w:styleId="levelb">
    <w:name w:val="level b"/>
    <w:basedOn w:val="level4"/>
    <w:rsid w:val="00BC4E18"/>
    <w:pPr>
      <w:ind w:left="1152" w:hanging="576"/>
    </w:pPr>
  </w:style>
  <w:style w:type="paragraph" w:customStyle="1" w:styleId="levelc">
    <w:name w:val="level c"/>
    <w:basedOn w:val="level4"/>
    <w:rsid w:val="00BC4E18"/>
    <w:pPr>
      <w:tabs>
        <w:tab w:val="clear" w:pos="2304"/>
      </w:tabs>
      <w:ind w:left="2880" w:hanging="1728"/>
    </w:pPr>
    <w:rPr>
      <w:sz w:val="24"/>
    </w:rPr>
  </w:style>
  <w:style w:type="paragraph" w:styleId="BodyText">
    <w:name w:val="Body Text"/>
    <w:basedOn w:val="Normal"/>
    <w:link w:val="BodyTextChar"/>
    <w:rsid w:val="003F5CB3"/>
  </w:style>
  <w:style w:type="character" w:styleId="PageNumber">
    <w:name w:val="page number"/>
    <w:basedOn w:val="DefaultParagraphFont"/>
    <w:rsid w:val="003F5CB3"/>
  </w:style>
  <w:style w:type="character" w:styleId="Hyperlink">
    <w:name w:val="Hyperlink"/>
    <w:basedOn w:val="DefaultParagraphFont"/>
    <w:uiPriority w:val="99"/>
    <w:rsid w:val="003F5CB3"/>
    <w:rPr>
      <w:rFonts w:ascii="Calibri Light" w:hAnsi="Calibri Light"/>
      <w:color w:val="62B5E5"/>
      <w:u w:val="single"/>
    </w:rPr>
  </w:style>
  <w:style w:type="character" w:styleId="FollowedHyperlink">
    <w:name w:val="FollowedHyperlink"/>
    <w:basedOn w:val="DefaultParagraphFont"/>
    <w:rsid w:val="003F5CB3"/>
    <w:rPr>
      <w:rFonts w:ascii="Calibri Light" w:hAnsi="Calibri Light"/>
      <w:color w:val="808080" w:themeColor="background1" w:themeShade="80"/>
      <w:u w:val="none"/>
    </w:rPr>
  </w:style>
  <w:style w:type="paragraph" w:styleId="BodyTextIndent">
    <w:name w:val="Body Text Indent"/>
    <w:basedOn w:val="Normal"/>
    <w:link w:val="BodyTextIndentChar"/>
    <w:rsid w:val="003F5CB3"/>
    <w:pPr>
      <w:autoSpaceDE w:val="0"/>
      <w:autoSpaceDN w:val="0"/>
      <w:adjustRightInd w:val="0"/>
      <w:spacing w:after="240"/>
      <w:ind w:left="360"/>
    </w:pPr>
  </w:style>
  <w:style w:type="character" w:styleId="FootnoteReference">
    <w:name w:val="footnote reference"/>
    <w:basedOn w:val="DefaultParagraphFont"/>
    <w:uiPriority w:val="99"/>
    <w:semiHidden/>
    <w:rsid w:val="003F5CB3"/>
    <w:rPr>
      <w:vertAlign w:val="superscript"/>
    </w:rPr>
  </w:style>
  <w:style w:type="paragraph" w:styleId="BalloonText">
    <w:name w:val="Balloon Text"/>
    <w:basedOn w:val="Normal"/>
    <w:link w:val="BalloonTextChar"/>
    <w:uiPriority w:val="99"/>
    <w:rsid w:val="003F5CB3"/>
    <w:rPr>
      <w:rFonts w:ascii="Tahoma" w:hAnsi="Tahoma" w:cs="Tahoma"/>
      <w:sz w:val="16"/>
      <w:szCs w:val="16"/>
    </w:rPr>
  </w:style>
  <w:style w:type="paragraph" w:customStyle="1" w:styleId="paragraph">
    <w:name w:val="paragraph"/>
    <w:basedOn w:val="Normal"/>
    <w:rsid w:val="00BC4E18"/>
    <w:pPr>
      <w:spacing w:before="100" w:beforeAutospacing="1" w:after="100" w:afterAutospacing="1"/>
    </w:pPr>
    <w:rPr>
      <w:rFonts w:ascii="Arial Unicode MS" w:eastAsia="Arial Unicode MS" w:hAnsi="Arial Unicode MS" w:cs="Arial Unicode MS"/>
      <w:sz w:val="24"/>
    </w:rPr>
  </w:style>
  <w:style w:type="paragraph" w:customStyle="1" w:styleId="bullet1">
    <w:name w:val="bullet1"/>
    <w:basedOn w:val="Normal"/>
    <w:rsid w:val="00BC4E18"/>
    <w:pPr>
      <w:spacing w:before="100" w:beforeAutospacing="1" w:after="100" w:afterAutospacing="1"/>
    </w:pPr>
    <w:rPr>
      <w:rFonts w:ascii="Arial Unicode MS" w:eastAsia="Arial Unicode MS" w:hAnsi="Arial Unicode MS" w:cs="Arial Unicode MS"/>
      <w:sz w:val="24"/>
    </w:rPr>
  </w:style>
  <w:style w:type="paragraph" w:customStyle="1" w:styleId="bullet2">
    <w:name w:val="bullet2"/>
    <w:basedOn w:val="Normal"/>
    <w:rsid w:val="00BC4E18"/>
    <w:pPr>
      <w:spacing w:before="100" w:beforeAutospacing="1" w:after="100" w:afterAutospacing="1"/>
    </w:pPr>
    <w:rPr>
      <w:rFonts w:ascii="Arial Unicode MS" w:eastAsia="Arial Unicode MS" w:hAnsi="Arial Unicode MS" w:cs="Arial Unicode MS"/>
      <w:sz w:val="24"/>
    </w:rPr>
  </w:style>
  <w:style w:type="paragraph" w:styleId="NormalWeb">
    <w:name w:val="Normal (Web)"/>
    <w:basedOn w:val="Normal"/>
    <w:uiPriority w:val="99"/>
    <w:rsid w:val="00BC4E18"/>
    <w:pPr>
      <w:spacing w:before="100" w:beforeAutospacing="1" w:after="100" w:afterAutospacing="1"/>
    </w:pPr>
    <w:rPr>
      <w:rFonts w:ascii="Arial Unicode MS" w:eastAsia="Arial Unicode MS" w:hAnsi="Arial Unicode MS" w:cs="Arial Unicode MS"/>
      <w:sz w:val="24"/>
    </w:rPr>
  </w:style>
  <w:style w:type="paragraph" w:customStyle="1" w:styleId="bullet3">
    <w:name w:val="bullet3"/>
    <w:basedOn w:val="Normal"/>
    <w:rsid w:val="00BC4E18"/>
    <w:pPr>
      <w:spacing w:before="100" w:beforeAutospacing="1" w:after="100" w:afterAutospacing="1"/>
    </w:pPr>
    <w:rPr>
      <w:rFonts w:ascii="Arial Unicode MS" w:eastAsia="Arial Unicode MS" w:hAnsi="Arial Unicode MS" w:cs="Arial Unicode MS"/>
      <w:sz w:val="24"/>
    </w:rPr>
  </w:style>
  <w:style w:type="character" w:styleId="CommentReference">
    <w:name w:val="annotation reference"/>
    <w:rsid w:val="003F5CB3"/>
    <w:rPr>
      <w:rFonts w:cs="Times New Roman"/>
      <w:sz w:val="16"/>
      <w:szCs w:val="16"/>
    </w:rPr>
  </w:style>
  <w:style w:type="paragraph" w:styleId="CommentSubject">
    <w:name w:val="annotation subject"/>
    <w:basedOn w:val="CommentText"/>
    <w:next w:val="CommentText"/>
    <w:link w:val="CommentSubjectChar"/>
    <w:rsid w:val="003F5CB3"/>
    <w:pPr>
      <w:widowControl/>
      <w:spacing w:before="120" w:after="120"/>
    </w:pPr>
    <w:rPr>
      <w:b/>
      <w:bCs/>
    </w:rPr>
  </w:style>
  <w:style w:type="paragraph" w:customStyle="1" w:styleId="Bullet10">
    <w:name w:val="Bullet 1"/>
    <w:rsid w:val="00BA14A3"/>
    <w:pPr>
      <w:spacing w:before="240"/>
      <w:ind w:left="446" w:hanging="446"/>
    </w:pPr>
    <w:rPr>
      <w:sz w:val="24"/>
      <w:szCs w:val="24"/>
    </w:rPr>
  </w:style>
  <w:style w:type="paragraph" w:customStyle="1" w:styleId="Bullet20">
    <w:name w:val="Bullet 2"/>
    <w:rsid w:val="00BA14A3"/>
    <w:pPr>
      <w:spacing w:before="240"/>
      <w:ind w:left="892" w:hanging="446"/>
    </w:pPr>
    <w:rPr>
      <w:sz w:val="24"/>
      <w:szCs w:val="24"/>
    </w:rPr>
  </w:style>
  <w:style w:type="character" w:customStyle="1" w:styleId="standardChar">
    <w:name w:val="standard Char"/>
    <w:link w:val="standard"/>
    <w:rsid w:val="00C3025B"/>
    <w:rPr>
      <w:sz w:val="21"/>
      <w:lang w:val="en-US" w:eastAsia="en-US" w:bidi="ar-SA"/>
    </w:rPr>
  </w:style>
  <w:style w:type="paragraph" w:customStyle="1" w:styleId="CM19">
    <w:name w:val="CM19"/>
    <w:basedOn w:val="Normal"/>
    <w:next w:val="Normal"/>
    <w:uiPriority w:val="99"/>
    <w:rsid w:val="00DD3FBD"/>
    <w:pPr>
      <w:autoSpaceDE w:val="0"/>
      <w:autoSpaceDN w:val="0"/>
      <w:adjustRightInd w:val="0"/>
    </w:pPr>
    <w:rPr>
      <w:sz w:val="24"/>
    </w:rPr>
  </w:style>
  <w:style w:type="paragraph" w:customStyle="1" w:styleId="Default">
    <w:name w:val="Default"/>
    <w:rsid w:val="006E682B"/>
    <w:pPr>
      <w:autoSpaceDE w:val="0"/>
      <w:autoSpaceDN w:val="0"/>
      <w:adjustRightInd w:val="0"/>
    </w:pPr>
    <w:rPr>
      <w:rFonts w:ascii="Garamond" w:hAnsi="Garamond" w:cs="Garamond"/>
      <w:color w:val="000000"/>
      <w:sz w:val="24"/>
      <w:szCs w:val="24"/>
    </w:rPr>
  </w:style>
  <w:style w:type="paragraph" w:customStyle="1" w:styleId="DTGuidanceparagraph">
    <w:name w:val="D&amp;T Guidance paragraph"/>
    <w:basedOn w:val="Default"/>
    <w:next w:val="Default"/>
    <w:uiPriority w:val="99"/>
    <w:rsid w:val="006E682B"/>
    <w:rPr>
      <w:rFonts w:cs="Times New Roman"/>
      <w:color w:val="auto"/>
    </w:rPr>
  </w:style>
  <w:style w:type="paragraph" w:styleId="Revision">
    <w:name w:val="Revision"/>
    <w:hidden/>
    <w:uiPriority w:val="99"/>
    <w:semiHidden/>
    <w:rsid w:val="00716D9A"/>
    <w:rPr>
      <w:sz w:val="21"/>
    </w:rPr>
  </w:style>
  <w:style w:type="character" w:customStyle="1" w:styleId="lq1">
    <w:name w:val="lq1"/>
    <w:rsid w:val="000C1B8C"/>
    <w:rPr>
      <w:rFonts w:ascii="Arial" w:hAnsi="Arial" w:cs="Arial" w:hint="default"/>
      <w:vanish w:val="0"/>
      <w:webHidden w:val="0"/>
      <w:sz w:val="20"/>
      <w:szCs w:val="20"/>
      <w:specVanish w:val="0"/>
    </w:rPr>
  </w:style>
  <w:style w:type="character" w:customStyle="1" w:styleId="dtlsearchhit">
    <w:name w:val="dtl_searchhit"/>
    <w:rsid w:val="000C1B8C"/>
  </w:style>
  <w:style w:type="paragraph" w:styleId="PlainText">
    <w:name w:val="Plain Text"/>
    <w:basedOn w:val="Normal"/>
    <w:link w:val="PlainTextChar"/>
    <w:uiPriority w:val="99"/>
    <w:unhideWhenUsed/>
    <w:rsid w:val="00E76605"/>
    <w:rPr>
      <w:rFonts w:ascii="Calibri" w:eastAsiaTheme="minorHAnsi" w:hAnsi="Calibri"/>
      <w:szCs w:val="22"/>
    </w:rPr>
  </w:style>
  <w:style w:type="character" w:customStyle="1" w:styleId="PlainTextChar">
    <w:name w:val="Plain Text Char"/>
    <w:basedOn w:val="DefaultParagraphFont"/>
    <w:link w:val="PlainText"/>
    <w:uiPriority w:val="99"/>
    <w:rsid w:val="00E76605"/>
    <w:rPr>
      <w:rFonts w:ascii="Calibri" w:eastAsiaTheme="minorHAnsi" w:hAnsi="Calibri"/>
      <w:sz w:val="22"/>
      <w:szCs w:val="22"/>
    </w:rPr>
  </w:style>
  <w:style w:type="character" w:customStyle="1" w:styleId="UnresolvedMention1">
    <w:name w:val="Unresolved Mention1"/>
    <w:basedOn w:val="DefaultParagraphFont"/>
    <w:uiPriority w:val="99"/>
    <w:semiHidden/>
    <w:unhideWhenUsed/>
    <w:rsid w:val="00BC5A73"/>
    <w:rPr>
      <w:color w:val="808080"/>
      <w:shd w:val="clear" w:color="auto" w:fill="E6E6E6"/>
    </w:rPr>
  </w:style>
  <w:style w:type="paragraph" w:customStyle="1" w:styleId="Pa2">
    <w:name w:val="Pa2"/>
    <w:basedOn w:val="Default"/>
    <w:next w:val="Default"/>
    <w:uiPriority w:val="99"/>
    <w:rsid w:val="00C41C8F"/>
    <w:pPr>
      <w:spacing w:line="201" w:lineRule="atLeast"/>
    </w:pPr>
    <w:rPr>
      <w:rFonts w:ascii="Open Sans Light" w:hAnsi="Open Sans Light" w:cs="Times New Roman"/>
      <w:color w:val="auto"/>
    </w:rPr>
  </w:style>
  <w:style w:type="character" w:customStyle="1" w:styleId="CommentTextChar">
    <w:name w:val="Comment Text Char"/>
    <w:basedOn w:val="DefaultParagraphFont"/>
    <w:link w:val="CommentText"/>
    <w:rsid w:val="003F5CB3"/>
    <w:rPr>
      <w:rFonts w:ascii="Calibri Light" w:eastAsiaTheme="minorEastAsia" w:hAnsi="Calibri Light"/>
      <w:color w:val="000000"/>
      <w:lang w:val="en-GB" w:eastAsia="zh-TW"/>
    </w:rPr>
  </w:style>
  <w:style w:type="paragraph" w:customStyle="1" w:styleId="Block">
    <w:name w:val="Block"/>
    <w:basedOn w:val="NormalIndent"/>
    <w:rsid w:val="003F5CB3"/>
    <w:pPr>
      <w:widowControl w:val="0"/>
      <w:spacing w:before="240"/>
      <w:ind w:left="0"/>
    </w:pPr>
    <w:rPr>
      <w:szCs w:val="20"/>
    </w:rPr>
  </w:style>
  <w:style w:type="character" w:customStyle="1" w:styleId="UnresolvedMention2">
    <w:name w:val="Unresolved Mention2"/>
    <w:basedOn w:val="DefaultParagraphFont"/>
    <w:uiPriority w:val="99"/>
    <w:semiHidden/>
    <w:unhideWhenUsed/>
    <w:rsid w:val="00926186"/>
    <w:rPr>
      <w:color w:val="808080"/>
      <w:shd w:val="clear" w:color="auto" w:fill="E6E6E6"/>
    </w:rPr>
  </w:style>
  <w:style w:type="character" w:customStyle="1" w:styleId="A3">
    <w:name w:val="A3"/>
    <w:uiPriority w:val="99"/>
    <w:rsid w:val="00F061D0"/>
    <w:rPr>
      <w:rFonts w:cs="Open Sans Light"/>
      <w:color w:val="221E1F"/>
      <w:sz w:val="11"/>
      <w:szCs w:val="11"/>
    </w:rPr>
  </w:style>
  <w:style w:type="character" w:customStyle="1" w:styleId="A2">
    <w:name w:val="A2"/>
    <w:uiPriority w:val="99"/>
    <w:rsid w:val="00F061D0"/>
    <w:rPr>
      <w:rFonts w:cs="Open Sans Light"/>
      <w:color w:val="221E1F"/>
      <w:sz w:val="11"/>
      <w:szCs w:val="11"/>
    </w:rPr>
  </w:style>
  <w:style w:type="character" w:styleId="UnresolvedMention">
    <w:name w:val="Unresolved Mention"/>
    <w:basedOn w:val="DefaultParagraphFont"/>
    <w:uiPriority w:val="99"/>
    <w:unhideWhenUsed/>
    <w:rsid w:val="00687A94"/>
    <w:rPr>
      <w:color w:val="605E5C"/>
      <w:shd w:val="clear" w:color="auto" w:fill="E1DFDD"/>
    </w:rPr>
  </w:style>
  <w:style w:type="character" w:styleId="Emphasis">
    <w:name w:val="Emphasis"/>
    <w:basedOn w:val="DefaultParagraphFont"/>
    <w:uiPriority w:val="20"/>
    <w:qFormat/>
    <w:rsid w:val="00A72459"/>
    <w:rPr>
      <w:i/>
      <w:iCs/>
    </w:rPr>
  </w:style>
  <w:style w:type="character" w:styleId="Strong">
    <w:name w:val="Strong"/>
    <w:basedOn w:val="DefaultParagraphFont"/>
    <w:uiPriority w:val="22"/>
    <w:qFormat/>
    <w:rsid w:val="00A72459"/>
    <w:rPr>
      <w:b/>
      <w:bCs/>
    </w:rPr>
  </w:style>
  <w:style w:type="paragraph" w:customStyle="1" w:styleId="body1">
    <w:name w:val="body1"/>
    <w:basedOn w:val="Normal"/>
    <w:rsid w:val="00A72459"/>
    <w:pPr>
      <w:spacing w:after="100" w:afterAutospacing="1" w:line="300" w:lineRule="atLeast"/>
    </w:pPr>
    <w:rPr>
      <w:rFonts w:eastAsiaTheme="minorHAnsi"/>
      <w:sz w:val="24"/>
    </w:rPr>
  </w:style>
  <w:style w:type="paragraph" w:customStyle="1" w:styleId="ulli">
    <w:name w:val="ul_li"/>
    <w:basedOn w:val="Normal"/>
    <w:rsid w:val="00485659"/>
    <w:pPr>
      <w:spacing w:before="100" w:beforeAutospacing="1" w:after="100" w:afterAutospacing="1"/>
    </w:pPr>
    <w:rPr>
      <w:sz w:val="24"/>
    </w:rPr>
  </w:style>
  <w:style w:type="paragraph" w:styleId="EndnoteText">
    <w:name w:val="endnote text"/>
    <w:aliases w:val="Char"/>
    <w:basedOn w:val="Normal"/>
    <w:link w:val="EndnoteTextChar"/>
    <w:rsid w:val="003F5CB3"/>
    <w:pPr>
      <w:widowControl w:val="0"/>
      <w:spacing w:after="320"/>
    </w:pPr>
    <w:rPr>
      <w:sz w:val="20"/>
      <w:szCs w:val="20"/>
    </w:rPr>
  </w:style>
  <w:style w:type="character" w:customStyle="1" w:styleId="EndnoteTextChar">
    <w:name w:val="Endnote Text Char"/>
    <w:aliases w:val="Char Char"/>
    <w:basedOn w:val="DefaultParagraphFont"/>
    <w:link w:val="EndnoteText"/>
    <w:rsid w:val="003F5CB3"/>
    <w:rPr>
      <w:rFonts w:ascii="Calibri Light" w:eastAsiaTheme="minorEastAsia" w:hAnsi="Calibri Light"/>
      <w:color w:val="000000"/>
      <w:lang w:val="en-GB" w:eastAsia="zh-TW"/>
    </w:rPr>
  </w:style>
  <w:style w:type="character" w:styleId="EndnoteReference">
    <w:name w:val="endnote reference"/>
    <w:rsid w:val="003F5CB3"/>
    <w:rPr>
      <w:rFonts w:cs="Times New Roman"/>
      <w:vertAlign w:val="superscript"/>
    </w:rPr>
  </w:style>
  <w:style w:type="paragraph" w:styleId="TOC5">
    <w:name w:val="toc 5"/>
    <w:basedOn w:val="Normal"/>
    <w:next w:val="Normal"/>
    <w:rsid w:val="00102E21"/>
    <w:pPr>
      <w:tabs>
        <w:tab w:val="left" w:pos="576"/>
        <w:tab w:val="left" w:pos="1152"/>
        <w:tab w:val="left" w:pos="1728"/>
        <w:tab w:val="left" w:pos="2304"/>
        <w:tab w:val="left" w:pos="2880"/>
        <w:tab w:val="left" w:leader="dot" w:pos="8280"/>
        <w:tab w:val="right" w:pos="8640"/>
      </w:tabs>
      <w:spacing w:before="220"/>
      <w:ind w:left="2880" w:right="720"/>
    </w:pPr>
    <w:rPr>
      <w:sz w:val="20"/>
    </w:rPr>
  </w:style>
  <w:style w:type="character" w:customStyle="1" w:styleId="dart-i">
    <w:name w:val="dart-i"/>
    <w:basedOn w:val="DefaultParagraphFont"/>
    <w:rsid w:val="00102E21"/>
  </w:style>
  <w:style w:type="character" w:customStyle="1" w:styleId="dart-b">
    <w:name w:val="dart-b"/>
    <w:basedOn w:val="DefaultParagraphFont"/>
    <w:rsid w:val="00B9640A"/>
  </w:style>
  <w:style w:type="paragraph" w:customStyle="1" w:styleId="Address">
    <w:name w:val="Address"/>
    <w:basedOn w:val="Normal"/>
    <w:link w:val="AddressChar"/>
    <w:rsid w:val="003F5CB3"/>
    <w:rPr>
      <w:rFonts w:ascii="Times New Roman" w:eastAsia="Times New Roman" w:hAnsi="Times New Roman"/>
      <w:color w:val="auto"/>
      <w:sz w:val="24"/>
      <w:szCs w:val="20"/>
      <w:lang w:val="en-US" w:eastAsia="en-US"/>
    </w:rPr>
  </w:style>
  <w:style w:type="character" w:customStyle="1" w:styleId="AddressChar">
    <w:name w:val="Address Char"/>
    <w:link w:val="Address"/>
    <w:rsid w:val="003F5CB3"/>
    <w:rPr>
      <w:sz w:val="24"/>
    </w:rPr>
  </w:style>
  <w:style w:type="paragraph" w:customStyle="1" w:styleId="B1">
    <w:name w:val="B1"/>
    <w:basedOn w:val="Normal"/>
    <w:rsid w:val="003F5CB3"/>
    <w:pPr>
      <w:widowControl w:val="0"/>
      <w:tabs>
        <w:tab w:val="left" w:pos="450"/>
      </w:tabs>
      <w:spacing w:before="240"/>
      <w:ind w:left="810" w:hanging="360"/>
    </w:pPr>
    <w:rPr>
      <w:szCs w:val="20"/>
    </w:rPr>
  </w:style>
  <w:style w:type="character" w:customStyle="1" w:styleId="BalloonTextChar">
    <w:name w:val="Balloon Text Char"/>
    <w:basedOn w:val="DefaultParagraphFont"/>
    <w:link w:val="BalloonText"/>
    <w:uiPriority w:val="99"/>
    <w:rsid w:val="003F5CB3"/>
    <w:rPr>
      <w:rFonts w:ascii="Tahoma" w:eastAsiaTheme="minorEastAsia" w:hAnsi="Tahoma" w:cs="Tahoma"/>
      <w:color w:val="000000"/>
      <w:sz w:val="16"/>
      <w:szCs w:val="16"/>
      <w:lang w:val="en-GB" w:eastAsia="zh-TW"/>
    </w:rPr>
  </w:style>
  <w:style w:type="character" w:customStyle="1" w:styleId="BodyTextChar">
    <w:name w:val="Body Text Char"/>
    <w:basedOn w:val="DefaultParagraphFont"/>
    <w:link w:val="BodyText"/>
    <w:rsid w:val="003F5CB3"/>
    <w:rPr>
      <w:rFonts w:ascii="Calibri Light" w:eastAsiaTheme="minorEastAsia" w:hAnsi="Calibri Light"/>
      <w:color w:val="000000"/>
      <w:sz w:val="22"/>
      <w:szCs w:val="24"/>
      <w:lang w:val="en-GB" w:eastAsia="zh-TW"/>
    </w:rPr>
  </w:style>
  <w:style w:type="paragraph" w:styleId="BodyText2">
    <w:name w:val="Body Text 2"/>
    <w:basedOn w:val="Normal"/>
    <w:link w:val="BodyText2Char"/>
    <w:rsid w:val="003F5CB3"/>
    <w:pPr>
      <w:widowControl w:val="0"/>
      <w:spacing w:before="60" w:after="180" w:line="360" w:lineRule="auto"/>
      <w:jc w:val="center"/>
    </w:pPr>
    <w:rPr>
      <w:rFonts w:ascii="Arial" w:hAnsi="Arial"/>
      <w:b/>
      <w:sz w:val="28"/>
      <w:szCs w:val="20"/>
    </w:rPr>
  </w:style>
  <w:style w:type="character" w:customStyle="1" w:styleId="BodyText2Char">
    <w:name w:val="Body Text 2 Char"/>
    <w:basedOn w:val="DefaultParagraphFont"/>
    <w:link w:val="BodyText2"/>
    <w:rsid w:val="003F5CB3"/>
    <w:rPr>
      <w:rFonts w:ascii="Arial" w:eastAsiaTheme="minorEastAsia" w:hAnsi="Arial"/>
      <w:b/>
      <w:color w:val="000000"/>
      <w:sz w:val="28"/>
      <w:lang w:val="en-GB" w:eastAsia="zh-TW"/>
    </w:rPr>
  </w:style>
  <w:style w:type="paragraph" w:styleId="BodyText3">
    <w:name w:val="Body Text 3"/>
    <w:basedOn w:val="Normal"/>
    <w:link w:val="BodyText3Char"/>
    <w:rsid w:val="003F5CB3"/>
    <w:pPr>
      <w:autoSpaceDE w:val="0"/>
      <w:autoSpaceDN w:val="0"/>
      <w:adjustRightInd w:val="0"/>
      <w:spacing w:after="240"/>
    </w:pPr>
  </w:style>
  <w:style w:type="character" w:customStyle="1" w:styleId="BodyText3Char">
    <w:name w:val="Body Text 3 Char"/>
    <w:basedOn w:val="DefaultParagraphFont"/>
    <w:link w:val="BodyText3"/>
    <w:rsid w:val="003F5CB3"/>
    <w:rPr>
      <w:rFonts w:ascii="Calibri Light" w:eastAsiaTheme="minorEastAsia" w:hAnsi="Calibri Light"/>
      <w:color w:val="000000"/>
      <w:sz w:val="22"/>
      <w:szCs w:val="24"/>
      <w:lang w:val="en-GB" w:eastAsia="zh-TW"/>
    </w:rPr>
  </w:style>
  <w:style w:type="character" w:customStyle="1" w:styleId="BodyTextIndentChar">
    <w:name w:val="Body Text Indent Char"/>
    <w:basedOn w:val="DefaultParagraphFont"/>
    <w:link w:val="BodyTextIndent"/>
    <w:rsid w:val="003F5CB3"/>
    <w:rPr>
      <w:rFonts w:ascii="Calibri Light" w:eastAsiaTheme="minorEastAsia" w:hAnsi="Calibri Light"/>
      <w:color w:val="000000"/>
      <w:sz w:val="22"/>
      <w:szCs w:val="24"/>
      <w:lang w:val="en-GB" w:eastAsia="zh-TW"/>
    </w:rPr>
  </w:style>
  <w:style w:type="paragraph" w:customStyle="1" w:styleId="Bookmark">
    <w:name w:val="Bookmark"/>
    <w:basedOn w:val="Normal"/>
    <w:link w:val="BookmarkChar"/>
    <w:rsid w:val="003F5CB3"/>
    <w:pPr>
      <w:spacing w:before="120" w:after="120" w:line="280" w:lineRule="exact"/>
    </w:pPr>
    <w:rPr>
      <w:rFonts w:eastAsiaTheme="minorHAnsi"/>
      <w:color w:val="FFFFFF" w:themeColor="background1"/>
      <w:sz w:val="24"/>
      <w:szCs w:val="22"/>
      <w:u w:val="single"/>
      <w:lang w:val="en-US" w:eastAsia="en-US"/>
    </w:rPr>
  </w:style>
  <w:style w:type="character" w:customStyle="1" w:styleId="BookmarkChar">
    <w:name w:val="Bookmark Char"/>
    <w:basedOn w:val="DefaultParagraphFont"/>
    <w:link w:val="Bookmark"/>
    <w:rsid w:val="003F5CB3"/>
    <w:rPr>
      <w:rFonts w:ascii="Calibri Light" w:eastAsiaTheme="minorHAnsi" w:hAnsi="Calibri Light"/>
      <w:color w:val="FFFFFF" w:themeColor="background1"/>
      <w:sz w:val="24"/>
      <w:szCs w:val="22"/>
      <w:u w:val="single"/>
    </w:rPr>
  </w:style>
  <w:style w:type="character" w:customStyle="1" w:styleId="CommentSubjectChar">
    <w:name w:val="Comment Subject Char"/>
    <w:basedOn w:val="CommentTextChar"/>
    <w:link w:val="CommentSubject"/>
    <w:rsid w:val="003F5CB3"/>
    <w:rPr>
      <w:rFonts w:ascii="Calibri Light" w:eastAsiaTheme="minorEastAsia" w:hAnsi="Calibri Light"/>
      <w:b/>
      <w:bCs/>
      <w:color w:val="000000"/>
      <w:lang w:val="en-GB" w:eastAsia="zh-TW"/>
    </w:rPr>
  </w:style>
  <w:style w:type="paragraph" w:styleId="ListParagraph">
    <w:name w:val="List Paragraph"/>
    <w:basedOn w:val="Normal"/>
    <w:link w:val="ListParagraphChar"/>
    <w:uiPriority w:val="1"/>
    <w:qFormat/>
    <w:rsid w:val="003F5CB3"/>
    <w:pPr>
      <w:ind w:left="720"/>
      <w:contextualSpacing/>
    </w:pPr>
  </w:style>
  <w:style w:type="character" w:customStyle="1" w:styleId="ListParagraphChar">
    <w:name w:val="List Paragraph Char"/>
    <w:link w:val="ListParagraph"/>
    <w:uiPriority w:val="34"/>
    <w:rsid w:val="003F5CB3"/>
    <w:rPr>
      <w:rFonts w:ascii="Calibri Light" w:eastAsiaTheme="minorEastAsia" w:hAnsi="Calibri Light"/>
      <w:color w:val="000000"/>
      <w:sz w:val="22"/>
      <w:szCs w:val="24"/>
      <w:lang w:val="en-GB" w:eastAsia="zh-TW"/>
    </w:rPr>
  </w:style>
  <w:style w:type="paragraph" w:customStyle="1" w:styleId="DFORM2020INDENTEDlowerAlphaLVL3">
    <w:name w:val="D_FORM_2020_INDENTED_lowerAlpha_LVL3"/>
    <w:basedOn w:val="ListParagraph"/>
    <w:qFormat/>
    <w:rsid w:val="003F5CB3"/>
    <w:pPr>
      <w:numPr>
        <w:ilvl w:val="1"/>
        <w:numId w:val="6"/>
      </w:numPr>
      <w:autoSpaceDE w:val="0"/>
      <w:autoSpaceDN w:val="0"/>
      <w:adjustRightInd w:val="0"/>
      <w:contextualSpacing w:val="0"/>
    </w:pPr>
    <w:rPr>
      <w:i/>
    </w:rPr>
  </w:style>
  <w:style w:type="paragraph" w:customStyle="1" w:styleId="DLIST2020APARAINDENTED">
    <w:name w:val="D_LIST_2020_A_PARA_INDENTED"/>
    <w:basedOn w:val="Normal"/>
    <w:qFormat/>
    <w:rsid w:val="003F5CB3"/>
    <w:pPr>
      <w:autoSpaceDE w:val="0"/>
      <w:autoSpaceDN w:val="0"/>
      <w:adjustRightInd w:val="0"/>
      <w:ind w:left="1440"/>
    </w:pPr>
    <w:rPr>
      <w:szCs w:val="18"/>
    </w:rPr>
  </w:style>
  <w:style w:type="paragraph" w:customStyle="1" w:styleId="D2020FORMLISTNUMs">
    <w:name w:val="D2020_FORM_LIST_NUMs"/>
    <w:basedOn w:val="ListParagraph"/>
    <w:qFormat/>
    <w:rsid w:val="003F5CB3"/>
    <w:pPr>
      <w:numPr>
        <w:numId w:val="7"/>
      </w:numPr>
      <w:contextualSpacing w:val="0"/>
    </w:pPr>
  </w:style>
  <w:style w:type="paragraph" w:styleId="Date">
    <w:name w:val="Date"/>
    <w:basedOn w:val="Normal"/>
    <w:next w:val="Normal"/>
    <w:link w:val="DateChar"/>
    <w:rsid w:val="003F5CB3"/>
    <w:pPr>
      <w:widowControl w:val="0"/>
      <w:autoSpaceDE w:val="0"/>
      <w:autoSpaceDN w:val="0"/>
      <w:adjustRightInd w:val="0"/>
      <w:spacing w:before="40"/>
      <w:ind w:left="1267" w:hanging="1267"/>
    </w:pPr>
    <w:rPr>
      <w:rFonts w:ascii="Times New Roman" w:eastAsia="Times New Roman" w:hAnsi="Times New Roman"/>
      <w:color w:val="auto"/>
      <w:sz w:val="24"/>
      <w:lang w:val="en-US" w:eastAsia="en-US"/>
    </w:rPr>
  </w:style>
  <w:style w:type="character" w:customStyle="1" w:styleId="DateChar">
    <w:name w:val="Date Char"/>
    <w:basedOn w:val="DefaultParagraphFont"/>
    <w:link w:val="Date"/>
    <w:rsid w:val="003F5CB3"/>
    <w:rPr>
      <w:sz w:val="24"/>
      <w:szCs w:val="24"/>
    </w:rPr>
  </w:style>
  <w:style w:type="paragraph" w:customStyle="1" w:styleId="Date24after">
    <w:name w:val="Date + 24 after"/>
    <w:basedOn w:val="Date"/>
    <w:link w:val="Date24afterChar"/>
    <w:rsid w:val="003F5CB3"/>
    <w:pPr>
      <w:widowControl/>
      <w:autoSpaceDE/>
      <w:autoSpaceDN/>
      <w:adjustRightInd/>
      <w:spacing w:before="240" w:after="480" w:line="240" w:lineRule="atLeast"/>
      <w:ind w:left="0" w:firstLine="0"/>
    </w:pPr>
    <w:rPr>
      <w:rFonts w:asciiTheme="minorHAnsi" w:hAnsiTheme="minorHAnsi" w:cstheme="minorHAnsi"/>
      <w:b/>
      <w:sz w:val="22"/>
      <w:szCs w:val="22"/>
    </w:rPr>
  </w:style>
  <w:style w:type="character" w:customStyle="1" w:styleId="Date24afterChar">
    <w:name w:val="Date + 24 after Char"/>
    <w:link w:val="Date24after"/>
    <w:rsid w:val="003F5CB3"/>
    <w:rPr>
      <w:rFonts w:asciiTheme="minorHAnsi" w:hAnsiTheme="minorHAnsi" w:cstheme="minorHAnsi"/>
      <w:b/>
      <w:sz w:val="22"/>
      <w:szCs w:val="22"/>
    </w:rPr>
  </w:style>
  <w:style w:type="paragraph" w:styleId="Subtitle">
    <w:name w:val="Subtitle"/>
    <w:basedOn w:val="Normal"/>
    <w:next w:val="Normal"/>
    <w:link w:val="SubtitleChar"/>
    <w:rsid w:val="003F5CB3"/>
    <w:pPr>
      <w:numPr>
        <w:ilvl w:val="1"/>
      </w:numPr>
      <w:spacing w:after="160"/>
    </w:pPr>
    <w:rPr>
      <w:color w:val="5A5A5A" w:themeColor="text1" w:themeTint="A5"/>
      <w:spacing w:val="15"/>
    </w:rPr>
  </w:style>
  <w:style w:type="character" w:customStyle="1" w:styleId="SubtitleChar">
    <w:name w:val="Subtitle Char"/>
    <w:basedOn w:val="DefaultParagraphFont"/>
    <w:link w:val="Subtitle"/>
    <w:rsid w:val="003F5CB3"/>
    <w:rPr>
      <w:rFonts w:ascii="Calibri Light" w:eastAsiaTheme="minorEastAsia" w:hAnsi="Calibri Light"/>
      <w:color w:val="5A5A5A" w:themeColor="text1" w:themeTint="A5"/>
      <w:spacing w:val="15"/>
      <w:sz w:val="22"/>
      <w:szCs w:val="24"/>
      <w:lang w:val="en-GB" w:eastAsia="zh-TW"/>
    </w:rPr>
  </w:style>
  <w:style w:type="paragraph" w:customStyle="1" w:styleId="DeloitteDateSubtitle">
    <w:name w:val="Deloitte Date Subtitle"/>
    <w:basedOn w:val="Subtitle"/>
    <w:autoRedefine/>
    <w:rsid w:val="003F5CB3"/>
    <w:pPr>
      <w:spacing w:before="240" w:after="120"/>
    </w:pPr>
    <w:rPr>
      <w:rFonts w:ascii="Verdana" w:eastAsiaTheme="majorEastAsia" w:hAnsi="Verdana" w:cstheme="majorBidi"/>
      <w:iCs/>
      <w:color w:val="000000" w:themeColor="text1"/>
      <w:spacing w:val="0"/>
      <w:sz w:val="18"/>
      <w:szCs w:val="18"/>
    </w:rPr>
  </w:style>
  <w:style w:type="table" w:customStyle="1" w:styleId="DeloitteDefaultTable">
    <w:name w:val="Deloitte Default Table"/>
    <w:basedOn w:val="TableNormal"/>
    <w:uiPriority w:val="99"/>
    <w:rsid w:val="003F5CB3"/>
    <w:rPr>
      <w:rFonts w:ascii="Calibri" w:eastAsia="Calibri" w:hAnsi="Calibri"/>
      <w:sz w:val="17"/>
      <w:lang w:val="en-GB"/>
    </w:rPr>
    <w:tblPr>
      <w:tblInd w:w="0" w:type="nil"/>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62B5E5"/>
        </w:tcBorders>
      </w:tcPr>
    </w:tblStylePr>
  </w:style>
  <w:style w:type="character" w:customStyle="1" w:styleId="Heading1Char">
    <w:name w:val="Heading 1 Char"/>
    <w:aliases w:val="Heading black Char"/>
    <w:link w:val="Heading1"/>
    <w:uiPriority w:val="9"/>
    <w:rsid w:val="003F5CB3"/>
    <w:rPr>
      <w:rFonts w:ascii="Calibri Light" w:eastAsiaTheme="majorEastAsia" w:hAnsi="Calibri Light" w:cstheme="majorBidi"/>
      <w:bCs/>
      <w:spacing w:val="-2"/>
      <w:kern w:val="28"/>
      <w:sz w:val="36"/>
      <w:szCs w:val="28"/>
      <w:lang w:val="en-GB"/>
    </w:rPr>
  </w:style>
  <w:style w:type="paragraph" w:customStyle="1" w:styleId="DeloitteHeading1">
    <w:name w:val="Deloitte Heading 1"/>
    <w:basedOn w:val="Heading1"/>
    <w:autoRedefine/>
    <w:rsid w:val="003F5CB3"/>
    <w:pPr>
      <w:keepLines w:val="0"/>
      <w:widowControl w:val="0"/>
      <w:spacing w:before="120" w:after="240"/>
    </w:pPr>
    <w:rPr>
      <w:rFonts w:ascii="Verdana" w:eastAsiaTheme="minorHAnsi" w:hAnsi="Verdana" w:cstheme="minorBidi"/>
      <w:sz w:val="60"/>
      <w:szCs w:val="22"/>
    </w:rPr>
  </w:style>
  <w:style w:type="character" w:customStyle="1" w:styleId="Heading2Char">
    <w:name w:val="Heading 2 Char"/>
    <w:aliases w:val="Heading white Char"/>
    <w:link w:val="Heading2"/>
    <w:uiPriority w:val="9"/>
    <w:rsid w:val="003F5CB3"/>
    <w:rPr>
      <w:rFonts w:ascii="Calibri Light" w:eastAsiaTheme="majorEastAsia" w:hAnsi="Calibri Light" w:cstheme="majorBidi"/>
      <w:bCs/>
      <w:spacing w:val="4"/>
      <w:sz w:val="36"/>
      <w:szCs w:val="36"/>
    </w:rPr>
  </w:style>
  <w:style w:type="paragraph" w:customStyle="1" w:styleId="DeloitteHeading2">
    <w:name w:val="Deloitte Heading 2"/>
    <w:basedOn w:val="Heading2"/>
    <w:autoRedefine/>
    <w:rsid w:val="003F5CB3"/>
    <w:pPr>
      <w:keepLines w:val="0"/>
      <w:widowControl w:val="0"/>
      <w:tabs>
        <w:tab w:val="left" w:pos="180"/>
      </w:tabs>
    </w:pPr>
    <w:rPr>
      <w:rFonts w:ascii="Verdana" w:hAnsi="Verdana"/>
      <w:b/>
      <w:bCs w:val="0"/>
      <w:iCs/>
      <w:color w:val="62B5E5"/>
      <w:sz w:val="18"/>
      <w:szCs w:val="28"/>
    </w:rPr>
  </w:style>
  <w:style w:type="character" w:customStyle="1" w:styleId="Heading5Char">
    <w:name w:val="Heading 5 Char"/>
    <w:aliases w:val="Intro/Highlighted text Char"/>
    <w:link w:val="Heading5"/>
    <w:uiPriority w:val="9"/>
    <w:rsid w:val="003F5CB3"/>
    <w:rPr>
      <w:rFonts w:ascii="Calibri" w:eastAsiaTheme="majorEastAsia" w:hAnsi="Calibri" w:cstheme="majorBidi"/>
      <w:bCs/>
      <w:color w:val="000000"/>
      <w:sz w:val="36"/>
      <w:szCs w:val="24"/>
      <w:lang w:val="en-GB"/>
    </w:rPr>
  </w:style>
  <w:style w:type="paragraph" w:customStyle="1" w:styleId="DeloitteHeading4">
    <w:name w:val="Deloitte Heading 4"/>
    <w:basedOn w:val="Heading5"/>
    <w:autoRedefine/>
    <w:rsid w:val="003F5CB3"/>
    <w:pPr>
      <w:widowControl w:val="0"/>
      <w:spacing w:before="240"/>
      <w:outlineLvl w:val="3"/>
    </w:pPr>
    <w:rPr>
      <w:rFonts w:ascii="Verdana" w:eastAsia="Times New Roman" w:hAnsi="Verdana" w:cstheme="minorHAnsi"/>
      <w:b/>
      <w:color w:val="75787B"/>
      <w:sz w:val="18"/>
      <w:szCs w:val="28"/>
      <w:lang w:val="la-Latn"/>
    </w:rPr>
  </w:style>
  <w:style w:type="paragraph" w:customStyle="1" w:styleId="DeloitteHeading5">
    <w:name w:val="Deloitte Heading 5"/>
    <w:basedOn w:val="Normal"/>
    <w:link w:val="DeloitteHeading5Char"/>
    <w:autoRedefine/>
    <w:rsid w:val="003F5CB3"/>
    <w:pPr>
      <w:keepNext/>
      <w:widowControl w:val="0"/>
      <w:spacing w:before="240"/>
      <w:outlineLvl w:val="4"/>
    </w:pPr>
    <w:rPr>
      <w:rFonts w:eastAsiaTheme="minorHAnsi"/>
      <w:b/>
      <w:i/>
    </w:rPr>
  </w:style>
  <w:style w:type="character" w:customStyle="1" w:styleId="DeloitteHeading5Char">
    <w:name w:val="Deloitte Heading 5 Char"/>
    <w:basedOn w:val="DefaultParagraphFont"/>
    <w:link w:val="DeloitteHeading5"/>
    <w:rsid w:val="003F5CB3"/>
    <w:rPr>
      <w:rFonts w:ascii="Calibri Light" w:eastAsiaTheme="minorHAnsi" w:hAnsi="Calibri Light"/>
      <w:b/>
      <w:i/>
      <w:color w:val="000000"/>
      <w:sz w:val="22"/>
      <w:szCs w:val="24"/>
      <w:lang w:val="en-GB" w:eastAsia="zh-TW"/>
    </w:rPr>
  </w:style>
  <w:style w:type="table" w:customStyle="1" w:styleId="Deloittetable">
    <w:name w:val="Deloitte table"/>
    <w:basedOn w:val="TableNormal"/>
    <w:uiPriority w:val="99"/>
    <w:rsid w:val="003F5CB3"/>
    <w:rPr>
      <w:sz w:val="17"/>
      <w:lang w:val="en-GB"/>
    </w:rPr>
    <w:tblPr>
      <w:tblBorders>
        <w:insideH w:val="single" w:sz="4" w:space="0" w:color="75787B" w:themeColor="accent6"/>
      </w:tblBorders>
      <w:tblCellMar>
        <w:top w:w="57" w:type="dxa"/>
        <w:left w:w="0" w:type="dxa"/>
        <w:bottom w:w="57" w:type="dxa"/>
        <w:right w:w="0" w:type="dxa"/>
      </w:tblCellMar>
    </w:tblPr>
    <w:tblStylePr w:type="firstRow">
      <w:tblPr/>
      <w:tcPr>
        <w:tcBorders>
          <w:top w:val="single" w:sz="18" w:space="0" w:color="00A3E0" w:themeColor="accent3"/>
          <w:left w:val="nil"/>
          <w:bottom w:val="nil"/>
          <w:right w:val="nil"/>
          <w:insideH w:val="nil"/>
          <w:insideV w:val="nil"/>
          <w:tl2br w:val="nil"/>
          <w:tr2bl w:val="nil"/>
        </w:tcBorders>
      </w:tcPr>
    </w:tblStylePr>
  </w:style>
  <w:style w:type="paragraph" w:customStyle="1" w:styleId="DeloitteTableBullet1">
    <w:name w:val="Deloitte Table Bullet 1"/>
    <w:basedOn w:val="ListParagraph"/>
    <w:link w:val="DeloitteTableBullet1Char"/>
    <w:rsid w:val="003F5CB3"/>
    <w:pPr>
      <w:framePr w:hSpace="180" w:wrap="around" w:vAnchor="text" w:hAnchor="text" w:y="1"/>
      <w:widowControl w:val="0"/>
      <w:numPr>
        <w:numId w:val="8"/>
      </w:numPr>
      <w:spacing w:line="200" w:lineRule="atLeast"/>
      <w:contextualSpacing w:val="0"/>
      <w:suppressOverlap/>
    </w:pPr>
    <w:rPr>
      <w:rFonts w:eastAsia="Times"/>
      <w:sz w:val="17"/>
      <w:szCs w:val="17"/>
    </w:rPr>
  </w:style>
  <w:style w:type="character" w:customStyle="1" w:styleId="DeloitteTableBullet1Char">
    <w:name w:val="Deloitte Table Bullet 1 Char"/>
    <w:basedOn w:val="ListParagraphChar"/>
    <w:link w:val="DeloitteTableBullet1"/>
    <w:rsid w:val="003F5CB3"/>
    <w:rPr>
      <w:rFonts w:ascii="Calibri Light" w:eastAsia="Times" w:hAnsi="Calibri Light"/>
      <w:color w:val="000000"/>
      <w:sz w:val="17"/>
      <w:szCs w:val="17"/>
      <w:lang w:val="en-GB" w:eastAsia="zh-TW"/>
    </w:rPr>
  </w:style>
  <w:style w:type="paragraph" w:customStyle="1" w:styleId="DeloitteTableHeaderRow">
    <w:name w:val="Deloitte Table Header Row"/>
    <w:basedOn w:val="Normal"/>
    <w:rsid w:val="003F5CB3"/>
    <w:pPr>
      <w:framePr w:hSpace="180" w:wrap="around" w:vAnchor="text" w:hAnchor="text" w:y="1"/>
      <w:widowControl w:val="0"/>
      <w:spacing w:line="200" w:lineRule="atLeast"/>
      <w:suppressOverlap/>
    </w:pPr>
    <w:rPr>
      <w:rFonts w:eastAsia="Times"/>
      <w:b/>
      <w:szCs w:val="20"/>
    </w:rPr>
  </w:style>
  <w:style w:type="paragraph" w:customStyle="1" w:styleId="DeloitteTabletext">
    <w:name w:val="Deloitte Table text"/>
    <w:basedOn w:val="Normal"/>
    <w:autoRedefine/>
    <w:rsid w:val="003F5CB3"/>
    <w:pPr>
      <w:spacing w:line="200" w:lineRule="atLeast"/>
      <w:ind w:left="144"/>
    </w:pPr>
    <w:rPr>
      <w:rFonts w:eastAsiaTheme="minorHAnsi"/>
      <w:sz w:val="17"/>
    </w:rPr>
  </w:style>
  <w:style w:type="paragraph" w:customStyle="1" w:styleId="DeloitteTableText0">
    <w:name w:val="Deloitte Table Text"/>
    <w:basedOn w:val="Normal"/>
    <w:link w:val="DeloitteTableTextChar"/>
    <w:rsid w:val="003F5CB3"/>
    <w:pPr>
      <w:framePr w:hSpace="180" w:wrap="around" w:vAnchor="text" w:hAnchor="text" w:y="1"/>
      <w:widowControl w:val="0"/>
      <w:spacing w:line="200" w:lineRule="atLeast"/>
      <w:suppressOverlap/>
    </w:pPr>
    <w:rPr>
      <w:rFonts w:eastAsia="Times"/>
      <w:sz w:val="17"/>
      <w:szCs w:val="17"/>
    </w:rPr>
  </w:style>
  <w:style w:type="character" w:customStyle="1" w:styleId="DeloitteTableTextChar">
    <w:name w:val="Deloitte Table Text Char"/>
    <w:basedOn w:val="DefaultParagraphFont"/>
    <w:link w:val="DeloitteTableText0"/>
    <w:rsid w:val="003F5CB3"/>
    <w:rPr>
      <w:rFonts w:ascii="Calibri Light" w:eastAsia="Times" w:hAnsi="Calibri Light"/>
      <w:color w:val="000000"/>
      <w:sz w:val="17"/>
      <w:szCs w:val="17"/>
      <w:lang w:val="en-GB" w:eastAsia="zh-TW"/>
    </w:rPr>
  </w:style>
  <w:style w:type="table" w:customStyle="1" w:styleId="Deloittetable1">
    <w:name w:val="Deloitte table1"/>
    <w:basedOn w:val="TableNormal"/>
    <w:uiPriority w:val="99"/>
    <w:rsid w:val="003F5CB3"/>
    <w:rPr>
      <w:rFonts w:ascii="Calibri" w:eastAsia="Calibri" w:hAnsi="Calibri"/>
      <w:sz w:val="17"/>
      <w:lang w:val="en-GB"/>
    </w:rPr>
    <w:tblPr>
      <w:tblInd w:w="0" w:type="nil"/>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62B5E5"/>
        </w:tcBorders>
      </w:tcPr>
    </w:tblStylePr>
  </w:style>
  <w:style w:type="table" w:customStyle="1" w:styleId="Deloittetable2">
    <w:name w:val="Deloitte table2"/>
    <w:basedOn w:val="TableNormal"/>
    <w:uiPriority w:val="99"/>
    <w:rsid w:val="003F5CB3"/>
    <w:rPr>
      <w:rFonts w:ascii="Calibri" w:eastAsia="Calibri" w:hAnsi="Calibri"/>
      <w:sz w:val="17"/>
      <w:lang w:val="en-GB"/>
    </w:rPr>
    <w:tblPr>
      <w:tblInd w:w="0" w:type="nil"/>
      <w:tblBorders>
        <w:top w:val="single" w:sz="4" w:space="0" w:color="62B5E5"/>
        <w:bottom w:val="single" w:sz="4" w:space="0" w:color="000000"/>
        <w:insideH w:val="single" w:sz="4" w:space="0" w:color="000000"/>
      </w:tblBorders>
      <w:tblCellMar>
        <w:top w:w="57" w:type="dxa"/>
        <w:left w:w="0" w:type="dxa"/>
        <w:bottom w:w="57" w:type="dxa"/>
        <w:right w:w="0" w:type="dxa"/>
      </w:tblCellMar>
    </w:tblPr>
    <w:tblStylePr w:type="firstRow">
      <w:tblPr/>
      <w:tcPr>
        <w:tcBorders>
          <w:top w:val="single" w:sz="24" w:space="0" w:color="62B5E5"/>
        </w:tcBorders>
      </w:tcPr>
    </w:tblStylePr>
  </w:style>
  <w:style w:type="paragraph" w:customStyle="1" w:styleId="DeloitteTablebulletsLevel1">
    <w:name w:val="Deloitte_Table_bullets_Level_1"/>
    <w:basedOn w:val="DeloitteTabletext"/>
    <w:autoRedefine/>
    <w:rsid w:val="003F5CB3"/>
    <w:pPr>
      <w:ind w:left="720" w:hanging="360"/>
    </w:pPr>
  </w:style>
  <w:style w:type="paragraph" w:customStyle="1" w:styleId="Documenttitle">
    <w:name w:val="Document title"/>
    <w:next w:val="Normal"/>
    <w:qFormat/>
    <w:rsid w:val="003F5CB3"/>
    <w:pPr>
      <w:pBdr>
        <w:bottom w:val="single" w:sz="18" w:space="1" w:color="A6A6A6"/>
      </w:pBdr>
      <w:spacing w:after="130" w:line="340" w:lineRule="atLeast"/>
    </w:pPr>
    <w:rPr>
      <w:rFonts w:ascii="Calibri" w:eastAsiaTheme="majorEastAsia" w:hAnsi="Calibri" w:cstheme="majorBidi"/>
      <w:bCs/>
      <w:color w:val="53565A"/>
      <w:sz w:val="38"/>
      <w:szCs w:val="28"/>
      <w:lang w:val="en-GB"/>
    </w:rPr>
  </w:style>
  <w:style w:type="character" w:customStyle="1" w:styleId="documentlip1">
    <w:name w:val="document_li_p1"/>
    <w:rsid w:val="003F5CB3"/>
    <w:rPr>
      <w:rFonts w:ascii="Arial" w:hAnsi="Arial" w:cs="Arial" w:hint="default"/>
      <w:sz w:val="20"/>
      <w:szCs w:val="20"/>
    </w:rPr>
  </w:style>
  <w:style w:type="character" w:customStyle="1" w:styleId="FooterChar">
    <w:name w:val="Footer Char"/>
    <w:basedOn w:val="DefaultParagraphFont"/>
    <w:link w:val="Footer"/>
    <w:uiPriority w:val="99"/>
    <w:rsid w:val="003F5CB3"/>
    <w:rPr>
      <w:rFonts w:ascii="Calibri Light" w:eastAsiaTheme="minorEastAsia" w:hAnsi="Calibri Light"/>
      <w:color w:val="000000"/>
      <w:sz w:val="22"/>
      <w:szCs w:val="24"/>
      <w:lang w:val="en-GB" w:eastAsia="zh-TW"/>
    </w:rPr>
  </w:style>
  <w:style w:type="character" w:customStyle="1" w:styleId="FootnoteTextChar">
    <w:name w:val="Footnote Text Char"/>
    <w:basedOn w:val="DefaultParagraphFont"/>
    <w:link w:val="FootnoteText"/>
    <w:uiPriority w:val="99"/>
    <w:rsid w:val="003F5CB3"/>
    <w:rPr>
      <w:rFonts w:ascii="Calibri Light" w:eastAsiaTheme="minorEastAsia" w:hAnsi="Calibri Light"/>
      <w:color w:val="000000"/>
      <w:sz w:val="16"/>
      <w:lang w:val="en-GB" w:eastAsia="zh-TW"/>
    </w:rPr>
  </w:style>
  <w:style w:type="paragraph" w:customStyle="1" w:styleId="FORM2020LISTLowerAlpha">
    <w:name w:val="FORM 2020 LIST Lower Alpha"/>
    <w:basedOn w:val="ListParagraph"/>
    <w:qFormat/>
    <w:rsid w:val="003F5CB3"/>
    <w:pPr>
      <w:numPr>
        <w:numId w:val="9"/>
      </w:numPr>
      <w:autoSpaceDE w:val="0"/>
      <w:autoSpaceDN w:val="0"/>
      <w:adjustRightInd w:val="0"/>
      <w:spacing w:after="240"/>
    </w:pPr>
  </w:style>
  <w:style w:type="paragraph" w:customStyle="1" w:styleId="FORM2020StyleListParagraphBlackAfter12pt">
    <w:name w:val="FORM 2020_Style List Paragraph + Black After:  12 pt"/>
    <w:basedOn w:val="ListParagraph"/>
    <w:rsid w:val="003F5CB3"/>
    <w:pPr>
      <w:spacing w:after="240"/>
    </w:pPr>
    <w:rPr>
      <w:szCs w:val="20"/>
    </w:rPr>
  </w:style>
  <w:style w:type="paragraph" w:customStyle="1" w:styleId="FormBodyText">
    <w:name w:val="Form Body Text"/>
    <w:basedOn w:val="Normal"/>
    <w:link w:val="FormBodyTextChar"/>
    <w:qFormat/>
    <w:rsid w:val="003F5CB3"/>
    <w:pPr>
      <w:spacing w:after="320"/>
    </w:pPr>
  </w:style>
  <w:style w:type="character" w:customStyle="1" w:styleId="FormBodyTextChar">
    <w:name w:val="Form Body Text Char"/>
    <w:link w:val="FormBodyText"/>
    <w:rsid w:val="003F5CB3"/>
    <w:rPr>
      <w:rFonts w:ascii="Calibri Light" w:eastAsiaTheme="minorEastAsia" w:hAnsi="Calibri Light"/>
      <w:color w:val="000000"/>
      <w:sz w:val="22"/>
      <w:szCs w:val="24"/>
      <w:lang w:val="en-GB" w:eastAsia="zh-TW"/>
    </w:rPr>
  </w:style>
  <w:style w:type="paragraph" w:customStyle="1" w:styleId="FormBullet1">
    <w:name w:val="Form Bullet 1"/>
    <w:basedOn w:val="ListParagraph"/>
    <w:link w:val="FormBullet1Char"/>
    <w:qFormat/>
    <w:rsid w:val="003F5CB3"/>
    <w:pPr>
      <w:numPr>
        <w:numId w:val="11"/>
      </w:numPr>
      <w:spacing w:line="200" w:lineRule="atLeast"/>
      <w:contextualSpacing w:val="0"/>
    </w:pPr>
  </w:style>
  <w:style w:type="character" w:customStyle="1" w:styleId="FormBullet1Char">
    <w:name w:val="Form Bullet 1 Char"/>
    <w:link w:val="FormBullet1"/>
    <w:rsid w:val="003F5CB3"/>
    <w:rPr>
      <w:rFonts w:ascii="Calibri Light" w:eastAsiaTheme="minorEastAsia" w:hAnsi="Calibri Light"/>
      <w:color w:val="000000"/>
      <w:sz w:val="22"/>
      <w:szCs w:val="24"/>
      <w:lang w:val="en-GB" w:eastAsia="zh-TW"/>
    </w:rPr>
  </w:style>
  <w:style w:type="paragraph" w:customStyle="1" w:styleId="FormBullet2">
    <w:name w:val="Form Bullet 2"/>
    <w:basedOn w:val="ListParagraph"/>
    <w:link w:val="FormBullet2Char"/>
    <w:qFormat/>
    <w:rsid w:val="003F5CB3"/>
    <w:pPr>
      <w:numPr>
        <w:numId w:val="10"/>
      </w:numPr>
      <w:spacing w:line="200" w:lineRule="atLeast"/>
      <w:contextualSpacing w:val="0"/>
    </w:pPr>
  </w:style>
  <w:style w:type="character" w:customStyle="1" w:styleId="FormBullet2Char">
    <w:name w:val="Form Bullet 2 Char"/>
    <w:link w:val="FormBullet2"/>
    <w:rsid w:val="003F5CB3"/>
    <w:rPr>
      <w:rFonts w:ascii="Calibri Light" w:eastAsiaTheme="minorEastAsia" w:hAnsi="Calibri Light"/>
      <w:color w:val="000000"/>
      <w:sz w:val="22"/>
      <w:szCs w:val="24"/>
      <w:lang w:val="en-GB" w:eastAsia="zh-TW"/>
    </w:rPr>
  </w:style>
  <w:style w:type="paragraph" w:customStyle="1" w:styleId="FormBullet3">
    <w:name w:val="Form Bullet 3"/>
    <w:basedOn w:val="ListParagraph"/>
    <w:link w:val="FormBullet3Char"/>
    <w:qFormat/>
    <w:rsid w:val="003F5CB3"/>
    <w:pPr>
      <w:numPr>
        <w:ilvl w:val="1"/>
        <w:numId w:val="11"/>
      </w:numPr>
      <w:spacing w:line="200" w:lineRule="atLeast"/>
      <w:contextualSpacing w:val="0"/>
    </w:pPr>
  </w:style>
  <w:style w:type="character" w:customStyle="1" w:styleId="FormBullet3Char">
    <w:name w:val="Form Bullet 3 Char"/>
    <w:link w:val="FormBullet3"/>
    <w:rsid w:val="003F5CB3"/>
    <w:rPr>
      <w:rFonts w:ascii="Calibri Light" w:eastAsiaTheme="minorEastAsia" w:hAnsi="Calibri Light"/>
      <w:color w:val="000000"/>
      <w:sz w:val="22"/>
      <w:szCs w:val="24"/>
      <w:lang w:val="en-GB" w:eastAsia="zh-TW"/>
    </w:rPr>
  </w:style>
  <w:style w:type="paragraph" w:customStyle="1" w:styleId="FormEndnote">
    <w:name w:val="Form Endnote"/>
    <w:basedOn w:val="EndnoteText"/>
    <w:link w:val="FormEndnoteChar"/>
    <w:qFormat/>
    <w:rsid w:val="003F5CB3"/>
    <w:pPr>
      <w:spacing w:before="120" w:after="120" w:line="200" w:lineRule="atLeast"/>
      <w:ind w:left="360" w:hanging="360"/>
    </w:pPr>
    <w:rPr>
      <w:sz w:val="16"/>
    </w:rPr>
  </w:style>
  <w:style w:type="character" w:customStyle="1" w:styleId="FormEndnoteChar">
    <w:name w:val="Form Endnote Char"/>
    <w:link w:val="FormEndnote"/>
    <w:rsid w:val="003F5CB3"/>
    <w:rPr>
      <w:rFonts w:ascii="Calibri Light" w:eastAsiaTheme="minorEastAsia" w:hAnsi="Calibri Light"/>
      <w:color w:val="000000"/>
      <w:sz w:val="16"/>
      <w:lang w:val="en-GB" w:eastAsia="zh-TW"/>
    </w:rPr>
  </w:style>
  <w:style w:type="character" w:customStyle="1" w:styleId="FormEXAMPLETITLE">
    <w:name w:val="Form EXAMPLE TITLE"/>
    <w:uiPriority w:val="1"/>
    <w:qFormat/>
    <w:rsid w:val="003F5CB3"/>
    <w:rPr>
      <w:rFonts w:ascii="Verdana" w:eastAsiaTheme="majorEastAsia" w:hAnsi="Verdana" w:cs="Arial"/>
      <w:b/>
      <w:bCs/>
      <w:caps/>
      <w:smallCaps w:val="0"/>
      <w:strike w:val="0"/>
      <w:dstrike w:val="0"/>
      <w:vanish w:val="0"/>
      <w:color w:val="000000"/>
      <w:spacing w:val="-2"/>
      <w:kern w:val="28"/>
      <w:sz w:val="24"/>
      <w:szCs w:val="32"/>
      <w:shd w:val="clear" w:color="auto" w:fill="FFFFFF"/>
      <w:vertAlign w:val="baseline"/>
      <w:lang w:val="en-GB"/>
    </w:rPr>
  </w:style>
  <w:style w:type="character" w:customStyle="1" w:styleId="HeaderChar">
    <w:name w:val="Header Char"/>
    <w:basedOn w:val="DefaultParagraphFont"/>
    <w:link w:val="Header"/>
    <w:uiPriority w:val="99"/>
    <w:rsid w:val="003F5CB3"/>
    <w:rPr>
      <w:rFonts w:ascii="Calibri Light" w:eastAsiaTheme="minorEastAsia" w:hAnsi="Calibri Light"/>
      <w:color w:val="000000"/>
      <w:sz w:val="22"/>
      <w:szCs w:val="24"/>
      <w:lang w:val="en-GB" w:eastAsia="zh-TW"/>
    </w:rPr>
  </w:style>
  <w:style w:type="paragraph" w:customStyle="1" w:styleId="FormHeader">
    <w:name w:val="Form Header"/>
    <w:basedOn w:val="Header"/>
    <w:link w:val="FormHeaderChar"/>
    <w:qFormat/>
    <w:rsid w:val="003F5CB3"/>
    <w:pPr>
      <w:spacing w:before="120" w:after="120" w:line="200" w:lineRule="atLeast"/>
      <w:jc w:val="right"/>
    </w:pPr>
    <w:rPr>
      <w:sz w:val="16"/>
    </w:rPr>
  </w:style>
  <w:style w:type="character" w:customStyle="1" w:styleId="FormHeaderChar">
    <w:name w:val="Form Header Char"/>
    <w:link w:val="FormHeader"/>
    <w:rsid w:val="003F5CB3"/>
    <w:rPr>
      <w:rFonts w:ascii="Calibri Light" w:eastAsiaTheme="minorEastAsia" w:hAnsi="Calibri Light"/>
      <w:color w:val="000000"/>
      <w:sz w:val="16"/>
      <w:szCs w:val="24"/>
      <w:lang w:val="en-GB" w:eastAsia="zh-TW"/>
    </w:rPr>
  </w:style>
  <w:style w:type="paragraph" w:customStyle="1" w:styleId="FormHeading1">
    <w:name w:val="Form Heading 1"/>
    <w:basedOn w:val="ListParagraph"/>
    <w:next w:val="Normal"/>
    <w:link w:val="FormHeading1Char"/>
    <w:autoRedefine/>
    <w:qFormat/>
    <w:rsid w:val="003F6EE1"/>
    <w:pPr>
      <w:keepNext/>
      <w:spacing w:before="240" w:after="240" w:line="240" w:lineRule="atLeast"/>
      <w:ind w:left="0"/>
      <w:contextualSpacing w:val="0"/>
      <w:outlineLvl w:val="0"/>
    </w:pPr>
    <w:rPr>
      <w:rFonts w:cs="Calibri Light"/>
      <w:b/>
      <w:sz w:val="32"/>
      <w:szCs w:val="32"/>
      <w:lang w:val="en-US"/>
    </w:rPr>
  </w:style>
  <w:style w:type="character" w:customStyle="1" w:styleId="FormHeading1Char">
    <w:name w:val="Form Heading 1 Char"/>
    <w:link w:val="FormHeading1"/>
    <w:rsid w:val="003F6EE1"/>
    <w:rPr>
      <w:rFonts w:ascii="Calibri Light" w:eastAsiaTheme="minorEastAsia" w:hAnsi="Calibri Light" w:cs="Calibri Light"/>
      <w:b/>
      <w:color w:val="000000"/>
      <w:sz w:val="32"/>
      <w:szCs w:val="32"/>
      <w:lang w:eastAsia="zh-TW"/>
    </w:rPr>
  </w:style>
  <w:style w:type="paragraph" w:customStyle="1" w:styleId="FormHeading2">
    <w:name w:val="Form Heading 2"/>
    <w:basedOn w:val="Heading2"/>
    <w:next w:val="Normal"/>
    <w:link w:val="FormHeading2Char"/>
    <w:autoRedefine/>
    <w:qFormat/>
    <w:rsid w:val="00537E67"/>
    <w:rPr>
      <w:rFonts w:eastAsiaTheme="minorEastAsia"/>
      <w:b/>
      <w:bCs w:val="0"/>
      <w:sz w:val="32"/>
    </w:rPr>
  </w:style>
  <w:style w:type="character" w:customStyle="1" w:styleId="FormHeading2Char">
    <w:name w:val="Form Heading 2 Char"/>
    <w:link w:val="FormHeading2"/>
    <w:rsid w:val="00537E67"/>
    <w:rPr>
      <w:rFonts w:ascii="Calibri Light" w:eastAsiaTheme="minorEastAsia" w:hAnsi="Calibri Light" w:cstheme="majorBidi"/>
      <w:b/>
      <w:spacing w:val="4"/>
      <w:sz w:val="32"/>
      <w:szCs w:val="36"/>
    </w:rPr>
  </w:style>
  <w:style w:type="paragraph" w:customStyle="1" w:styleId="FormHeading3">
    <w:name w:val="Form Heading 3"/>
    <w:basedOn w:val="Heading2"/>
    <w:next w:val="Normal"/>
    <w:link w:val="FormHeading3Char"/>
    <w:autoRedefine/>
    <w:qFormat/>
    <w:rsid w:val="003F5CB3"/>
    <w:pPr>
      <w:outlineLvl w:val="2"/>
    </w:pPr>
    <w:rPr>
      <w:b/>
      <w:sz w:val="28"/>
    </w:rPr>
  </w:style>
  <w:style w:type="character" w:customStyle="1" w:styleId="FormHeading3Char">
    <w:name w:val="Form Heading 3 Char"/>
    <w:link w:val="FormHeading3"/>
    <w:rsid w:val="003F5CB3"/>
    <w:rPr>
      <w:rFonts w:ascii="Calibri Light" w:eastAsiaTheme="majorEastAsia" w:hAnsi="Calibri Light" w:cstheme="majorBidi"/>
      <w:b/>
      <w:bCs/>
      <w:spacing w:val="4"/>
      <w:sz w:val="28"/>
      <w:szCs w:val="36"/>
    </w:rPr>
  </w:style>
  <w:style w:type="paragraph" w:customStyle="1" w:styleId="FormHeading4">
    <w:name w:val="Form Heading 4"/>
    <w:basedOn w:val="FormHeading3"/>
    <w:next w:val="Normal"/>
    <w:link w:val="FormHeading4Char"/>
    <w:rsid w:val="003F5CB3"/>
    <w:rPr>
      <w:b w:val="0"/>
    </w:rPr>
  </w:style>
  <w:style w:type="character" w:customStyle="1" w:styleId="FormHeading4Char">
    <w:name w:val="Form Heading 4 Char"/>
    <w:basedOn w:val="FormHeading3Char"/>
    <w:link w:val="FormHeading4"/>
    <w:rsid w:val="003F5CB3"/>
    <w:rPr>
      <w:rFonts w:ascii="Calibri Light" w:eastAsiaTheme="majorEastAsia" w:hAnsi="Calibri Light" w:cstheme="majorBidi"/>
      <w:b w:val="0"/>
      <w:bCs/>
      <w:spacing w:val="4"/>
      <w:sz w:val="28"/>
      <w:szCs w:val="36"/>
    </w:rPr>
  </w:style>
  <w:style w:type="paragraph" w:customStyle="1" w:styleId="FormLetters">
    <w:name w:val="Form Letters"/>
    <w:basedOn w:val="FormBodyText"/>
    <w:link w:val="FormLettersChar"/>
    <w:qFormat/>
    <w:rsid w:val="003F5CB3"/>
    <w:pPr>
      <w:spacing w:before="240" w:after="240"/>
    </w:pPr>
  </w:style>
  <w:style w:type="character" w:customStyle="1" w:styleId="FormLettersChar">
    <w:name w:val="Form Letters Char"/>
    <w:link w:val="FormLetters"/>
    <w:rsid w:val="003F5CB3"/>
    <w:rPr>
      <w:rFonts w:ascii="Calibri Light" w:eastAsiaTheme="minorEastAsia" w:hAnsi="Calibri Light"/>
      <w:color w:val="000000"/>
      <w:sz w:val="22"/>
      <w:szCs w:val="24"/>
      <w:lang w:val="en-GB" w:eastAsia="zh-TW"/>
    </w:rPr>
  </w:style>
  <w:style w:type="paragraph" w:customStyle="1" w:styleId="FORMLIST2020ALowerRomanLevel2">
    <w:name w:val="FORM LIST 2020 A Lower Roman Level 2"/>
    <w:basedOn w:val="Normal"/>
    <w:qFormat/>
    <w:rsid w:val="003F5CB3"/>
    <w:pPr>
      <w:numPr>
        <w:ilvl w:val="1"/>
        <w:numId w:val="12"/>
      </w:numPr>
      <w:autoSpaceDE w:val="0"/>
      <w:autoSpaceDN w:val="0"/>
      <w:adjustRightInd w:val="0"/>
    </w:pPr>
    <w:rPr>
      <w:bCs/>
    </w:rPr>
  </w:style>
  <w:style w:type="paragraph" w:customStyle="1" w:styleId="FormTableBullet1">
    <w:name w:val="Form Table Bullet 1"/>
    <w:basedOn w:val="DeloitteTableBullet1"/>
    <w:link w:val="FormTableBullet1Char"/>
    <w:qFormat/>
    <w:rsid w:val="003F5CB3"/>
    <w:pPr>
      <w:framePr w:hSpace="0" w:wrap="auto" w:vAnchor="margin" w:yAlign="inline"/>
      <w:numPr>
        <w:numId w:val="0"/>
      </w:numPr>
      <w:tabs>
        <w:tab w:val="num" w:pos="720"/>
      </w:tabs>
      <w:ind w:left="720" w:hanging="720"/>
      <w:suppressOverlap w:val="0"/>
    </w:pPr>
  </w:style>
  <w:style w:type="character" w:customStyle="1" w:styleId="FormTableBullet1Char">
    <w:name w:val="Form Table Bullet 1 Char"/>
    <w:link w:val="FormTableBullet1"/>
    <w:rsid w:val="003F5CB3"/>
    <w:rPr>
      <w:rFonts w:ascii="Calibri Light" w:eastAsia="Times" w:hAnsi="Calibri Light"/>
      <w:color w:val="000000"/>
      <w:sz w:val="17"/>
      <w:szCs w:val="17"/>
      <w:lang w:val="en-GB" w:eastAsia="zh-TW"/>
    </w:rPr>
  </w:style>
  <w:style w:type="paragraph" w:customStyle="1" w:styleId="FormTableBullet2">
    <w:name w:val="Form Table Bullet 2"/>
    <w:basedOn w:val="DeloitteTableBullet1"/>
    <w:link w:val="FormTableBullet2Char"/>
    <w:qFormat/>
    <w:rsid w:val="003F5CB3"/>
    <w:pPr>
      <w:framePr w:wrap="around"/>
      <w:numPr>
        <w:numId w:val="0"/>
      </w:numPr>
      <w:ind w:left="720" w:hanging="360"/>
    </w:pPr>
  </w:style>
  <w:style w:type="character" w:customStyle="1" w:styleId="FormTableBullet2Char">
    <w:name w:val="Form Table Bullet 2 Char"/>
    <w:link w:val="FormTableBullet2"/>
    <w:rsid w:val="003F5CB3"/>
    <w:rPr>
      <w:rFonts w:ascii="Calibri Light" w:eastAsia="Times" w:hAnsi="Calibri Light"/>
      <w:color w:val="000000"/>
      <w:sz w:val="17"/>
      <w:szCs w:val="17"/>
      <w:lang w:val="en-GB" w:eastAsia="zh-TW"/>
    </w:rPr>
  </w:style>
  <w:style w:type="paragraph" w:customStyle="1" w:styleId="FormTableBullet3">
    <w:name w:val="Form Table Bullet 3"/>
    <w:basedOn w:val="FormTableBullet2"/>
    <w:link w:val="FormTableBullet3Char"/>
    <w:qFormat/>
    <w:rsid w:val="003F5CB3"/>
    <w:pPr>
      <w:framePr w:wrap="around"/>
      <w:ind w:left="1080"/>
    </w:pPr>
  </w:style>
  <w:style w:type="character" w:customStyle="1" w:styleId="FormTableBullet3Char">
    <w:name w:val="Form Table Bullet 3 Char"/>
    <w:link w:val="FormTableBullet3"/>
    <w:rsid w:val="003F5CB3"/>
    <w:rPr>
      <w:rFonts w:ascii="Calibri Light" w:eastAsia="Times" w:hAnsi="Calibri Light"/>
      <w:color w:val="000000"/>
      <w:sz w:val="17"/>
      <w:szCs w:val="17"/>
      <w:lang w:val="en-GB" w:eastAsia="zh-TW"/>
    </w:rPr>
  </w:style>
  <w:style w:type="paragraph" w:customStyle="1" w:styleId="FormTableHeaderRow">
    <w:name w:val="Form Table Header Row"/>
    <w:basedOn w:val="FormTableText"/>
    <w:link w:val="FormTableHeaderRowChar"/>
    <w:qFormat/>
    <w:rsid w:val="00906AD8"/>
    <w:rPr>
      <w:b/>
      <w:bCs/>
    </w:rPr>
  </w:style>
  <w:style w:type="character" w:customStyle="1" w:styleId="FormTableHeaderRowChar">
    <w:name w:val="Form Table Header Row Char"/>
    <w:link w:val="FormTableHeaderRow"/>
    <w:rsid w:val="00906AD8"/>
    <w:rPr>
      <w:rFonts w:ascii="Calibri Light" w:eastAsia="Times" w:hAnsi="Calibri Light"/>
      <w:b/>
      <w:bCs/>
      <w:color w:val="000000"/>
      <w:lang w:val="en-GB" w:eastAsia="zh-TW"/>
    </w:rPr>
  </w:style>
  <w:style w:type="paragraph" w:customStyle="1" w:styleId="FormTableText">
    <w:name w:val="Form Table Text"/>
    <w:basedOn w:val="DeloitteTableText0"/>
    <w:link w:val="FormTableTextChar"/>
    <w:qFormat/>
    <w:rsid w:val="00A8680D"/>
    <w:pPr>
      <w:framePr w:hSpace="0" w:wrap="auto" w:vAnchor="margin" w:yAlign="inline"/>
      <w:spacing w:before="120" w:after="120" w:line="240" w:lineRule="atLeast"/>
      <w:suppressOverlap w:val="0"/>
    </w:pPr>
    <w:rPr>
      <w:sz w:val="20"/>
      <w:szCs w:val="20"/>
    </w:rPr>
  </w:style>
  <w:style w:type="character" w:customStyle="1" w:styleId="FormTableTextChar">
    <w:name w:val="Form Table Text Char"/>
    <w:link w:val="FormTableText"/>
    <w:rsid w:val="00A8680D"/>
    <w:rPr>
      <w:rFonts w:ascii="Calibri Light" w:eastAsia="Times" w:hAnsi="Calibri Light"/>
      <w:color w:val="000000"/>
      <w:lang w:val="en-GB" w:eastAsia="zh-TW"/>
    </w:rPr>
  </w:style>
  <w:style w:type="paragraph" w:customStyle="1" w:styleId="FormTitle">
    <w:name w:val="Form Title"/>
    <w:basedOn w:val="DeloitteHeading5"/>
    <w:link w:val="FormTitleChar"/>
    <w:qFormat/>
    <w:rsid w:val="00D33019"/>
    <w:pPr>
      <w:spacing w:after="240"/>
      <w:jc w:val="center"/>
      <w:outlineLvl w:val="0"/>
    </w:pPr>
    <w:rPr>
      <w:rFonts w:eastAsia="Calibri Light"/>
      <w:i w:val="0"/>
      <w:caps/>
      <w:sz w:val="36"/>
      <w:szCs w:val="32"/>
    </w:rPr>
  </w:style>
  <w:style w:type="character" w:customStyle="1" w:styleId="FormTitleChar">
    <w:name w:val="Form Title Char"/>
    <w:link w:val="FormTitle"/>
    <w:rsid w:val="00D33019"/>
    <w:rPr>
      <w:rFonts w:ascii="Calibri Light" w:eastAsia="Calibri Light" w:hAnsi="Calibri Light"/>
      <w:b/>
      <w:caps/>
      <w:color w:val="000000"/>
      <w:sz w:val="36"/>
      <w:szCs w:val="32"/>
      <w:lang w:val="en-GB" w:eastAsia="zh-TW"/>
    </w:rPr>
  </w:style>
  <w:style w:type="paragraph" w:customStyle="1" w:styleId="FORM2020DBULLETLVL1">
    <w:name w:val="FORM_2020_D_BULLET_LVL_1"/>
    <w:basedOn w:val="ListParagraph"/>
    <w:qFormat/>
    <w:rsid w:val="003F5CB3"/>
    <w:pPr>
      <w:numPr>
        <w:numId w:val="13"/>
      </w:numPr>
      <w:contextualSpacing w:val="0"/>
    </w:pPr>
    <w:rPr>
      <w:bCs/>
    </w:rPr>
  </w:style>
  <w:style w:type="paragraph" w:customStyle="1" w:styleId="FORMNUMBEREDLIST2020">
    <w:name w:val="FORM_NUMBERED LIST 2020"/>
    <w:basedOn w:val="FormBodyText"/>
    <w:next w:val="ListNumber"/>
    <w:rsid w:val="003F5CB3"/>
    <w:pPr>
      <w:numPr>
        <w:numId w:val="14"/>
      </w:numPr>
      <w:spacing w:before="120" w:after="240"/>
    </w:pPr>
  </w:style>
  <w:style w:type="paragraph" w:styleId="ListNumber">
    <w:name w:val="List Number"/>
    <w:basedOn w:val="Normal"/>
    <w:uiPriority w:val="99"/>
    <w:rsid w:val="003F5CB3"/>
    <w:pPr>
      <w:numPr>
        <w:numId w:val="17"/>
      </w:numPr>
      <w:tabs>
        <w:tab w:val="clear" w:pos="360"/>
        <w:tab w:val="left" w:pos="284"/>
      </w:tabs>
      <w:contextualSpacing/>
    </w:pPr>
  </w:style>
  <w:style w:type="character" w:customStyle="1" w:styleId="Heading3Char">
    <w:name w:val="Heading 3 Char"/>
    <w:aliases w:val="Subheading black Char"/>
    <w:link w:val="Heading3"/>
    <w:uiPriority w:val="9"/>
    <w:rsid w:val="003F5CB3"/>
    <w:rPr>
      <w:rFonts w:ascii="Calibri Light" w:eastAsiaTheme="majorEastAsia" w:hAnsi="Calibri Light" w:cstheme="majorBidi"/>
      <w:bCs/>
      <w:color w:val="000000"/>
      <w:sz w:val="42"/>
      <w:szCs w:val="24"/>
      <w:lang w:val="en-GB" w:eastAsia="zh-TW"/>
    </w:rPr>
  </w:style>
  <w:style w:type="character" w:customStyle="1" w:styleId="Heading4Char">
    <w:name w:val="Heading 4 Char"/>
    <w:aliases w:val="Subheading white Char"/>
    <w:link w:val="Heading4"/>
    <w:uiPriority w:val="9"/>
    <w:rsid w:val="003F5CB3"/>
    <w:rPr>
      <w:rFonts w:ascii="Calibri Light" w:eastAsiaTheme="majorEastAsia" w:hAnsi="Calibri Light" w:cstheme="majorBidi"/>
      <w:bCs/>
      <w:color w:val="FFFFFF"/>
      <w:sz w:val="42"/>
      <w:szCs w:val="24"/>
      <w:lang w:val="en-GB"/>
    </w:rPr>
  </w:style>
  <w:style w:type="character" w:customStyle="1" w:styleId="Heading6Char">
    <w:name w:val="Heading 6 Char"/>
    <w:aliases w:val="Section heading Char"/>
    <w:link w:val="Heading6"/>
    <w:uiPriority w:val="9"/>
    <w:rsid w:val="003F5CB3"/>
    <w:rPr>
      <w:rFonts w:ascii="Calibri" w:eastAsiaTheme="majorEastAsia" w:hAnsi="Calibri" w:cstheme="majorBidi"/>
      <w:b/>
      <w:bCs/>
      <w:color w:val="000000"/>
      <w:sz w:val="22"/>
      <w:szCs w:val="24"/>
      <w:lang w:val="en-GB"/>
    </w:rPr>
  </w:style>
  <w:style w:type="character" w:customStyle="1" w:styleId="Heading7Char">
    <w:name w:val="Heading 7 Char"/>
    <w:link w:val="Heading7"/>
    <w:rsid w:val="003F5CB3"/>
    <w:rPr>
      <w:rFonts w:ascii="Calibri" w:eastAsiaTheme="majorEastAsia" w:hAnsi="Calibri" w:cstheme="majorBidi"/>
      <w:b/>
      <w:bCs/>
      <w:color w:val="000000"/>
      <w:szCs w:val="24"/>
      <w:lang w:val="en-GB"/>
    </w:rPr>
  </w:style>
  <w:style w:type="character" w:customStyle="1" w:styleId="Heading8Char">
    <w:name w:val="Heading 8 Char"/>
    <w:link w:val="Heading8"/>
    <w:rsid w:val="003F5CB3"/>
    <w:rPr>
      <w:rFonts w:ascii="Arial" w:eastAsiaTheme="minorEastAsia" w:hAnsi="Arial"/>
      <w:b/>
      <w:bCs/>
      <w:iCs/>
      <w:color w:val="000000"/>
      <w:szCs w:val="24"/>
      <w:lang w:val="en-GB" w:eastAsia="zh-TW"/>
    </w:rPr>
  </w:style>
  <w:style w:type="character" w:customStyle="1" w:styleId="Heading9Char">
    <w:name w:val="Heading 9 Char"/>
    <w:link w:val="Heading9"/>
    <w:rsid w:val="003F5CB3"/>
    <w:rPr>
      <w:rFonts w:ascii="Calibri Light" w:eastAsiaTheme="minorEastAsia" w:hAnsi="Calibri Light"/>
      <w:color w:val="000000"/>
      <w:sz w:val="22"/>
      <w:szCs w:val="24"/>
      <w:lang w:val="en-GB" w:eastAsia="zh-TW"/>
    </w:rPr>
  </w:style>
  <w:style w:type="paragraph" w:customStyle="1" w:styleId="Headinggreen">
    <w:name w:val="Heading green"/>
    <w:basedOn w:val="Heading4"/>
    <w:link w:val="HeadinggreenChar"/>
    <w:qFormat/>
    <w:rsid w:val="003F5CB3"/>
    <w:rPr>
      <w:color w:val="86BC25"/>
    </w:rPr>
  </w:style>
  <w:style w:type="character" w:customStyle="1" w:styleId="HeadinggreenChar">
    <w:name w:val="Heading green Char"/>
    <w:link w:val="Headinggreen"/>
    <w:rsid w:val="003F5CB3"/>
    <w:rPr>
      <w:rFonts w:ascii="Calibri Light" w:eastAsiaTheme="majorEastAsia" w:hAnsi="Calibri Light" w:cstheme="majorBidi"/>
      <w:bCs/>
      <w:color w:val="86BC25"/>
      <w:sz w:val="42"/>
      <w:szCs w:val="24"/>
      <w:lang w:val="en-GB"/>
    </w:rPr>
  </w:style>
  <w:style w:type="paragraph" w:customStyle="1" w:styleId="IntroDetails">
    <w:name w:val="Intro Details"/>
    <w:basedOn w:val="Normal"/>
    <w:semiHidden/>
    <w:qFormat/>
    <w:rsid w:val="003F5CB3"/>
    <w:pPr>
      <w:spacing w:before="240" w:after="240"/>
    </w:pPr>
    <w:rPr>
      <w:rFonts w:eastAsia="Calibri Light"/>
      <w:lang w:eastAsia="en-US"/>
    </w:rPr>
  </w:style>
  <w:style w:type="paragraph" w:styleId="ListBullet">
    <w:name w:val="List Bullet"/>
    <w:basedOn w:val="Normal"/>
    <w:uiPriority w:val="99"/>
    <w:rsid w:val="003F5CB3"/>
    <w:pPr>
      <w:numPr>
        <w:numId w:val="15"/>
      </w:numPr>
      <w:tabs>
        <w:tab w:val="clear" w:pos="360"/>
        <w:tab w:val="left" w:pos="284"/>
      </w:tabs>
      <w:contextualSpacing/>
    </w:pPr>
  </w:style>
  <w:style w:type="paragraph" w:styleId="ListBullet2">
    <w:name w:val="List Bullet 2"/>
    <w:basedOn w:val="Normal"/>
    <w:uiPriority w:val="99"/>
    <w:rsid w:val="003F5CB3"/>
    <w:pPr>
      <w:numPr>
        <w:numId w:val="16"/>
      </w:numPr>
      <w:tabs>
        <w:tab w:val="left" w:pos="284"/>
      </w:tabs>
      <w:contextualSpacing/>
    </w:pPr>
  </w:style>
  <w:style w:type="paragraph" w:customStyle="1" w:styleId="ListBullet31">
    <w:name w:val="List Bullet 31"/>
    <w:basedOn w:val="ListBullet2"/>
    <w:autoRedefine/>
    <w:rsid w:val="003F5CB3"/>
    <w:pPr>
      <w:spacing w:before="45" w:after="45" w:line="200" w:lineRule="atLeast"/>
      <w:ind w:left="990"/>
    </w:pPr>
    <w:rPr>
      <w:rFonts w:cstheme="minorHAnsi"/>
      <w:szCs w:val="20"/>
    </w:rPr>
  </w:style>
  <w:style w:type="paragraph" w:styleId="ListNumber2">
    <w:name w:val="List Number 2"/>
    <w:basedOn w:val="Normal"/>
    <w:uiPriority w:val="99"/>
    <w:rsid w:val="003F5CB3"/>
    <w:pPr>
      <w:numPr>
        <w:numId w:val="18"/>
      </w:numPr>
      <w:tabs>
        <w:tab w:val="left" w:pos="567"/>
      </w:tabs>
      <w:contextualSpacing/>
    </w:pPr>
  </w:style>
  <w:style w:type="paragraph" w:styleId="NoSpacing">
    <w:name w:val="No Spacing"/>
    <w:uiPriority w:val="1"/>
    <w:qFormat/>
    <w:rsid w:val="003F5CB3"/>
    <w:rPr>
      <w:rFonts w:ascii="Calibri Light" w:eastAsia="Calibri Light" w:hAnsi="Calibri Light"/>
      <w:color w:val="53565A"/>
      <w:spacing w:val="-2"/>
      <w:kern w:val="18"/>
      <w:szCs w:val="24"/>
      <w:lang w:val="en-GB"/>
    </w:rPr>
  </w:style>
  <w:style w:type="paragraph" w:customStyle="1" w:styleId="Normalwhite">
    <w:name w:val="Normal white"/>
    <w:basedOn w:val="Normal"/>
    <w:qFormat/>
    <w:rsid w:val="003F5CB3"/>
    <w:rPr>
      <w:rFonts w:eastAsia="Calibri Light"/>
      <w:color w:val="FFFFFF"/>
      <w:lang w:eastAsia="en-US"/>
    </w:rPr>
  </w:style>
  <w:style w:type="paragraph" w:customStyle="1" w:styleId="Note">
    <w:name w:val="Note"/>
    <w:basedOn w:val="Normal"/>
    <w:qFormat/>
    <w:rsid w:val="003F5CB3"/>
    <w:pPr>
      <w:jc w:val="center"/>
    </w:pPr>
    <w:rPr>
      <w:color w:val="FFFFFF"/>
      <w:lang w:val="en-US"/>
    </w:rPr>
  </w:style>
  <w:style w:type="character" w:customStyle="1" w:styleId="pdocumentul1">
    <w:name w:val="p_document_ul1"/>
    <w:rsid w:val="003F5CB3"/>
  </w:style>
  <w:style w:type="character" w:styleId="Mention">
    <w:name w:val="Mention"/>
    <w:basedOn w:val="DefaultParagraphFont"/>
    <w:uiPriority w:val="99"/>
    <w:unhideWhenUsed/>
    <w:rsid w:val="00A732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899">
      <w:bodyDiv w:val="1"/>
      <w:marLeft w:val="0"/>
      <w:marRight w:val="0"/>
      <w:marTop w:val="0"/>
      <w:marBottom w:val="0"/>
      <w:divBdr>
        <w:top w:val="none" w:sz="0" w:space="0" w:color="auto"/>
        <w:left w:val="none" w:sz="0" w:space="0" w:color="auto"/>
        <w:bottom w:val="none" w:sz="0" w:space="0" w:color="auto"/>
        <w:right w:val="none" w:sz="0" w:space="0" w:color="auto"/>
      </w:divBdr>
    </w:div>
    <w:div w:id="49111492">
      <w:bodyDiv w:val="1"/>
      <w:marLeft w:val="0"/>
      <w:marRight w:val="0"/>
      <w:marTop w:val="0"/>
      <w:marBottom w:val="0"/>
      <w:divBdr>
        <w:top w:val="none" w:sz="0" w:space="0" w:color="auto"/>
        <w:left w:val="none" w:sz="0" w:space="0" w:color="auto"/>
        <w:bottom w:val="none" w:sz="0" w:space="0" w:color="auto"/>
        <w:right w:val="none" w:sz="0" w:space="0" w:color="auto"/>
      </w:divBdr>
    </w:div>
    <w:div w:id="835068934">
      <w:bodyDiv w:val="1"/>
      <w:marLeft w:val="0"/>
      <w:marRight w:val="0"/>
      <w:marTop w:val="0"/>
      <w:marBottom w:val="0"/>
      <w:divBdr>
        <w:top w:val="none" w:sz="0" w:space="0" w:color="auto"/>
        <w:left w:val="none" w:sz="0" w:space="0" w:color="auto"/>
        <w:bottom w:val="none" w:sz="0" w:space="0" w:color="auto"/>
        <w:right w:val="none" w:sz="0" w:space="0" w:color="auto"/>
      </w:divBdr>
      <w:divsChild>
        <w:div w:id="868030860">
          <w:marLeft w:val="0"/>
          <w:marRight w:val="0"/>
          <w:marTop w:val="0"/>
          <w:marBottom w:val="0"/>
          <w:divBdr>
            <w:top w:val="none" w:sz="0" w:space="0" w:color="auto"/>
            <w:left w:val="none" w:sz="0" w:space="0" w:color="auto"/>
            <w:bottom w:val="none" w:sz="0" w:space="0" w:color="auto"/>
            <w:right w:val="none" w:sz="0" w:space="0" w:color="auto"/>
          </w:divBdr>
          <w:divsChild>
            <w:div w:id="692195464">
              <w:marLeft w:val="0"/>
              <w:marRight w:val="0"/>
              <w:marTop w:val="0"/>
              <w:marBottom w:val="0"/>
              <w:divBdr>
                <w:top w:val="none" w:sz="0" w:space="0" w:color="auto"/>
                <w:left w:val="none" w:sz="0" w:space="0" w:color="auto"/>
                <w:bottom w:val="none" w:sz="0" w:space="0" w:color="auto"/>
                <w:right w:val="none" w:sz="0" w:space="0" w:color="auto"/>
              </w:divBdr>
              <w:divsChild>
                <w:div w:id="2742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3461">
      <w:bodyDiv w:val="1"/>
      <w:marLeft w:val="0"/>
      <w:marRight w:val="0"/>
      <w:marTop w:val="0"/>
      <w:marBottom w:val="0"/>
      <w:divBdr>
        <w:top w:val="none" w:sz="0" w:space="0" w:color="auto"/>
        <w:left w:val="none" w:sz="0" w:space="0" w:color="auto"/>
        <w:bottom w:val="none" w:sz="0" w:space="0" w:color="auto"/>
        <w:right w:val="none" w:sz="0" w:space="0" w:color="auto"/>
      </w:divBdr>
    </w:div>
    <w:div w:id="1206139956">
      <w:bodyDiv w:val="1"/>
      <w:marLeft w:val="0"/>
      <w:marRight w:val="0"/>
      <w:marTop w:val="0"/>
      <w:marBottom w:val="0"/>
      <w:divBdr>
        <w:top w:val="none" w:sz="0" w:space="0" w:color="auto"/>
        <w:left w:val="none" w:sz="0" w:space="0" w:color="auto"/>
        <w:bottom w:val="none" w:sz="0" w:space="0" w:color="auto"/>
        <w:right w:val="none" w:sz="0" w:space="0" w:color="auto"/>
      </w:divBdr>
    </w:div>
    <w:div w:id="1502431399">
      <w:bodyDiv w:val="1"/>
      <w:marLeft w:val="0"/>
      <w:marRight w:val="0"/>
      <w:marTop w:val="0"/>
      <w:marBottom w:val="0"/>
      <w:divBdr>
        <w:top w:val="none" w:sz="0" w:space="0" w:color="auto"/>
        <w:left w:val="none" w:sz="0" w:space="0" w:color="auto"/>
        <w:bottom w:val="none" w:sz="0" w:space="0" w:color="auto"/>
        <w:right w:val="none" w:sz="0" w:space="0" w:color="auto"/>
      </w:divBdr>
    </w:div>
    <w:div w:id="1710257551">
      <w:bodyDiv w:val="1"/>
      <w:marLeft w:val="0"/>
      <w:marRight w:val="0"/>
      <w:marTop w:val="0"/>
      <w:marBottom w:val="0"/>
      <w:divBdr>
        <w:top w:val="none" w:sz="0" w:space="0" w:color="auto"/>
        <w:left w:val="none" w:sz="0" w:space="0" w:color="auto"/>
        <w:bottom w:val="none" w:sz="0" w:space="0" w:color="auto"/>
        <w:right w:val="none" w:sz="0" w:space="0" w:color="auto"/>
      </w:divBdr>
    </w:div>
    <w:div w:id="1734963281">
      <w:bodyDiv w:val="1"/>
      <w:marLeft w:val="0"/>
      <w:marRight w:val="0"/>
      <w:marTop w:val="0"/>
      <w:marBottom w:val="0"/>
      <w:divBdr>
        <w:top w:val="none" w:sz="0" w:space="0" w:color="auto"/>
        <w:left w:val="none" w:sz="0" w:space="0" w:color="auto"/>
        <w:bottom w:val="none" w:sz="0" w:space="0" w:color="auto"/>
        <w:right w:val="none" w:sz="0" w:space="0" w:color="auto"/>
      </w:divBdr>
    </w:div>
    <w:div w:id="1752697679">
      <w:bodyDiv w:val="1"/>
      <w:marLeft w:val="0"/>
      <w:marRight w:val="0"/>
      <w:marTop w:val="0"/>
      <w:marBottom w:val="0"/>
      <w:divBdr>
        <w:top w:val="none" w:sz="0" w:space="0" w:color="auto"/>
        <w:left w:val="none" w:sz="0" w:space="0" w:color="auto"/>
        <w:bottom w:val="none" w:sz="0" w:space="0" w:color="auto"/>
        <w:right w:val="none" w:sz="0" w:space="0" w:color="auto"/>
      </w:divBdr>
    </w:div>
    <w:div w:id="1843086085">
      <w:bodyDiv w:val="1"/>
      <w:marLeft w:val="0"/>
      <w:marRight w:val="0"/>
      <w:marTop w:val="0"/>
      <w:marBottom w:val="0"/>
      <w:divBdr>
        <w:top w:val="none" w:sz="0" w:space="0" w:color="auto"/>
        <w:left w:val="none" w:sz="0" w:space="0" w:color="auto"/>
        <w:bottom w:val="none" w:sz="0" w:space="0" w:color="auto"/>
        <w:right w:val="none" w:sz="0" w:space="0" w:color="auto"/>
      </w:divBdr>
    </w:div>
    <w:div w:id="1911498437">
      <w:bodyDiv w:val="1"/>
      <w:marLeft w:val="0"/>
      <w:marRight w:val="0"/>
      <w:marTop w:val="0"/>
      <w:marBottom w:val="0"/>
      <w:divBdr>
        <w:top w:val="none" w:sz="0" w:space="0" w:color="auto"/>
        <w:left w:val="none" w:sz="0" w:space="0" w:color="auto"/>
        <w:bottom w:val="none" w:sz="0" w:space="0" w:color="auto"/>
        <w:right w:val="none" w:sz="0" w:space="0" w:color="auto"/>
      </w:divBdr>
    </w:div>
    <w:div w:id="1988900230">
      <w:bodyDiv w:val="1"/>
      <w:marLeft w:val="0"/>
      <w:marRight w:val="0"/>
      <w:marTop w:val="0"/>
      <w:marBottom w:val="0"/>
      <w:divBdr>
        <w:top w:val="none" w:sz="0" w:space="0" w:color="auto"/>
        <w:left w:val="none" w:sz="0" w:space="0" w:color="auto"/>
        <w:bottom w:val="none" w:sz="0" w:space="0" w:color="auto"/>
        <w:right w:val="none" w:sz="0" w:space="0" w:color="auto"/>
      </w:divBdr>
      <w:divsChild>
        <w:div w:id="911893761">
          <w:marLeft w:val="0"/>
          <w:marRight w:val="0"/>
          <w:marTop w:val="0"/>
          <w:marBottom w:val="0"/>
          <w:divBdr>
            <w:top w:val="none" w:sz="0" w:space="0" w:color="auto"/>
            <w:left w:val="none" w:sz="0" w:space="0" w:color="auto"/>
            <w:bottom w:val="none" w:sz="0" w:space="0" w:color="auto"/>
            <w:right w:val="none" w:sz="0" w:space="0" w:color="auto"/>
          </w:divBdr>
          <w:divsChild>
            <w:div w:id="301811054">
              <w:marLeft w:val="0"/>
              <w:marRight w:val="0"/>
              <w:marTop w:val="0"/>
              <w:marBottom w:val="0"/>
              <w:divBdr>
                <w:top w:val="none" w:sz="0" w:space="0" w:color="auto"/>
                <w:left w:val="none" w:sz="0" w:space="0" w:color="auto"/>
                <w:bottom w:val="none" w:sz="0" w:space="0" w:color="auto"/>
                <w:right w:val="none" w:sz="0" w:space="0" w:color="auto"/>
              </w:divBdr>
              <w:divsChild>
                <w:div w:id="19539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gov/divisions/corpfin/cfreportingguidance.shtml" TargetMode="External"/><Relationship Id="rId18" Type="http://schemas.openxmlformats.org/officeDocument/2006/relationships/hyperlink" Target="http://www.sec.gov/rules/interp/33-8350.htm" TargetMode="External"/><Relationship Id="rId26" Type="http://schemas.openxmlformats.org/officeDocument/2006/relationships/hyperlink" Target="http://www.sec.gov/divisions/corpfin/guidance/execcompdisclosure.htm" TargetMode="External"/><Relationship Id="rId21" Type="http://schemas.openxmlformats.org/officeDocument/2006/relationships/hyperlink" Target="https://dart.deloitte.com/USDART/pdf/5add48e3-5531-11e8-a3cd-95aa86898c08"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ec.gov/divisions/corpfin/cffinancialreportingmanual.shtml" TargetMode="External"/><Relationship Id="rId17" Type="http://schemas.openxmlformats.org/officeDocument/2006/relationships/hyperlink" Target="https://www.sec.gov/rules/final/2011/33-9286.pdf" TargetMode="External"/><Relationship Id="rId25" Type="http://schemas.openxmlformats.org/officeDocument/2006/relationships/hyperlink" Target="https://dart.deloitte.com/USDART/pdf/bebffb5d-f792-11ea-a1f9-f9143e2f1541"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yperlink" Target="https://www.sec.gov/divisions/corpfin/guidance/regs-kinterp.htm" TargetMode="External"/><Relationship Id="rId29" Type="http://schemas.openxmlformats.org/officeDocument/2006/relationships/hyperlink" Target="http://www.sec.gov/divisions/corpfin/cfguidanc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art.deloitte.com/USDART/pdf/bebffb5d-f792-11ea-a1f9-f9143e2f1541" TargetMode="External"/><Relationship Id="rId32" Type="http://schemas.openxmlformats.org/officeDocument/2006/relationships/hyperlink" Target="http://www.deloitte.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c.gov/rules/final/2020/33-10889.pdf" TargetMode="External"/><Relationship Id="rId23" Type="http://schemas.openxmlformats.org/officeDocument/2006/relationships/hyperlink" Target="https://dart.deloitte.com/USDART/pdf/bebffb5d-f792-11ea-a1f9-f9143e2f1541" TargetMode="External"/><Relationship Id="rId28" Type="http://schemas.openxmlformats.org/officeDocument/2006/relationships/hyperlink" Target="https://www.state.gov/economic-sanctions-policy-and-implementation/"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rt.deloitte.com/USDART/pdf/c0c78948-e20b-11e8-8992-71b1f00939dc" TargetMode="External"/><Relationship Id="rId31" Type="http://schemas.openxmlformats.org/officeDocument/2006/relationships/hyperlink" Target="http://www.deloitte.com/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rt.deloitte.com/USDART/home/accounting/sec/sec-reporting-interpretations-manual" TargetMode="External"/><Relationship Id="rId22" Type="http://schemas.openxmlformats.org/officeDocument/2006/relationships/hyperlink" Target="https://dart.deloitte.com/USDART/pdf/bebffb5d-f792-11ea-a1f9-f9143e2f1541" TargetMode="External"/><Relationship Id="rId27" Type="http://schemas.openxmlformats.org/officeDocument/2006/relationships/hyperlink" Target="http://www.sec.gov/divisions/corpfin/guidance/regs-kinterp.htm" TargetMode="External"/><Relationship Id="rId30" Type="http://schemas.openxmlformats.org/officeDocument/2006/relationships/image" Target="media/image2.tiff"/><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odaro\AppData\Roaming\Microsoft\Templates\Publishing.dot" TargetMode="External"/></Relationships>
</file>

<file path=word/theme/theme1.xml><?xml version="1.0" encoding="utf-8"?>
<a:theme xmlns:a="http://schemas.openxmlformats.org/drawingml/2006/main" name="Deloitte US letter print">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extLst>
    <a:ext uri="{05A4C25C-085E-4340-85A3-A5531E510DB2}">
      <thm15:themeFamily xmlns:thm15="http://schemas.microsoft.com/office/thememl/2012/main" name="Deloitte US letter print" id="{623383DA-C85E-4BA7-B7D1-8FA7147CF522}" vid="{F142DD82-8775-410B-9E5D-934DAE596CF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F38701A87BA44A319A501035FA4E1" ma:contentTypeVersion="4" ma:contentTypeDescription="Create a new document." ma:contentTypeScope="" ma:versionID="839d7f9679f2fa17b8601fac64ac0c6d">
  <xsd:schema xmlns:xsd="http://www.w3.org/2001/XMLSchema" xmlns:xs="http://www.w3.org/2001/XMLSchema" xmlns:p="http://schemas.microsoft.com/office/2006/metadata/properties" xmlns:ns2="195a3d59-7b74-4f33-8852-3367001395eb" xmlns:ns3="2464149c-7028-40e0-8d3f-7183a2db35e2" targetNamespace="http://schemas.microsoft.com/office/2006/metadata/properties" ma:root="true" ma:fieldsID="6904e2e83714b86434234343a7583b6c" ns2:_="" ns3:_="">
    <xsd:import namespace="195a3d59-7b74-4f33-8852-3367001395eb"/>
    <xsd:import namespace="2464149c-7028-40e0-8d3f-7183a2db35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a3d59-7b74-4f33-8852-33670013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64149c-7028-40e0-8d3f-7183a2db35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464149c-7028-40e0-8d3f-7183a2db35e2">
      <UserInfo>
        <DisplayName>Alaba, Jude</DisplayName>
        <AccountId>30</AccountId>
        <AccountType/>
      </UserInfo>
      <UserInfo>
        <DisplayName>Tuttle, Melanie</DisplayName>
        <AccountId>11</AccountId>
        <AccountType/>
      </UserInfo>
    </SharedWithUsers>
  </documentManagement>
</p:properties>
</file>

<file path=customXml/itemProps1.xml><?xml version="1.0" encoding="utf-8"?>
<ds:datastoreItem xmlns:ds="http://schemas.openxmlformats.org/officeDocument/2006/customXml" ds:itemID="{FA289CDF-BCF1-42F9-9B3C-4BB98ABF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a3d59-7b74-4f33-8852-3367001395eb"/>
    <ds:schemaRef ds:uri="2464149c-7028-40e0-8d3f-7183a2db3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170C5-B216-4888-B653-665B05878196}">
  <ds:schemaRefs>
    <ds:schemaRef ds:uri="http://schemas.openxmlformats.org/officeDocument/2006/bibliography"/>
  </ds:schemaRefs>
</ds:datastoreItem>
</file>

<file path=customXml/itemProps3.xml><?xml version="1.0" encoding="utf-8"?>
<ds:datastoreItem xmlns:ds="http://schemas.openxmlformats.org/officeDocument/2006/customXml" ds:itemID="{52BA54E7-C39C-48DC-A954-CABCD89ECA0B}">
  <ds:schemaRefs>
    <ds:schemaRef ds:uri="http://schemas.microsoft.com/sharepoint/v3/contenttype/forms"/>
  </ds:schemaRefs>
</ds:datastoreItem>
</file>

<file path=customXml/itemProps4.xml><?xml version="1.0" encoding="utf-8"?>
<ds:datastoreItem xmlns:ds="http://schemas.openxmlformats.org/officeDocument/2006/customXml" ds:itemID="{B5AACF4A-833D-41BD-8DE2-B3F5C3092122}">
  <ds:schemaRefs>
    <ds:schemaRef ds:uri="http://schemas.microsoft.com/office/2006/metadata/properties"/>
    <ds:schemaRef ds:uri="http://schemas.microsoft.com/office/infopath/2007/PartnerControls"/>
    <ds:schemaRef ds:uri="2464149c-7028-40e0-8d3f-7183a2db35e2"/>
  </ds:schemaRefs>
</ds:datastoreItem>
</file>

<file path=docProps/app.xml><?xml version="1.0" encoding="utf-8"?>
<Properties xmlns="http://schemas.openxmlformats.org/officeDocument/2006/extended-properties" xmlns:vt="http://schemas.openxmlformats.org/officeDocument/2006/docPropsVTypes">
  <Template>Publishing.dot</Template>
  <TotalTime>28</TotalTime>
  <Pages>26</Pages>
  <Words>8208</Words>
  <Characters>46788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Todaro, Tammy</cp:lastModifiedBy>
  <cp:revision>16</cp:revision>
  <cp:lastPrinted>2013-01-07T21:04:00Z</cp:lastPrinted>
  <dcterms:created xsi:type="dcterms:W3CDTF">2022-12-13T20:42:00Z</dcterms:created>
  <dcterms:modified xsi:type="dcterms:W3CDTF">2022-12-15T19:33:00Z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569042055</vt:i4>
  </property>
  <property fmtid="{D5CDD505-2E9C-101B-9397-08002B2CF9AE}" pid="3" name="_ReviewCycleID">
    <vt:i4>569042055</vt:i4>
  </property>
  <property fmtid="{D5CDD505-2E9C-101B-9397-08002B2CF9AE}" pid="4" name="_NewReviewCycle">
    <vt:lpwstr/>
  </property>
  <property fmtid="{D5CDD505-2E9C-101B-9397-08002B2CF9AE}" pid="5" name="_EmailEntryID">
    <vt:lpwstr>0000000006C981513ABD99409322DC4689FF3D0807008E5003668FC34047840E507827BEC2DA000000761962000014CDDF8635025445A40B24A5EB92109E00003A4C610E0000</vt:lpwstr>
  </property>
  <property fmtid="{D5CDD505-2E9C-101B-9397-08002B2CF9AE}" pid="6" name="_EmailStoreID0">
    <vt:lpwstr>0000000038A1BB1005E5101AA1BB08002B2A56C20000454D534D44422E444C4C00000000000000001B55FA20AA6611CD9BC800AA002FC45A0C00000074746F6461726F4064656C6F697474652E636F6D002F6F3D44454C4F495454452F6F753D55532F636E3D526563697069656E74732F636E3D32363034343500E94632F43</vt:lpwstr>
  </property>
  <property fmtid="{D5CDD505-2E9C-101B-9397-08002B2CF9AE}" pid="7" name="_EmailStoreID1">
    <vt:lpwstr>C0000000200000010000000740074006F006400610072006F004000640065006C006F0069007400740065002E0063006F006D0000000000</vt:lpwstr>
  </property>
  <property fmtid="{D5CDD505-2E9C-101B-9397-08002B2CF9AE}" pid="8" name="_EmailStoreID">
    <vt:lpwstr>0000000038A1BB1005E5101AA1BB08002B2A56C20000454D534D44422E444C4C00000000000000001B55FA20AA6611CD9BC800AA002FC45A0C0000007573636E7431343132002F6F3D44454C4F495454452F6F753D55532F636E3D526563697069656E74732F636E3D32363034343500</vt:lpwstr>
  </property>
  <property fmtid="{D5CDD505-2E9C-101B-9397-08002B2CF9AE}" pid="9" name="ContentTypeId">
    <vt:lpwstr>0x01010013AF38701A87BA44A319A501035FA4E1</vt:lpwstr>
  </property>
  <property fmtid="{D5CDD505-2E9C-101B-9397-08002B2CF9AE}" pid="10" name="MSIP_Label_ea60d57e-af5b-4752-ac57-3e4f28ca11dc_Enabled">
    <vt:lpwstr>true</vt:lpwstr>
  </property>
  <property fmtid="{D5CDD505-2E9C-101B-9397-08002B2CF9AE}" pid="11" name="MSIP_Label_ea60d57e-af5b-4752-ac57-3e4f28ca11dc_SetDate">
    <vt:lpwstr>2021-12-08T14:10:36Z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bf044f60-479a-4094-9d56-6d742a13d82c</vt:lpwstr>
  </property>
  <property fmtid="{D5CDD505-2E9C-101B-9397-08002B2CF9AE}" pid="16" name="MSIP_Label_ea60d57e-af5b-4752-ac57-3e4f28ca11dc_ContentBits">
    <vt:lpwstr>0</vt:lpwstr>
  </property>
  <property fmtid="{D5CDD505-2E9C-101B-9397-08002B2CF9AE}" pid="17" name="_ReviewingToolsShownOnce">
    <vt:lpwstr/>
  </property>
</Properties>
</file>