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5F0C" w14:textId="59AEE4D3" w:rsidR="00585BC7" w:rsidRPr="002771D4" w:rsidRDefault="00585BC7" w:rsidP="00585BC7">
      <w:pPr>
        <w:pStyle w:val="Title1"/>
        <w:tabs>
          <w:tab w:val="left" w:pos="1596"/>
        </w:tabs>
        <w:spacing w:before="960" w:after="60"/>
        <w:ind w:left="-274"/>
        <w:jc w:val="left"/>
        <w:rPr>
          <w:b/>
          <w:bCs w:val="0"/>
          <w:caps/>
          <w:sz w:val="20"/>
          <w:szCs w:val="20"/>
        </w:rPr>
      </w:pPr>
      <w:r w:rsidRPr="006A7E18">
        <w:rPr>
          <w:noProof/>
        </w:rPr>
        <w:drawing>
          <wp:anchor distT="0" distB="0" distL="114300" distR="114300" simplePos="0" relativeHeight="251658240" behindDoc="0" locked="0" layoutInCell="1" allowOverlap="1" wp14:anchorId="05CE5952" wp14:editId="676F0E15">
            <wp:simplePos x="0" y="0"/>
            <wp:positionH relativeFrom="column">
              <wp:posOffset>-123190</wp:posOffset>
            </wp:positionH>
            <wp:positionV relativeFrom="paragraph">
              <wp:posOffset>614045</wp:posOffset>
            </wp:positionV>
            <wp:extent cx="5397500" cy="5397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397500" cy="5397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771D4">
        <w:rPr>
          <w:b/>
          <w:bCs w:val="0"/>
          <w:sz w:val="48"/>
          <w:szCs w:val="48"/>
        </w:rPr>
        <w:t>SEC Compliance Checklist— General</w:t>
      </w:r>
    </w:p>
    <w:p w14:paraId="56974F69" w14:textId="6D186DBA" w:rsidR="00C82B5D" w:rsidRDefault="00585BC7" w:rsidP="00585BC7">
      <w:pPr>
        <w:pStyle w:val="Title1"/>
        <w:tabs>
          <w:tab w:val="left" w:pos="1596"/>
        </w:tabs>
        <w:spacing w:before="720" w:after="60"/>
        <w:ind w:left="-274"/>
        <w:jc w:val="left"/>
        <w:rPr>
          <w:sz w:val="40"/>
          <w:szCs w:val="40"/>
        </w:rPr>
      </w:pPr>
      <w:r w:rsidRPr="74D649F7">
        <w:rPr>
          <w:sz w:val="40"/>
          <w:szCs w:val="40"/>
        </w:rPr>
        <w:t xml:space="preserve">December </w:t>
      </w:r>
      <w:r w:rsidR="004F6025" w:rsidRPr="74D649F7">
        <w:rPr>
          <w:sz w:val="40"/>
          <w:szCs w:val="40"/>
        </w:rPr>
        <w:t>202</w:t>
      </w:r>
      <w:r w:rsidR="004F6025">
        <w:rPr>
          <w:sz w:val="40"/>
          <w:szCs w:val="40"/>
        </w:rPr>
        <w:t>2</w:t>
      </w:r>
    </w:p>
    <w:p w14:paraId="38F0E038" w14:textId="77777777" w:rsidR="00C82B5D" w:rsidRDefault="00C82B5D">
      <w:pPr>
        <w:rPr>
          <w:rFonts w:eastAsiaTheme="majorEastAsia" w:cstheme="majorBidi"/>
          <w:bCs/>
          <w:color w:val="auto"/>
          <w:spacing w:val="-2"/>
          <w:kern w:val="28"/>
          <w:sz w:val="40"/>
          <w:szCs w:val="40"/>
          <w:lang w:eastAsia="en-US"/>
        </w:rPr>
      </w:pPr>
      <w:r>
        <w:rPr>
          <w:sz w:val="40"/>
          <w:szCs w:val="40"/>
        </w:rPr>
        <w:br w:type="page"/>
      </w:r>
    </w:p>
    <w:p w14:paraId="520D68A3" w14:textId="1085BFEC" w:rsidR="006A7AC5" w:rsidRPr="001E152E" w:rsidRDefault="00425921" w:rsidP="001E152E">
      <w:pPr>
        <w:pStyle w:val="FormTitle"/>
        <w:rPr>
          <w:szCs w:val="32"/>
        </w:rPr>
      </w:pPr>
      <w:r w:rsidRPr="001E152E">
        <w:rPr>
          <w:szCs w:val="32"/>
        </w:rPr>
        <w:lastRenderedPageBreak/>
        <w:t>SEC COMPLIANCE CHECKLIST — GENERAL</w:t>
      </w:r>
    </w:p>
    <w:tbl>
      <w:tblPr>
        <w:tblW w:w="8840" w:type="dxa"/>
        <w:tblLayout w:type="fixed"/>
        <w:tblLook w:val="0000" w:firstRow="0" w:lastRow="0" w:firstColumn="0" w:lastColumn="0" w:noHBand="0" w:noVBand="0"/>
      </w:tblPr>
      <w:tblGrid>
        <w:gridCol w:w="1458"/>
        <w:gridCol w:w="4140"/>
        <w:gridCol w:w="792"/>
        <w:gridCol w:w="90"/>
        <w:gridCol w:w="2360"/>
      </w:tblGrid>
      <w:tr w:rsidR="001F5308" w:rsidRPr="00425921" w14:paraId="7BE19C58" w14:textId="77777777" w:rsidTr="008F2C09">
        <w:tc>
          <w:tcPr>
            <w:tcW w:w="1458" w:type="dxa"/>
          </w:tcPr>
          <w:p w14:paraId="67740935" w14:textId="76207721" w:rsidR="001F5308" w:rsidRPr="00425921" w:rsidRDefault="00585BC7"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sz w:val="22"/>
                <w:szCs w:val="22"/>
              </w:rPr>
            </w:pPr>
            <w:r>
              <w:rPr>
                <w:sz w:val="22"/>
                <w:szCs w:val="22"/>
              </w:rPr>
              <w:t>Company</w:t>
            </w:r>
            <w:r w:rsidR="001F5308" w:rsidRPr="00425921">
              <w:rPr>
                <w:sz w:val="22"/>
                <w:szCs w:val="22"/>
              </w:rPr>
              <w:t>:</w:t>
            </w:r>
          </w:p>
        </w:tc>
        <w:tc>
          <w:tcPr>
            <w:tcW w:w="4140" w:type="dxa"/>
            <w:tcBorders>
              <w:bottom w:val="single" w:sz="4" w:space="0" w:color="auto"/>
            </w:tcBorders>
          </w:tcPr>
          <w:p w14:paraId="699227D8" w14:textId="77777777" w:rsidR="001F5308" w:rsidRPr="00425921" w:rsidRDefault="001F5308"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b/>
                <w:sz w:val="22"/>
                <w:szCs w:val="22"/>
              </w:rPr>
            </w:pPr>
          </w:p>
        </w:tc>
        <w:tc>
          <w:tcPr>
            <w:tcW w:w="882" w:type="dxa"/>
            <w:gridSpan w:val="2"/>
          </w:tcPr>
          <w:p w14:paraId="270F7165" w14:textId="77777777" w:rsidR="001F5308" w:rsidRPr="00425921" w:rsidRDefault="001F5308"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sz w:val="22"/>
                <w:szCs w:val="22"/>
              </w:rPr>
            </w:pPr>
            <w:r w:rsidRPr="00425921">
              <w:rPr>
                <w:sz w:val="22"/>
                <w:szCs w:val="22"/>
              </w:rPr>
              <w:t>Period:</w:t>
            </w:r>
          </w:p>
        </w:tc>
        <w:tc>
          <w:tcPr>
            <w:tcW w:w="2360" w:type="dxa"/>
            <w:tcBorders>
              <w:bottom w:val="single" w:sz="4" w:space="0" w:color="auto"/>
            </w:tcBorders>
          </w:tcPr>
          <w:p w14:paraId="167E0710" w14:textId="77777777" w:rsidR="001F5308" w:rsidRPr="00425921" w:rsidRDefault="001F5308"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b/>
                <w:sz w:val="22"/>
                <w:szCs w:val="22"/>
              </w:rPr>
            </w:pPr>
          </w:p>
        </w:tc>
      </w:tr>
      <w:tr w:rsidR="001F5308" w:rsidRPr="00425921" w14:paraId="3BDBB16E" w14:textId="77777777" w:rsidTr="00E90B8D">
        <w:tc>
          <w:tcPr>
            <w:tcW w:w="1458" w:type="dxa"/>
          </w:tcPr>
          <w:p w14:paraId="1937CA44" w14:textId="77777777" w:rsidR="001F5308" w:rsidRPr="00425921" w:rsidRDefault="001F5308"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sz w:val="22"/>
                <w:szCs w:val="22"/>
              </w:rPr>
            </w:pPr>
            <w:r w:rsidRPr="00425921">
              <w:rPr>
                <w:sz w:val="22"/>
                <w:szCs w:val="22"/>
              </w:rPr>
              <w:t>Prepared By:</w:t>
            </w:r>
          </w:p>
        </w:tc>
        <w:tc>
          <w:tcPr>
            <w:tcW w:w="4140" w:type="dxa"/>
            <w:tcBorders>
              <w:bottom w:val="single" w:sz="4" w:space="0" w:color="auto"/>
            </w:tcBorders>
          </w:tcPr>
          <w:p w14:paraId="0C575492" w14:textId="77777777" w:rsidR="001F5308" w:rsidRPr="00425921" w:rsidRDefault="001F5308"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b/>
                <w:sz w:val="22"/>
                <w:szCs w:val="22"/>
              </w:rPr>
            </w:pPr>
          </w:p>
        </w:tc>
        <w:tc>
          <w:tcPr>
            <w:tcW w:w="792" w:type="dxa"/>
          </w:tcPr>
          <w:p w14:paraId="0D540B8E" w14:textId="6FC1208A" w:rsidR="001F5308" w:rsidRPr="00425921" w:rsidRDefault="008F2C09"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sz w:val="22"/>
                <w:szCs w:val="22"/>
              </w:rPr>
            </w:pPr>
            <w:r w:rsidRPr="00425921">
              <w:rPr>
                <w:sz w:val="22"/>
                <w:szCs w:val="22"/>
              </w:rPr>
              <w:t>Date</w:t>
            </w:r>
            <w:r w:rsidR="001F5308" w:rsidRPr="00425921">
              <w:rPr>
                <w:sz w:val="22"/>
                <w:szCs w:val="22"/>
              </w:rPr>
              <w:t>:</w:t>
            </w:r>
          </w:p>
        </w:tc>
        <w:tc>
          <w:tcPr>
            <w:tcW w:w="2450" w:type="dxa"/>
            <w:gridSpan w:val="2"/>
            <w:tcBorders>
              <w:bottom w:val="single" w:sz="6" w:space="0" w:color="auto"/>
            </w:tcBorders>
          </w:tcPr>
          <w:p w14:paraId="6C4C07FF" w14:textId="77777777" w:rsidR="001F5308" w:rsidRPr="00425921" w:rsidRDefault="001F5308"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b/>
                <w:sz w:val="22"/>
                <w:szCs w:val="22"/>
              </w:rPr>
            </w:pPr>
          </w:p>
        </w:tc>
      </w:tr>
      <w:tr w:rsidR="001F5308" w:rsidRPr="00425921" w14:paraId="6E5BE451" w14:textId="77777777" w:rsidTr="00E90B8D">
        <w:tc>
          <w:tcPr>
            <w:tcW w:w="1458" w:type="dxa"/>
          </w:tcPr>
          <w:p w14:paraId="7632A319" w14:textId="77777777" w:rsidR="001F5308" w:rsidRPr="00425921" w:rsidRDefault="001F5308"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sz w:val="22"/>
                <w:szCs w:val="22"/>
              </w:rPr>
            </w:pPr>
            <w:r w:rsidRPr="00425921">
              <w:rPr>
                <w:sz w:val="22"/>
                <w:szCs w:val="22"/>
              </w:rPr>
              <w:t>Reviewed By:</w:t>
            </w:r>
          </w:p>
        </w:tc>
        <w:tc>
          <w:tcPr>
            <w:tcW w:w="4140" w:type="dxa"/>
            <w:tcBorders>
              <w:top w:val="single" w:sz="4" w:space="0" w:color="auto"/>
              <w:bottom w:val="single" w:sz="4" w:space="0" w:color="auto"/>
            </w:tcBorders>
          </w:tcPr>
          <w:p w14:paraId="0FA7E3A1" w14:textId="77777777" w:rsidR="001F5308" w:rsidRPr="00425921" w:rsidRDefault="001F5308"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b/>
                <w:sz w:val="22"/>
                <w:szCs w:val="22"/>
              </w:rPr>
            </w:pPr>
          </w:p>
        </w:tc>
        <w:tc>
          <w:tcPr>
            <w:tcW w:w="792" w:type="dxa"/>
          </w:tcPr>
          <w:p w14:paraId="36D4608B" w14:textId="77777777" w:rsidR="001F5308" w:rsidRPr="00425921" w:rsidRDefault="001F5308"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sz w:val="22"/>
                <w:szCs w:val="22"/>
              </w:rPr>
            </w:pPr>
            <w:r w:rsidRPr="00425921">
              <w:rPr>
                <w:sz w:val="22"/>
                <w:szCs w:val="22"/>
              </w:rPr>
              <w:t>Date:</w:t>
            </w:r>
          </w:p>
        </w:tc>
        <w:tc>
          <w:tcPr>
            <w:tcW w:w="2450" w:type="dxa"/>
            <w:gridSpan w:val="2"/>
            <w:tcBorders>
              <w:top w:val="single" w:sz="6" w:space="0" w:color="auto"/>
              <w:bottom w:val="single" w:sz="4" w:space="0" w:color="auto"/>
            </w:tcBorders>
          </w:tcPr>
          <w:p w14:paraId="0C889229" w14:textId="77777777" w:rsidR="001F5308" w:rsidRPr="00425921" w:rsidRDefault="001F5308" w:rsidP="00425921">
            <w:pPr>
              <w:pStyle w:val="standard"/>
              <w:tabs>
                <w:tab w:val="clear" w:pos="576"/>
                <w:tab w:val="clear" w:pos="1152"/>
                <w:tab w:val="clear" w:pos="1728"/>
                <w:tab w:val="clear" w:pos="2304"/>
                <w:tab w:val="clear" w:pos="2880"/>
                <w:tab w:val="right" w:leader="underscore" w:pos="6480"/>
                <w:tab w:val="left" w:pos="6840"/>
                <w:tab w:val="right" w:leader="underscore" w:pos="10080"/>
              </w:tabs>
              <w:spacing w:before="120" w:after="120" w:line="240" w:lineRule="atLeast"/>
              <w:rPr>
                <w:b/>
                <w:sz w:val="22"/>
                <w:szCs w:val="22"/>
              </w:rPr>
            </w:pPr>
          </w:p>
        </w:tc>
      </w:tr>
    </w:tbl>
    <w:p w14:paraId="12D5D5A1" w14:textId="6BA8F148" w:rsidR="0063057B" w:rsidRPr="00D453C4" w:rsidRDefault="001862B8" w:rsidP="00425921">
      <w:pPr>
        <w:spacing w:before="240" w:after="240" w:line="240" w:lineRule="atLeast"/>
        <w:rPr>
          <w:rFonts w:eastAsia="PMingLiU" w:cs="Calibri Light"/>
          <w:b/>
          <w:sz w:val="32"/>
          <w:szCs w:val="36"/>
          <w:lang w:val="en-US"/>
        </w:rPr>
      </w:pPr>
      <w:r w:rsidRPr="001862B8">
        <w:rPr>
          <w:rFonts w:cs="Calibri Light"/>
          <w:b/>
          <w:sz w:val="32"/>
          <w:szCs w:val="36"/>
          <w:lang w:val="en-US"/>
        </w:rPr>
        <w:t>CHECKLIST APPLICATION</w:t>
      </w:r>
    </w:p>
    <w:p w14:paraId="5D8E2A8D" w14:textId="0F54F683" w:rsidR="007F2F19" w:rsidRPr="00425921" w:rsidRDefault="00C811D2" w:rsidP="00425921">
      <w:pPr>
        <w:pStyle w:val="FormBodyText"/>
        <w:rPr>
          <w:lang w:eastAsia="zh-CN"/>
        </w:rPr>
      </w:pPr>
      <w:r w:rsidRPr="00425921">
        <w:t xml:space="preserve">If this SEC compliance checklist is being used for </w:t>
      </w:r>
      <w:r w:rsidR="0063057B" w:rsidRPr="00425921">
        <w:t xml:space="preserve">Annual Report </w:t>
      </w:r>
      <w:r w:rsidR="00442E36" w:rsidRPr="00425921">
        <w:t>F</w:t>
      </w:r>
      <w:r w:rsidR="0063057B" w:rsidRPr="00425921">
        <w:t xml:space="preserve">orm 10-K </w:t>
      </w:r>
      <w:r w:rsidRPr="00425921">
        <w:t>issuance</w:t>
      </w:r>
      <w:r w:rsidR="00442E36" w:rsidRPr="00425921">
        <w:t>,</w:t>
      </w:r>
      <w:r w:rsidRPr="00425921">
        <w:t xml:space="preserve"> a</w:t>
      </w:r>
      <w:r w:rsidR="005A4AB9" w:rsidRPr="00425921">
        <w:t>n</w:t>
      </w:r>
      <w:r w:rsidRPr="00425921">
        <w:t xml:space="preserve"> online version is </w:t>
      </w:r>
      <w:r w:rsidR="0063057B" w:rsidRPr="00425921">
        <w:t xml:space="preserve">now available as part of Deloitte’s </w:t>
      </w:r>
      <w:r w:rsidR="0063057B" w:rsidRPr="00425921">
        <w:rPr>
          <w:i/>
        </w:rPr>
        <w:t xml:space="preserve">Checklist </w:t>
      </w:r>
      <w:r w:rsidR="0063057B" w:rsidRPr="00425921">
        <w:t>application</w:t>
      </w:r>
      <w:r w:rsidR="007F2F19" w:rsidRPr="007F2F19">
        <w:t>. Please ask your Deloitte engagement team to send you the online</w:t>
      </w:r>
      <w:r w:rsidR="007F2F19">
        <w:t xml:space="preserve"> </w:t>
      </w:r>
      <w:r w:rsidR="00F9336B">
        <w:rPr>
          <w:lang w:eastAsia="zh-CN"/>
        </w:rPr>
        <w:t>version.</w:t>
      </w:r>
    </w:p>
    <w:p w14:paraId="5652E4D2" w14:textId="24729BD9" w:rsidR="001F5308" w:rsidRPr="00425921" w:rsidRDefault="001F5308" w:rsidP="006907C3">
      <w:pPr>
        <w:pStyle w:val="FormHeading1"/>
      </w:pPr>
      <w:r w:rsidRPr="00425921">
        <w:t>INSTRUCTIONS</w:t>
      </w:r>
    </w:p>
    <w:p w14:paraId="45212D9F" w14:textId="4981AC06" w:rsidR="008528C3" w:rsidRPr="00425921" w:rsidRDefault="001F5308" w:rsidP="00425921">
      <w:pPr>
        <w:pStyle w:val="FormBodyText"/>
        <w:rPr>
          <w:szCs w:val="22"/>
        </w:rPr>
      </w:pPr>
      <w:r w:rsidRPr="00425921">
        <w:rPr>
          <w:szCs w:val="22"/>
        </w:rPr>
        <w:t>Completion of</w:t>
      </w:r>
      <w:r w:rsidR="004559AF" w:rsidRPr="00425921">
        <w:rPr>
          <w:szCs w:val="22"/>
        </w:rPr>
        <w:t xml:space="preserve"> this </w:t>
      </w:r>
      <w:r w:rsidR="000D6AED" w:rsidRPr="007F09EC">
        <w:rPr>
          <w:i/>
          <w:iCs/>
          <w:szCs w:val="22"/>
        </w:rPr>
        <w:t>SEC Compliance Checklist — General</w:t>
      </w:r>
      <w:r w:rsidRPr="00425921">
        <w:rPr>
          <w:szCs w:val="22"/>
        </w:rPr>
        <w:t xml:space="preserve"> assists in documenting compliance with </w:t>
      </w:r>
      <w:r w:rsidR="00374912" w:rsidRPr="00425921">
        <w:rPr>
          <w:szCs w:val="22"/>
        </w:rPr>
        <w:t xml:space="preserve">Securities and Exchange Commission (SEC or the </w:t>
      </w:r>
      <w:r w:rsidR="00AF34D5" w:rsidRPr="00425921">
        <w:rPr>
          <w:szCs w:val="22"/>
        </w:rPr>
        <w:t>“</w:t>
      </w:r>
      <w:r w:rsidR="00374912" w:rsidRPr="00425921">
        <w:rPr>
          <w:szCs w:val="22"/>
        </w:rPr>
        <w:t>Commission</w:t>
      </w:r>
      <w:r w:rsidR="00AF34D5" w:rsidRPr="00425921">
        <w:rPr>
          <w:szCs w:val="22"/>
        </w:rPr>
        <w:t>”</w:t>
      </w:r>
      <w:r w:rsidR="00374912" w:rsidRPr="00425921">
        <w:rPr>
          <w:szCs w:val="22"/>
        </w:rPr>
        <w:t>)</w:t>
      </w:r>
      <w:r w:rsidR="00647379" w:rsidRPr="00425921">
        <w:rPr>
          <w:szCs w:val="22"/>
        </w:rPr>
        <w:t xml:space="preserve"> disclosure and </w:t>
      </w:r>
      <w:r w:rsidRPr="00425921">
        <w:rPr>
          <w:szCs w:val="22"/>
        </w:rPr>
        <w:t>filing requirements.</w:t>
      </w:r>
    </w:p>
    <w:p w14:paraId="24E004BB" w14:textId="181B0CDB" w:rsidR="008528C3" w:rsidRPr="00425921" w:rsidRDefault="008C6654" w:rsidP="00425921">
      <w:pPr>
        <w:pStyle w:val="FormBodyText"/>
        <w:rPr>
          <w:szCs w:val="22"/>
        </w:rPr>
      </w:pPr>
      <w:r w:rsidRPr="00425921">
        <w:rPr>
          <w:szCs w:val="22"/>
        </w:rPr>
        <w:t>Note</w:t>
      </w:r>
      <w:r w:rsidR="000D7DAA" w:rsidRPr="00425921">
        <w:rPr>
          <w:szCs w:val="22"/>
        </w:rPr>
        <w:t xml:space="preserve">:  </w:t>
      </w:r>
      <w:r w:rsidRPr="00425921">
        <w:rPr>
          <w:szCs w:val="22"/>
        </w:rPr>
        <w:t xml:space="preserve">This checklist is not designed for use by “Smaller </w:t>
      </w:r>
      <w:r w:rsidR="00A87E61" w:rsidRPr="00425921">
        <w:rPr>
          <w:szCs w:val="22"/>
        </w:rPr>
        <w:t>Reporting</w:t>
      </w:r>
      <w:r w:rsidRPr="00425921">
        <w:rPr>
          <w:szCs w:val="22"/>
        </w:rPr>
        <w:t xml:space="preserve"> Companies”</w:t>
      </w:r>
      <w:r w:rsidR="003B39A1" w:rsidRPr="00425921">
        <w:rPr>
          <w:szCs w:val="22"/>
        </w:rPr>
        <w:t xml:space="preserve"> or “Emerging Growth Companies.”</w:t>
      </w:r>
      <w:r w:rsidR="000D7DAA" w:rsidRPr="00425921">
        <w:rPr>
          <w:szCs w:val="22"/>
        </w:rPr>
        <w:t xml:space="preserve"> </w:t>
      </w:r>
      <w:r w:rsidRPr="00425921">
        <w:rPr>
          <w:szCs w:val="22"/>
        </w:rPr>
        <w:t xml:space="preserve"> See </w:t>
      </w:r>
      <w:r w:rsidR="003B39A1" w:rsidRPr="00425921">
        <w:rPr>
          <w:szCs w:val="22"/>
        </w:rPr>
        <w:t xml:space="preserve">the </w:t>
      </w:r>
      <w:r w:rsidRPr="00425921">
        <w:rPr>
          <w:i/>
          <w:szCs w:val="22"/>
        </w:rPr>
        <w:t>Smaller Reporting Companies</w:t>
      </w:r>
      <w:r w:rsidRPr="00425921">
        <w:rPr>
          <w:szCs w:val="22"/>
        </w:rPr>
        <w:t xml:space="preserve"> </w:t>
      </w:r>
      <w:r w:rsidR="003B39A1" w:rsidRPr="00425921">
        <w:rPr>
          <w:szCs w:val="22"/>
        </w:rPr>
        <w:t xml:space="preserve">and </w:t>
      </w:r>
      <w:r w:rsidR="003B39A1" w:rsidRPr="00425921">
        <w:rPr>
          <w:i/>
          <w:szCs w:val="22"/>
        </w:rPr>
        <w:t>Emerging Growth Companies</w:t>
      </w:r>
      <w:r w:rsidR="003B39A1" w:rsidRPr="00425921">
        <w:rPr>
          <w:szCs w:val="22"/>
        </w:rPr>
        <w:t xml:space="preserve"> </w:t>
      </w:r>
      <w:r w:rsidR="00C44F29">
        <w:rPr>
          <w:szCs w:val="22"/>
        </w:rPr>
        <w:t xml:space="preserve">in the </w:t>
      </w:r>
      <w:hyperlink w:anchor="Additional_considerations" w:history="1">
        <w:r w:rsidR="00C44F29" w:rsidRPr="008D05F3">
          <w:rPr>
            <w:rStyle w:val="Hyperlink"/>
            <w:szCs w:val="22"/>
          </w:rPr>
          <w:t>ADDITIONAL CONSIDERATIONS</w:t>
        </w:r>
      </w:hyperlink>
      <w:r w:rsidR="00C44F29">
        <w:rPr>
          <w:szCs w:val="22"/>
        </w:rPr>
        <w:t xml:space="preserve"> </w:t>
      </w:r>
      <w:r w:rsidR="003B39A1" w:rsidRPr="00425921">
        <w:rPr>
          <w:szCs w:val="22"/>
        </w:rPr>
        <w:t xml:space="preserve">section </w:t>
      </w:r>
      <w:r w:rsidRPr="00425921">
        <w:rPr>
          <w:szCs w:val="22"/>
        </w:rPr>
        <w:t>below for additional guidance.</w:t>
      </w:r>
    </w:p>
    <w:p w14:paraId="412236DA" w14:textId="072C0906" w:rsidR="001F5308" w:rsidRPr="008D05F3" w:rsidRDefault="001F5308" w:rsidP="00425921">
      <w:pPr>
        <w:pStyle w:val="FormBodyText"/>
        <w:rPr>
          <w:szCs w:val="22"/>
        </w:rPr>
      </w:pPr>
      <w:r w:rsidRPr="008D05F3">
        <w:rPr>
          <w:szCs w:val="22"/>
        </w:rPr>
        <w:t xml:space="preserve">Following this instruction page is a list of Regulation S-X and S-K requirements </w:t>
      </w:r>
      <w:r w:rsidR="00647379" w:rsidRPr="008D05F3">
        <w:rPr>
          <w:szCs w:val="22"/>
        </w:rPr>
        <w:t xml:space="preserve">primarily </w:t>
      </w:r>
      <w:r w:rsidRPr="008D05F3">
        <w:rPr>
          <w:szCs w:val="22"/>
        </w:rPr>
        <w:t xml:space="preserve">pertaining to commercial and industrial companies, which are applicable to all SEC forms.  Other entities (e.g., </w:t>
      </w:r>
      <w:r w:rsidR="007F582B">
        <w:rPr>
          <w:szCs w:val="22"/>
        </w:rPr>
        <w:t>bank and savings and loan registrants, insurance registrants, and oil and gas producing registrants</w:t>
      </w:r>
      <w:r w:rsidRPr="008D05F3">
        <w:rPr>
          <w:szCs w:val="22"/>
        </w:rPr>
        <w:t xml:space="preserve">) </w:t>
      </w:r>
      <w:r w:rsidR="00C64092" w:rsidRPr="008D05F3">
        <w:rPr>
          <w:szCs w:val="22"/>
        </w:rPr>
        <w:t>need to</w:t>
      </w:r>
      <w:r w:rsidRPr="008D05F3">
        <w:rPr>
          <w:szCs w:val="22"/>
        </w:rPr>
        <w:t xml:space="preserve"> follow the requirements of the articles in Regulation S-X that apply specifically to them.  The separate checklist applicable to </w:t>
      </w:r>
      <w:r w:rsidR="00D06564">
        <w:rPr>
          <w:szCs w:val="22"/>
        </w:rPr>
        <w:t xml:space="preserve">a </w:t>
      </w:r>
      <w:r w:rsidRPr="008D05F3">
        <w:rPr>
          <w:szCs w:val="22"/>
        </w:rPr>
        <w:t xml:space="preserve">SEC form being filed (e.g., Forms </w:t>
      </w:r>
      <w:r w:rsidR="00AE0F77" w:rsidRPr="008D05F3">
        <w:rPr>
          <w:szCs w:val="22"/>
        </w:rPr>
        <w:t xml:space="preserve">10-K, </w:t>
      </w:r>
      <w:r w:rsidRPr="008D05F3">
        <w:rPr>
          <w:szCs w:val="22"/>
        </w:rPr>
        <w:t>10-Q, 8-K) should also be used</w:t>
      </w:r>
      <w:r w:rsidR="007D3431" w:rsidRPr="008D05F3">
        <w:rPr>
          <w:szCs w:val="22"/>
        </w:rPr>
        <w:t xml:space="preserve"> in addition to this general checklist</w:t>
      </w:r>
      <w:r w:rsidRPr="008D05F3">
        <w:rPr>
          <w:szCs w:val="22"/>
        </w:rPr>
        <w:t xml:space="preserve">.  This </w:t>
      </w:r>
      <w:r w:rsidR="00374912" w:rsidRPr="008D05F3">
        <w:rPr>
          <w:szCs w:val="22"/>
        </w:rPr>
        <w:t>checklist</w:t>
      </w:r>
      <w:r w:rsidRPr="008D05F3">
        <w:rPr>
          <w:szCs w:val="22"/>
        </w:rPr>
        <w:t xml:space="preserve"> covers the SEC </w:t>
      </w:r>
      <w:r w:rsidR="00647379" w:rsidRPr="008D05F3">
        <w:rPr>
          <w:szCs w:val="22"/>
        </w:rPr>
        <w:t xml:space="preserve">disclosure and </w:t>
      </w:r>
      <w:r w:rsidRPr="008D05F3">
        <w:rPr>
          <w:szCs w:val="22"/>
        </w:rPr>
        <w:t>filing requirements</w:t>
      </w:r>
      <w:r w:rsidR="00647379" w:rsidRPr="008D05F3">
        <w:rPr>
          <w:szCs w:val="22"/>
        </w:rPr>
        <w:t xml:space="preserve"> of greatest interest to </w:t>
      </w:r>
      <w:r w:rsidR="00205479" w:rsidRPr="008D05F3">
        <w:rPr>
          <w:szCs w:val="22"/>
        </w:rPr>
        <w:t>registrants</w:t>
      </w:r>
      <w:r w:rsidRPr="008D05F3">
        <w:rPr>
          <w:szCs w:val="22"/>
        </w:rPr>
        <w:t>.  It should not be used as a substitute for a full understanding of the filing requirements applicable to a specific registrant.</w:t>
      </w:r>
    </w:p>
    <w:p w14:paraId="589F1685" w14:textId="77777777" w:rsidR="001F5308" w:rsidRPr="004366D5" w:rsidRDefault="001F5308" w:rsidP="00425921">
      <w:pPr>
        <w:pStyle w:val="FormBodyText"/>
        <w:rPr>
          <w:szCs w:val="22"/>
        </w:rPr>
      </w:pPr>
      <w:r w:rsidRPr="00C44B10">
        <w:rPr>
          <w:szCs w:val="22"/>
        </w:rPr>
        <w:t xml:space="preserve">Consider each requirement, answer </w:t>
      </w:r>
      <w:r w:rsidR="00AF34D5" w:rsidRPr="004C67C0">
        <w:rPr>
          <w:szCs w:val="22"/>
        </w:rPr>
        <w:t>“</w:t>
      </w:r>
      <w:r w:rsidRPr="004F6025">
        <w:rPr>
          <w:szCs w:val="22"/>
        </w:rPr>
        <w:t>Yes</w:t>
      </w:r>
      <w:r w:rsidR="00AF34D5" w:rsidRPr="004F6025">
        <w:rPr>
          <w:szCs w:val="22"/>
        </w:rPr>
        <w:t>”</w:t>
      </w:r>
      <w:r w:rsidRPr="004F6025">
        <w:rPr>
          <w:szCs w:val="22"/>
        </w:rPr>
        <w:t xml:space="preserve"> or </w:t>
      </w:r>
      <w:r w:rsidR="00AF34D5" w:rsidRPr="004F6025">
        <w:rPr>
          <w:szCs w:val="22"/>
        </w:rPr>
        <w:t>“</w:t>
      </w:r>
      <w:r w:rsidRPr="004366D5">
        <w:rPr>
          <w:szCs w:val="22"/>
        </w:rPr>
        <w:t>No</w:t>
      </w:r>
      <w:r w:rsidR="00AF34D5" w:rsidRPr="004366D5">
        <w:rPr>
          <w:szCs w:val="22"/>
        </w:rPr>
        <w:t>”</w:t>
      </w:r>
      <w:r w:rsidRPr="004366D5">
        <w:rPr>
          <w:szCs w:val="22"/>
        </w:rPr>
        <w:t xml:space="preserve"> in the </w:t>
      </w:r>
      <w:r w:rsidR="00AF34D5" w:rsidRPr="004366D5">
        <w:rPr>
          <w:szCs w:val="22"/>
        </w:rPr>
        <w:t>“</w:t>
      </w:r>
      <w:r w:rsidRPr="004366D5">
        <w:rPr>
          <w:szCs w:val="22"/>
        </w:rPr>
        <w:t>Complied With</w:t>
      </w:r>
      <w:r w:rsidR="00AF34D5" w:rsidRPr="004366D5">
        <w:rPr>
          <w:szCs w:val="22"/>
        </w:rPr>
        <w:t>”</w:t>
      </w:r>
      <w:r w:rsidRPr="004366D5">
        <w:rPr>
          <w:szCs w:val="22"/>
        </w:rPr>
        <w:t xml:space="preserve"> column, and then indicate where the information is disclosed or the reason it is omitted (e.g., </w:t>
      </w:r>
      <w:r w:rsidR="00AF34D5" w:rsidRPr="004366D5">
        <w:rPr>
          <w:szCs w:val="22"/>
        </w:rPr>
        <w:t>“</w:t>
      </w:r>
      <w:r w:rsidRPr="004366D5">
        <w:rPr>
          <w:szCs w:val="22"/>
        </w:rPr>
        <w:t>not applicable,</w:t>
      </w:r>
      <w:r w:rsidR="00AF34D5" w:rsidRPr="004366D5">
        <w:rPr>
          <w:szCs w:val="22"/>
        </w:rPr>
        <w:t>”</w:t>
      </w:r>
      <w:r w:rsidRPr="004366D5">
        <w:rPr>
          <w:szCs w:val="22"/>
        </w:rPr>
        <w:t xml:space="preserve"> </w:t>
      </w:r>
      <w:r w:rsidR="00AF34D5" w:rsidRPr="004366D5">
        <w:rPr>
          <w:szCs w:val="22"/>
        </w:rPr>
        <w:t>“</w:t>
      </w:r>
      <w:r w:rsidRPr="004366D5">
        <w:rPr>
          <w:szCs w:val="22"/>
        </w:rPr>
        <w:t>test not met</w:t>
      </w:r>
      <w:r w:rsidR="00AF34D5" w:rsidRPr="004366D5">
        <w:rPr>
          <w:szCs w:val="22"/>
        </w:rPr>
        <w:t>”</w:t>
      </w:r>
      <w:r w:rsidRPr="004366D5">
        <w:rPr>
          <w:szCs w:val="22"/>
        </w:rPr>
        <w:t>) in the column provided or in a separate memorandum.</w:t>
      </w:r>
    </w:p>
    <w:p w14:paraId="6A2FD789" w14:textId="3F62D73D" w:rsidR="001F5308" w:rsidRPr="00C44B10" w:rsidRDefault="001F5308" w:rsidP="00425921">
      <w:pPr>
        <w:pStyle w:val="FormBodyText"/>
        <w:rPr>
          <w:szCs w:val="22"/>
        </w:rPr>
      </w:pPr>
      <w:r w:rsidRPr="00C803E8">
        <w:rPr>
          <w:szCs w:val="22"/>
        </w:rPr>
        <w:t xml:space="preserve">If separate financial statements (e.g., for </w:t>
      </w:r>
      <w:r w:rsidR="00CC3E06">
        <w:rPr>
          <w:szCs w:val="22"/>
        </w:rPr>
        <w:t xml:space="preserve">an acquisition of </w:t>
      </w:r>
      <w:r w:rsidRPr="00C803E8">
        <w:rPr>
          <w:szCs w:val="22"/>
        </w:rPr>
        <w:t xml:space="preserve">a business) are filed in addition to consolidated financial statements of the registrant, the applicable sections of the </w:t>
      </w:r>
      <w:r w:rsidR="00374912" w:rsidRPr="00C44B10">
        <w:rPr>
          <w:szCs w:val="22"/>
        </w:rPr>
        <w:t>checklist</w:t>
      </w:r>
      <w:r w:rsidRPr="004C67C0">
        <w:rPr>
          <w:szCs w:val="22"/>
        </w:rPr>
        <w:t xml:space="preserve"> should be separately completed for each set of </w:t>
      </w:r>
      <w:r w:rsidR="00C803E8" w:rsidRPr="004366D5">
        <w:rPr>
          <w:szCs w:val="22"/>
        </w:rPr>
        <w:t xml:space="preserve">financial </w:t>
      </w:r>
      <w:r w:rsidRPr="00C803E8">
        <w:rPr>
          <w:szCs w:val="22"/>
        </w:rPr>
        <w:t>statements furnished.</w:t>
      </w:r>
    </w:p>
    <w:p w14:paraId="34EE8F55" w14:textId="1426F389" w:rsidR="00C803E8" w:rsidRPr="004366D5" w:rsidRDefault="00C803E8" w:rsidP="004366D5">
      <w:pPr>
        <w:pStyle w:val="FormHeading1"/>
      </w:pPr>
      <w:r w:rsidRPr="004366D5">
        <w:t>INTERPRETIVE GUIDANCE</w:t>
      </w:r>
    </w:p>
    <w:p w14:paraId="486CA033" w14:textId="72DA1F45" w:rsidR="00647379" w:rsidRPr="004F6025" w:rsidRDefault="00647379" w:rsidP="00425921">
      <w:pPr>
        <w:pStyle w:val="FormBodyText"/>
        <w:rPr>
          <w:szCs w:val="22"/>
        </w:rPr>
      </w:pPr>
      <w:r w:rsidRPr="004C67C0">
        <w:rPr>
          <w:szCs w:val="22"/>
        </w:rPr>
        <w:t xml:space="preserve">This checklist should not be considered </w:t>
      </w:r>
      <w:r w:rsidR="00AF34D5" w:rsidRPr="004F6025">
        <w:rPr>
          <w:szCs w:val="22"/>
        </w:rPr>
        <w:t>“</w:t>
      </w:r>
      <w:r w:rsidRPr="004F6025">
        <w:rPr>
          <w:szCs w:val="22"/>
        </w:rPr>
        <w:t>all inclusive</w:t>
      </w:r>
      <w:r w:rsidR="00AF34D5" w:rsidRPr="004F6025">
        <w:rPr>
          <w:szCs w:val="22"/>
        </w:rPr>
        <w:t>”</w:t>
      </w:r>
      <w:r w:rsidRPr="004F6025">
        <w:rPr>
          <w:szCs w:val="22"/>
        </w:rPr>
        <w:t xml:space="preserve"> but should be used </w:t>
      </w:r>
      <w:r w:rsidRPr="004366D5">
        <w:rPr>
          <w:szCs w:val="22"/>
        </w:rPr>
        <w:t xml:space="preserve">in conjunction with the instructions to the SEC form being filed, and the applicable sections of Regulations S-K and S-X.  Selected SEC rules, regulations are generally on the SEC website, </w:t>
      </w:r>
      <w:hyperlink r:id="rId12" w:history="1">
        <w:r w:rsidR="00B81BC7" w:rsidRPr="004F6025">
          <w:rPr>
            <w:rStyle w:val="Hyperlink"/>
            <w:szCs w:val="22"/>
          </w:rPr>
          <w:t>www.sec.gov</w:t>
        </w:r>
      </w:hyperlink>
      <w:r w:rsidRPr="004C67C0">
        <w:rPr>
          <w:szCs w:val="22"/>
        </w:rPr>
        <w:t>.</w:t>
      </w:r>
    </w:p>
    <w:p w14:paraId="49D3534C" w14:textId="0842F228" w:rsidR="00464074" w:rsidRPr="004366D5" w:rsidRDefault="0099647A" w:rsidP="00425921">
      <w:pPr>
        <w:pStyle w:val="FormBodyText"/>
        <w:rPr>
          <w:b/>
          <w:szCs w:val="22"/>
        </w:rPr>
      </w:pPr>
      <w:r w:rsidRPr="004366D5">
        <w:rPr>
          <w:bCs/>
          <w:szCs w:val="22"/>
        </w:rPr>
        <w:lastRenderedPageBreak/>
        <w:t xml:space="preserve">Additional interpretive </w:t>
      </w:r>
      <w:r w:rsidR="00CE49BF" w:rsidRPr="004366D5">
        <w:rPr>
          <w:bCs/>
          <w:szCs w:val="22"/>
        </w:rPr>
        <w:t>information relating to SEC reporting and disclosure may be obtained from the</w:t>
      </w:r>
      <w:r w:rsidR="004F77FF" w:rsidRPr="004C67C0">
        <w:rPr>
          <w:bCs/>
          <w:szCs w:val="22"/>
        </w:rPr>
        <w:t xml:space="preserve"> </w:t>
      </w:r>
      <w:r w:rsidR="004F77FF" w:rsidRPr="004366D5">
        <w:rPr>
          <w:bCs/>
          <w:szCs w:val="22"/>
        </w:rPr>
        <w:t xml:space="preserve">Securities and Exchange Commission Division of Corporation Finance’s </w:t>
      </w:r>
      <w:hyperlink r:id="rId13" w:history="1">
        <w:r w:rsidR="004F77FF" w:rsidRPr="004366D5">
          <w:rPr>
            <w:rStyle w:val="Hyperlink"/>
            <w:bCs/>
            <w:i/>
            <w:szCs w:val="22"/>
          </w:rPr>
          <w:t>Financial Reporting Manual</w:t>
        </w:r>
      </w:hyperlink>
      <w:r w:rsidR="004F77FF" w:rsidRPr="004366D5">
        <w:rPr>
          <w:bCs/>
          <w:szCs w:val="22"/>
        </w:rPr>
        <w:t>.</w:t>
      </w:r>
    </w:p>
    <w:p w14:paraId="0A4AA0EB" w14:textId="0D23AB65" w:rsidR="00CE49BF" w:rsidRPr="00585554" w:rsidRDefault="00CE49BF" w:rsidP="00425921">
      <w:pPr>
        <w:pStyle w:val="FormBodyText"/>
        <w:rPr>
          <w:szCs w:val="22"/>
        </w:rPr>
      </w:pPr>
      <w:bookmarkStart w:id="0" w:name="_Hlk90403557"/>
      <w:r w:rsidRPr="00585554">
        <w:rPr>
          <w:szCs w:val="22"/>
        </w:rPr>
        <w:t>Additional SEC interpretive material can be found using the various links on the</w:t>
      </w:r>
      <w:r w:rsidR="004F77FF" w:rsidRPr="00585554">
        <w:rPr>
          <w:szCs w:val="22"/>
        </w:rPr>
        <w:t xml:space="preserve"> </w:t>
      </w:r>
      <w:r w:rsidR="004F77FF" w:rsidRPr="00585554">
        <w:rPr>
          <w:i/>
          <w:szCs w:val="22"/>
        </w:rPr>
        <w:t>Accounting and Financial Reporting Guidance</w:t>
      </w:r>
      <w:r w:rsidRPr="00585554">
        <w:rPr>
          <w:i/>
          <w:szCs w:val="22"/>
        </w:rPr>
        <w:t xml:space="preserve"> </w:t>
      </w:r>
      <w:r w:rsidRPr="00585554">
        <w:rPr>
          <w:szCs w:val="22"/>
        </w:rPr>
        <w:t xml:space="preserve">page located on the </w:t>
      </w:r>
      <w:bookmarkEnd w:id="0"/>
      <w:r w:rsidR="004B367E" w:rsidRPr="00585554">
        <w:fldChar w:fldCharType="begin"/>
      </w:r>
      <w:r w:rsidR="004B367E">
        <w:instrText>HYPERLINK "http://www.sec.gov/divisions/corpfin/cfreportingguidance.shtml"</w:instrText>
      </w:r>
      <w:r w:rsidR="004B367E" w:rsidRPr="00585554">
        <w:fldChar w:fldCharType="separate"/>
      </w:r>
      <w:r w:rsidRPr="00585554">
        <w:rPr>
          <w:rStyle w:val="Hyperlink"/>
          <w:szCs w:val="22"/>
        </w:rPr>
        <w:t>SEC website</w:t>
      </w:r>
      <w:r w:rsidR="004B367E" w:rsidRPr="00585554">
        <w:rPr>
          <w:rStyle w:val="Hyperlink"/>
          <w:szCs w:val="22"/>
        </w:rPr>
        <w:fldChar w:fldCharType="end"/>
      </w:r>
      <w:r w:rsidR="00226740" w:rsidRPr="00585554">
        <w:rPr>
          <w:szCs w:val="22"/>
        </w:rPr>
        <w:t>.</w:t>
      </w:r>
    </w:p>
    <w:p w14:paraId="2093382D" w14:textId="0F5C9505" w:rsidR="00CB66FA" w:rsidRDefault="00CB66FA" w:rsidP="00CB66FA">
      <w:pPr>
        <w:tabs>
          <w:tab w:val="left" w:pos="576"/>
          <w:tab w:val="left" w:pos="1152"/>
          <w:tab w:val="left" w:pos="1728"/>
          <w:tab w:val="left" w:pos="2304"/>
          <w:tab w:val="left" w:pos="2880"/>
        </w:tabs>
        <w:spacing w:after="240" w:line="240" w:lineRule="atLeast"/>
        <w:rPr>
          <w:rFonts w:cs="Calibri Light"/>
          <w:bCs/>
          <w:szCs w:val="22"/>
        </w:rPr>
      </w:pPr>
      <w:r w:rsidRPr="004366D5">
        <w:rPr>
          <w:rFonts w:cs="Calibri Light"/>
          <w:bCs/>
          <w:szCs w:val="22"/>
        </w:rPr>
        <w:t>Furthermore, this checklist includes hyperlink to documents found in on DART.  Subscription might be needed to access some of the links to DART.</w:t>
      </w:r>
    </w:p>
    <w:p w14:paraId="2FD5BAD5" w14:textId="6B4F2B57" w:rsidR="00521A27" w:rsidRPr="004366D5" w:rsidRDefault="00333447" w:rsidP="00E3039B">
      <w:pPr>
        <w:pStyle w:val="FormHeading1"/>
        <w:spacing w:before="0"/>
      </w:pPr>
      <w:r>
        <w:t>R</w:t>
      </w:r>
      <w:bookmarkStart w:id="1" w:name="recent_final_rules"/>
      <w:bookmarkEnd w:id="1"/>
      <w:r>
        <w:t xml:space="preserve">ecent </w:t>
      </w:r>
      <w:r w:rsidR="00521A27" w:rsidRPr="00C44B10">
        <w:t>Final</w:t>
      </w:r>
      <w:r w:rsidR="00521A27" w:rsidRPr="004366D5">
        <w:t xml:space="preserve"> Rules and Effective Dates</w:t>
      </w:r>
    </w:p>
    <w:p w14:paraId="01B156EE" w14:textId="77777777" w:rsidR="00385B1A" w:rsidRPr="006B0014" w:rsidRDefault="00385B1A" w:rsidP="00385B1A">
      <w:pPr>
        <w:pStyle w:val="standard"/>
        <w:spacing w:before="0" w:after="240" w:line="240" w:lineRule="atLeast"/>
        <w:rPr>
          <w:b/>
          <w:bCs/>
          <w:i/>
          <w:iCs/>
          <w:sz w:val="22"/>
          <w:szCs w:val="22"/>
        </w:rPr>
      </w:pPr>
      <w:r w:rsidRPr="006B0014">
        <w:rPr>
          <w:b/>
          <w:bCs/>
          <w:i/>
          <w:iCs/>
          <w:sz w:val="22"/>
          <w:szCs w:val="22"/>
        </w:rPr>
        <w:t>Disclosure of Pay Versus Performance</w:t>
      </w:r>
    </w:p>
    <w:p w14:paraId="0B608CF4" w14:textId="31863088" w:rsidR="00385B1A" w:rsidRPr="0024339D" w:rsidRDefault="00385B1A" w:rsidP="00385B1A">
      <w:pPr>
        <w:pStyle w:val="standard"/>
        <w:spacing w:after="240" w:line="240" w:lineRule="atLeast"/>
        <w:rPr>
          <w:sz w:val="22"/>
          <w:szCs w:val="22"/>
        </w:rPr>
      </w:pPr>
      <w:r>
        <w:rPr>
          <w:sz w:val="22"/>
          <w:szCs w:val="22"/>
        </w:rPr>
        <w:t>T</w:t>
      </w:r>
      <w:r w:rsidRPr="001E0EA2">
        <w:rPr>
          <w:sz w:val="22"/>
          <w:szCs w:val="22"/>
        </w:rPr>
        <w:t xml:space="preserve">he SEC </w:t>
      </w:r>
      <w:r w:rsidRPr="00490AE3">
        <w:rPr>
          <w:sz w:val="22"/>
          <w:szCs w:val="22"/>
        </w:rPr>
        <w:t xml:space="preserve">has </w:t>
      </w:r>
      <w:r w:rsidRPr="001E0EA2">
        <w:rPr>
          <w:sz w:val="22"/>
          <w:szCs w:val="22"/>
        </w:rPr>
        <w:t xml:space="preserve">issued a </w:t>
      </w:r>
      <w:hyperlink r:id="rId14" w:history="1">
        <w:r w:rsidRPr="00490AE3">
          <w:rPr>
            <w:rStyle w:val="Hyperlink"/>
            <w:sz w:val="22"/>
            <w:szCs w:val="22"/>
          </w:rPr>
          <w:t>final rule</w:t>
        </w:r>
      </w:hyperlink>
      <w:r w:rsidRPr="00490AE3">
        <w:rPr>
          <w:sz w:val="22"/>
          <w:szCs w:val="22"/>
        </w:rPr>
        <w:t xml:space="preserve">, </w:t>
      </w:r>
      <w:r w:rsidR="008D05F3">
        <w:rPr>
          <w:sz w:val="22"/>
          <w:szCs w:val="22"/>
        </w:rPr>
        <w:t>“</w:t>
      </w:r>
      <w:r w:rsidRPr="00490AE3">
        <w:rPr>
          <w:sz w:val="22"/>
          <w:szCs w:val="22"/>
        </w:rPr>
        <w:t>Pay Versus Performance,</w:t>
      </w:r>
      <w:r w:rsidR="008D05F3">
        <w:rPr>
          <w:sz w:val="22"/>
          <w:szCs w:val="22"/>
        </w:rPr>
        <w:t>”</w:t>
      </w:r>
      <w:r w:rsidRPr="00490AE3">
        <w:rPr>
          <w:sz w:val="22"/>
          <w:szCs w:val="22"/>
        </w:rPr>
        <w:t xml:space="preserve"> </w:t>
      </w:r>
      <w:r w:rsidRPr="001E0EA2">
        <w:rPr>
          <w:sz w:val="22"/>
          <w:szCs w:val="22"/>
        </w:rPr>
        <w:t>that requires certain registrants to provide disclosures about executive pay and company performance within any proxy statement or information statement for which executive compe</w:t>
      </w:r>
      <w:r w:rsidRPr="0024339D">
        <w:rPr>
          <w:sz w:val="22"/>
          <w:szCs w:val="22"/>
        </w:rPr>
        <w:t>nsation disclosures are requi</w:t>
      </w:r>
      <w:r w:rsidRPr="0010387C">
        <w:rPr>
          <w:sz w:val="22"/>
          <w:szCs w:val="22"/>
        </w:rPr>
        <w:t xml:space="preserve">red. </w:t>
      </w:r>
      <w:r w:rsidRPr="00CC74DA">
        <w:rPr>
          <w:sz w:val="22"/>
          <w:szCs w:val="22"/>
        </w:rPr>
        <w:t xml:space="preserve">The final rule implements a mandate under the Dodd-Frank Act that requires a registrant to disclose the relationship between executive compensation actually paid and the financial performance of the registrant. </w:t>
      </w:r>
    </w:p>
    <w:p w14:paraId="120C31BB" w14:textId="77777777" w:rsidR="00385B1A" w:rsidRDefault="00385B1A" w:rsidP="00385B1A">
      <w:pPr>
        <w:pStyle w:val="standard"/>
        <w:spacing w:after="240" w:line="240" w:lineRule="atLeast"/>
        <w:rPr>
          <w:sz w:val="22"/>
          <w:szCs w:val="22"/>
        </w:rPr>
      </w:pPr>
      <w:r w:rsidRPr="0024339D">
        <w:rPr>
          <w:sz w:val="22"/>
          <w:szCs w:val="22"/>
        </w:rPr>
        <w:t>The disclosure requirements are effective for registrants beginning with fiscal years ending on or after December 16, 2022, and apply to all registrants other than emerging grow</w:t>
      </w:r>
      <w:r w:rsidRPr="00CC74DA">
        <w:rPr>
          <w:sz w:val="22"/>
          <w:szCs w:val="22"/>
        </w:rPr>
        <w:t>th companies (EGCs), registered investment companies, and foreign private issuers. Smaller reporting companies (SRCs) are exempt from certain of the requirements.</w:t>
      </w:r>
    </w:p>
    <w:p w14:paraId="78DC892B" w14:textId="41992806" w:rsidR="00385B1A" w:rsidRDefault="00385B1A" w:rsidP="00385B1A">
      <w:pPr>
        <w:pStyle w:val="standard"/>
        <w:spacing w:after="240" w:line="240" w:lineRule="atLeast"/>
        <w:rPr>
          <w:sz w:val="22"/>
          <w:szCs w:val="22"/>
        </w:rPr>
      </w:pPr>
      <w:r>
        <w:rPr>
          <w:sz w:val="22"/>
          <w:szCs w:val="22"/>
        </w:rPr>
        <w:t xml:space="preserve">Refer to </w:t>
      </w:r>
      <w:r w:rsidR="00AF2FFE">
        <w:rPr>
          <w:sz w:val="22"/>
          <w:szCs w:val="22"/>
        </w:rPr>
        <w:t xml:space="preserve">Deloitte’s </w:t>
      </w:r>
      <w:r>
        <w:rPr>
          <w:sz w:val="22"/>
          <w:szCs w:val="22"/>
        </w:rPr>
        <w:t xml:space="preserve">September 2, 2022 </w:t>
      </w:r>
      <w:hyperlink r:id="rId15" w:history="1">
        <w:r w:rsidRPr="0024339D">
          <w:rPr>
            <w:rStyle w:val="Hyperlink"/>
            <w:i/>
            <w:iCs/>
            <w:sz w:val="22"/>
            <w:szCs w:val="22"/>
          </w:rPr>
          <w:t>Heads Up</w:t>
        </w:r>
      </w:hyperlink>
      <w:r>
        <w:rPr>
          <w:sz w:val="22"/>
          <w:szCs w:val="22"/>
        </w:rPr>
        <w:t>.</w:t>
      </w:r>
    </w:p>
    <w:p w14:paraId="3F873B0F" w14:textId="77777777" w:rsidR="00385B1A" w:rsidRDefault="00385B1A" w:rsidP="00385B1A">
      <w:pPr>
        <w:pStyle w:val="standard"/>
        <w:spacing w:before="0" w:after="240" w:line="240" w:lineRule="atLeast"/>
        <w:rPr>
          <w:b/>
          <w:bCs/>
          <w:i/>
          <w:iCs/>
          <w:sz w:val="22"/>
          <w:szCs w:val="22"/>
        </w:rPr>
      </w:pPr>
      <w:r w:rsidRPr="0010387C">
        <w:rPr>
          <w:b/>
          <w:bCs/>
          <w:i/>
          <w:iCs/>
          <w:sz w:val="22"/>
          <w:szCs w:val="22"/>
        </w:rPr>
        <w:t>Listing Standards for Recovery of Erroneously Awarded Compensation</w:t>
      </w:r>
    </w:p>
    <w:p w14:paraId="41F1770E" w14:textId="77777777" w:rsidR="00385B1A" w:rsidRDefault="00385B1A" w:rsidP="00385B1A">
      <w:pPr>
        <w:pStyle w:val="standard"/>
        <w:spacing w:after="240" w:line="240" w:lineRule="atLeast"/>
        <w:rPr>
          <w:sz w:val="22"/>
          <w:szCs w:val="22"/>
        </w:rPr>
      </w:pPr>
      <w:r w:rsidRPr="006920D6">
        <w:rPr>
          <w:sz w:val="22"/>
          <w:szCs w:val="22"/>
        </w:rPr>
        <w:t xml:space="preserve">The SEC has issued a </w:t>
      </w:r>
      <w:hyperlink r:id="rId16" w:history="1">
        <w:r w:rsidRPr="006920D6">
          <w:rPr>
            <w:rStyle w:val="Hyperlink"/>
            <w:sz w:val="22"/>
            <w:szCs w:val="22"/>
          </w:rPr>
          <w:t>final rule</w:t>
        </w:r>
      </w:hyperlink>
      <w:r w:rsidRPr="006920D6">
        <w:rPr>
          <w:sz w:val="22"/>
          <w:szCs w:val="22"/>
        </w:rPr>
        <w:t xml:space="preserve"> aimed at ensuring that executive officers do not receive “excess compensation” if the financial results on which previous awards of compensation were based are subsequently restated because of material noncompliance with financial reporting requirements. The final rule implements the mandate in Section 954 of the Dodd-Frank Act, and requires issuers to </w:t>
      </w:r>
      <w:r>
        <w:rPr>
          <w:sz w:val="22"/>
          <w:szCs w:val="22"/>
        </w:rPr>
        <w:t xml:space="preserve">adopt a written policy to </w:t>
      </w:r>
      <w:r w:rsidRPr="006920D6">
        <w:rPr>
          <w:sz w:val="22"/>
          <w:szCs w:val="22"/>
        </w:rPr>
        <w:t>“claw back” excess compensation for the three fiscal years before the determination of a restatement regardless of whether an executive officer had any involvement in the restatement. The final rule also requires an issuer to disclose its recovery policy in an exhibit to its annual report.</w:t>
      </w:r>
    </w:p>
    <w:p w14:paraId="67712E4C" w14:textId="5AF4739A" w:rsidR="00385B1A" w:rsidRPr="00DE248D" w:rsidRDefault="00385B1A" w:rsidP="00385B1A">
      <w:pPr>
        <w:pStyle w:val="standard"/>
        <w:spacing w:after="240" w:line="240" w:lineRule="atLeast"/>
        <w:rPr>
          <w:sz w:val="22"/>
          <w:szCs w:val="22"/>
        </w:rPr>
      </w:pPr>
      <w:r w:rsidRPr="0024339D">
        <w:rPr>
          <w:sz w:val="22"/>
          <w:szCs w:val="22"/>
        </w:rPr>
        <w:t>Th</w:t>
      </w:r>
      <w:r>
        <w:rPr>
          <w:sz w:val="22"/>
          <w:szCs w:val="22"/>
        </w:rPr>
        <w:t>is</w:t>
      </w:r>
      <w:r w:rsidRPr="0024339D">
        <w:rPr>
          <w:sz w:val="22"/>
          <w:szCs w:val="22"/>
        </w:rPr>
        <w:t xml:space="preserve"> </w:t>
      </w:r>
      <w:r>
        <w:rPr>
          <w:sz w:val="22"/>
          <w:szCs w:val="22"/>
        </w:rPr>
        <w:t xml:space="preserve">rule </w:t>
      </w:r>
      <w:r w:rsidR="0075647A">
        <w:rPr>
          <w:sz w:val="22"/>
          <w:szCs w:val="22"/>
        </w:rPr>
        <w:t>applies</w:t>
      </w:r>
      <w:r w:rsidRPr="0024339D">
        <w:rPr>
          <w:sz w:val="22"/>
          <w:szCs w:val="22"/>
        </w:rPr>
        <w:t xml:space="preserve"> to all registrants </w:t>
      </w:r>
      <w:r>
        <w:rPr>
          <w:sz w:val="22"/>
          <w:szCs w:val="22"/>
        </w:rPr>
        <w:t>including</w:t>
      </w:r>
      <w:r w:rsidRPr="0024339D">
        <w:rPr>
          <w:sz w:val="22"/>
          <w:szCs w:val="22"/>
        </w:rPr>
        <w:t xml:space="preserve"> </w:t>
      </w:r>
      <w:r w:rsidRPr="00CC74DA">
        <w:rPr>
          <w:sz w:val="22"/>
          <w:szCs w:val="22"/>
        </w:rPr>
        <w:t>EGCs, SRCs</w:t>
      </w:r>
      <w:r>
        <w:rPr>
          <w:sz w:val="22"/>
          <w:szCs w:val="22"/>
        </w:rPr>
        <w:t xml:space="preserve">, </w:t>
      </w:r>
      <w:r w:rsidRPr="00CC74DA">
        <w:rPr>
          <w:sz w:val="22"/>
          <w:szCs w:val="22"/>
        </w:rPr>
        <w:t>registered investment companies, and foreign private issuers</w:t>
      </w:r>
      <w:r w:rsidR="008A5C9F">
        <w:rPr>
          <w:sz w:val="22"/>
          <w:szCs w:val="22"/>
        </w:rPr>
        <w:t xml:space="preserve"> and is effective on January 27, 2023</w:t>
      </w:r>
      <w:r w:rsidRPr="00CC74DA">
        <w:rPr>
          <w:sz w:val="22"/>
          <w:szCs w:val="22"/>
        </w:rPr>
        <w:t>.</w:t>
      </w:r>
      <w:r>
        <w:rPr>
          <w:sz w:val="22"/>
          <w:szCs w:val="22"/>
        </w:rPr>
        <w:t xml:space="preserve"> </w:t>
      </w:r>
      <w:r w:rsidR="00860BFC">
        <w:rPr>
          <w:sz w:val="22"/>
          <w:szCs w:val="22"/>
        </w:rPr>
        <w:t xml:space="preserve">Given the time frame within which companies must implement the mandatory compensation recovery policy, we expect that companies will need to have a </w:t>
      </w:r>
      <w:r w:rsidR="0075647A">
        <w:rPr>
          <w:sz w:val="22"/>
          <w:szCs w:val="22"/>
        </w:rPr>
        <w:t xml:space="preserve">compliant </w:t>
      </w:r>
      <w:r w:rsidR="003E7E27">
        <w:rPr>
          <w:sz w:val="22"/>
          <w:szCs w:val="22"/>
        </w:rPr>
        <w:t xml:space="preserve">recovery policy in place by the end of </w:t>
      </w:r>
      <w:r>
        <w:rPr>
          <w:sz w:val="22"/>
          <w:szCs w:val="22"/>
        </w:rPr>
        <w:t xml:space="preserve">2023 or </w:t>
      </w:r>
      <w:r w:rsidR="0075647A">
        <w:rPr>
          <w:sz w:val="22"/>
          <w:szCs w:val="22"/>
        </w:rPr>
        <w:t xml:space="preserve">early </w:t>
      </w:r>
      <w:r>
        <w:rPr>
          <w:sz w:val="22"/>
          <w:szCs w:val="22"/>
        </w:rPr>
        <w:t>2024.</w:t>
      </w:r>
    </w:p>
    <w:p w14:paraId="7C0A0E1F" w14:textId="3E062A85" w:rsidR="00385B1A" w:rsidRDefault="00385B1A" w:rsidP="00385B1A">
      <w:pPr>
        <w:pStyle w:val="standard"/>
        <w:spacing w:before="0" w:after="240" w:line="240" w:lineRule="atLeast"/>
        <w:rPr>
          <w:sz w:val="22"/>
          <w:szCs w:val="22"/>
        </w:rPr>
      </w:pPr>
      <w:r w:rsidRPr="0010387C">
        <w:rPr>
          <w:sz w:val="22"/>
          <w:szCs w:val="22"/>
        </w:rPr>
        <w:t xml:space="preserve">Refer to </w:t>
      </w:r>
      <w:r w:rsidR="003E7E27">
        <w:rPr>
          <w:sz w:val="22"/>
          <w:szCs w:val="22"/>
        </w:rPr>
        <w:t>Deloitte’s</w:t>
      </w:r>
      <w:r w:rsidR="003E7E27" w:rsidRPr="0010387C">
        <w:rPr>
          <w:sz w:val="22"/>
          <w:szCs w:val="22"/>
        </w:rPr>
        <w:t xml:space="preserve"> </w:t>
      </w:r>
      <w:r w:rsidRPr="0010387C">
        <w:rPr>
          <w:sz w:val="22"/>
          <w:szCs w:val="22"/>
        </w:rPr>
        <w:t xml:space="preserve">November 14, 2022 </w:t>
      </w:r>
      <w:hyperlink r:id="rId17" w:history="1">
        <w:r w:rsidRPr="0010387C">
          <w:rPr>
            <w:rStyle w:val="Hyperlink"/>
            <w:i/>
            <w:iCs/>
            <w:sz w:val="22"/>
            <w:szCs w:val="22"/>
          </w:rPr>
          <w:t>Heads Up</w:t>
        </w:r>
      </w:hyperlink>
      <w:r w:rsidRPr="0010387C">
        <w:rPr>
          <w:sz w:val="22"/>
          <w:szCs w:val="22"/>
        </w:rPr>
        <w:t>.</w:t>
      </w:r>
    </w:p>
    <w:p w14:paraId="0EEAE4B7" w14:textId="3C71CF44" w:rsidR="00521A27" w:rsidRPr="004366D5" w:rsidRDefault="00385B1A" w:rsidP="004366D5">
      <w:pPr>
        <w:pStyle w:val="standard"/>
        <w:spacing w:before="0" w:after="240" w:line="240" w:lineRule="atLeast"/>
        <w:rPr>
          <w:sz w:val="20"/>
          <w:szCs w:val="20"/>
        </w:rPr>
      </w:pPr>
      <w:r>
        <w:rPr>
          <w:sz w:val="22"/>
          <w:szCs w:val="22"/>
        </w:rPr>
        <w:t xml:space="preserve">Refer to the </w:t>
      </w:r>
      <w:hyperlink r:id="rId18" w:history="1">
        <w:r w:rsidRPr="00974007">
          <w:rPr>
            <w:rStyle w:val="Hyperlink"/>
            <w:sz w:val="22"/>
            <w:szCs w:val="22"/>
          </w:rPr>
          <w:t>New SEC Rules, Reports, and Studies</w:t>
        </w:r>
      </w:hyperlink>
      <w:r>
        <w:rPr>
          <w:sz w:val="22"/>
          <w:szCs w:val="22"/>
        </w:rPr>
        <w:t xml:space="preserve"> section within the Deloitte Accounting Research Tool for a comprehensive list of historical rules finalized by the SEC</w:t>
      </w:r>
      <w:r w:rsidRPr="00974007">
        <w:rPr>
          <w:sz w:val="22"/>
          <w:szCs w:val="22"/>
        </w:rPr>
        <w:t>.</w:t>
      </w:r>
    </w:p>
    <w:p w14:paraId="092414F9" w14:textId="048B02D0" w:rsidR="006907C3" w:rsidRPr="004F6025" w:rsidRDefault="006907C3" w:rsidP="00C44B10">
      <w:pPr>
        <w:pStyle w:val="FormHeading1"/>
      </w:pPr>
      <w:r w:rsidRPr="00C44B10">
        <w:lastRenderedPageBreak/>
        <w:t>A</w:t>
      </w:r>
      <w:bookmarkStart w:id="2" w:name="Additional_considerations"/>
      <w:bookmarkEnd w:id="2"/>
      <w:r w:rsidRPr="00C44B10">
        <w:t>ddition</w:t>
      </w:r>
      <w:r w:rsidRPr="004C67C0">
        <w:t>al Considerations</w:t>
      </w:r>
    </w:p>
    <w:p w14:paraId="36945D2D" w14:textId="423DDD91" w:rsidR="001B72E5" w:rsidRPr="00C44B10" w:rsidRDefault="001B72E5" w:rsidP="004366D5">
      <w:pPr>
        <w:pStyle w:val="FormHeading2"/>
      </w:pPr>
      <w:r w:rsidRPr="004F6025">
        <w:t>N</w:t>
      </w:r>
      <w:r w:rsidR="00C44B10">
        <w:t>on</w:t>
      </w:r>
      <w:r w:rsidRPr="00C44B10">
        <w:t>-GAAP F</w:t>
      </w:r>
      <w:r w:rsidR="00C44B10">
        <w:t>inancial</w:t>
      </w:r>
      <w:r w:rsidRPr="00C44B10">
        <w:t xml:space="preserve"> M</w:t>
      </w:r>
      <w:r w:rsidR="00C44B10">
        <w:t>easures</w:t>
      </w:r>
      <w:r w:rsidRPr="00C44B10">
        <w:t xml:space="preserve"> </w:t>
      </w:r>
      <w:r w:rsidR="00C44B10">
        <w:t>and</w:t>
      </w:r>
      <w:r w:rsidR="00F9526F" w:rsidRPr="00C44B10">
        <w:t xml:space="preserve"> M</w:t>
      </w:r>
      <w:r w:rsidR="00C44B10">
        <w:t>etric</w:t>
      </w:r>
      <w:r w:rsidR="00F9526F" w:rsidRPr="00C44B10">
        <w:t xml:space="preserve"> </w:t>
      </w:r>
      <w:r w:rsidRPr="004C67C0">
        <w:t>C</w:t>
      </w:r>
      <w:r w:rsidR="00C44B10">
        <w:t>onsiderations</w:t>
      </w:r>
    </w:p>
    <w:p w14:paraId="07B43029" w14:textId="38FDCB6E" w:rsidR="001B72E5" w:rsidRDefault="001B72E5" w:rsidP="00425921">
      <w:pPr>
        <w:pStyle w:val="FormBodyText"/>
        <w:rPr>
          <w:szCs w:val="22"/>
        </w:rPr>
      </w:pPr>
      <w:r w:rsidRPr="00425921">
        <w:rPr>
          <w:szCs w:val="22"/>
        </w:rPr>
        <w:t>As reflected in its filing reviews and comment letters, speeches, and updated C&amp;DIs, the SEC is continuing to urge registrants to take a fresh look at their use and disclosure of non-GAAP measures</w:t>
      </w:r>
      <w:r w:rsidR="00F9526F">
        <w:rPr>
          <w:szCs w:val="22"/>
        </w:rPr>
        <w:t xml:space="preserve"> and metrics</w:t>
      </w:r>
      <w:r w:rsidRPr="00425921">
        <w:rPr>
          <w:szCs w:val="22"/>
        </w:rPr>
        <w:t>, including periodic reports such as Forms 10-K and 10-Q and earnings releases. The Deloitte</w:t>
      </w:r>
      <w:r w:rsidR="00773396">
        <w:rPr>
          <w:szCs w:val="22"/>
        </w:rPr>
        <w:t>’s</w:t>
      </w:r>
      <w:r w:rsidRPr="00425921">
        <w:rPr>
          <w:szCs w:val="22"/>
        </w:rPr>
        <w:t xml:space="preserve"> </w:t>
      </w:r>
      <w:hyperlink r:id="rId19" w:history="1">
        <w:r w:rsidR="000E2457">
          <w:rPr>
            <w:rStyle w:val="Hyperlink"/>
            <w:i/>
            <w:iCs/>
            <w:szCs w:val="22"/>
          </w:rPr>
          <w:t>Non-GAAP Financial Measures and Metrics</w:t>
        </w:r>
      </w:hyperlink>
      <w:r w:rsidRPr="00425921">
        <w:rPr>
          <w:szCs w:val="22"/>
        </w:rPr>
        <w:t xml:space="preserve"> </w:t>
      </w:r>
      <w:r w:rsidR="00773396">
        <w:rPr>
          <w:szCs w:val="22"/>
        </w:rPr>
        <w:t xml:space="preserve">Roadmap </w:t>
      </w:r>
      <w:r w:rsidRPr="00425921">
        <w:rPr>
          <w:szCs w:val="22"/>
        </w:rPr>
        <w:t xml:space="preserve">is a helpful resource for </w:t>
      </w:r>
      <w:r w:rsidR="002E6B08">
        <w:rPr>
          <w:szCs w:val="22"/>
        </w:rPr>
        <w:t>companies</w:t>
      </w:r>
      <w:r w:rsidRPr="00425921">
        <w:rPr>
          <w:szCs w:val="22"/>
        </w:rPr>
        <w:t xml:space="preserve"> to consider when considering the guidance around non-GAAP financial measures. For Covid</w:t>
      </w:r>
      <w:r w:rsidR="001862B8">
        <w:rPr>
          <w:szCs w:val="22"/>
        </w:rPr>
        <w:t>-</w:t>
      </w:r>
      <w:r w:rsidRPr="00425921">
        <w:rPr>
          <w:szCs w:val="22"/>
        </w:rPr>
        <w:t>related non-</w:t>
      </w:r>
      <w:r w:rsidR="001862B8">
        <w:rPr>
          <w:szCs w:val="22"/>
        </w:rPr>
        <w:t>GAAP</w:t>
      </w:r>
      <w:r w:rsidRPr="00425921">
        <w:rPr>
          <w:szCs w:val="22"/>
        </w:rPr>
        <w:t xml:space="preserve"> financial measures refer to </w:t>
      </w:r>
      <w:r w:rsidR="009205C9">
        <w:rPr>
          <w:szCs w:val="22"/>
        </w:rPr>
        <w:t>Deloitte’s</w:t>
      </w:r>
      <w:r w:rsidRPr="00425921">
        <w:rPr>
          <w:szCs w:val="22"/>
        </w:rPr>
        <w:t xml:space="preserve"> </w:t>
      </w:r>
      <w:hyperlink r:id="rId20" w:history="1">
        <w:r w:rsidRPr="008666BC">
          <w:rPr>
            <w:rStyle w:val="Hyperlink"/>
            <w:szCs w:val="22"/>
          </w:rPr>
          <w:t>Financial Reporting Alert 20-4</w:t>
        </w:r>
      </w:hyperlink>
      <w:r w:rsidRPr="00425921">
        <w:rPr>
          <w:szCs w:val="22"/>
        </w:rPr>
        <w:t xml:space="preserve"> for more information.</w:t>
      </w:r>
    </w:p>
    <w:p w14:paraId="7CC93BC6" w14:textId="6C4140DB" w:rsidR="00DA047A" w:rsidRDefault="00DA047A" w:rsidP="00425921">
      <w:pPr>
        <w:pStyle w:val="FormBodyText"/>
        <w:rPr>
          <w:szCs w:val="22"/>
        </w:rPr>
      </w:pPr>
      <w:r>
        <w:rPr>
          <w:szCs w:val="22"/>
        </w:rPr>
        <w:t xml:space="preserve">On December 13, 2022, the SEC updated its Compliance &amp; Disclosure Interpretations (C&amp;DIs) on Non-GAAP financial measures.  The updated C&amp;DIs are found on the SEC’s </w:t>
      </w:r>
      <w:hyperlink r:id="rId21" w:history="1">
        <w:r w:rsidRPr="00502977">
          <w:rPr>
            <w:rStyle w:val="Hyperlink"/>
            <w:szCs w:val="22"/>
          </w:rPr>
          <w:t>web site</w:t>
        </w:r>
      </w:hyperlink>
      <w:r>
        <w:rPr>
          <w:szCs w:val="22"/>
        </w:rPr>
        <w:t>.  The updated C&amp;DIs are not reflected</w:t>
      </w:r>
      <w:r w:rsidRPr="006904F8">
        <w:rPr>
          <w:szCs w:val="22"/>
        </w:rPr>
        <w:t xml:space="preserve"> </w:t>
      </w:r>
      <w:r>
        <w:rPr>
          <w:szCs w:val="22"/>
        </w:rPr>
        <w:t xml:space="preserve">in </w:t>
      </w:r>
      <w:r w:rsidRPr="00425921">
        <w:rPr>
          <w:szCs w:val="22"/>
        </w:rPr>
        <w:t>Deloitte</w:t>
      </w:r>
      <w:r>
        <w:rPr>
          <w:szCs w:val="22"/>
        </w:rPr>
        <w:t>’s</w:t>
      </w:r>
      <w:r w:rsidRPr="00425921">
        <w:rPr>
          <w:szCs w:val="22"/>
        </w:rPr>
        <w:t xml:space="preserve"> </w:t>
      </w:r>
      <w:hyperlink r:id="rId22" w:history="1">
        <w:r w:rsidRPr="00BC2603">
          <w:rPr>
            <w:rStyle w:val="Hyperlink"/>
            <w:i/>
            <w:iCs/>
            <w:szCs w:val="22"/>
          </w:rPr>
          <w:t>Non-GAAP Financial Measures and Metrics</w:t>
        </w:r>
      </w:hyperlink>
      <w:r w:rsidRPr="00425921">
        <w:rPr>
          <w:szCs w:val="22"/>
        </w:rPr>
        <w:t xml:space="preserve"> </w:t>
      </w:r>
      <w:r>
        <w:rPr>
          <w:szCs w:val="22"/>
        </w:rPr>
        <w:t>Roadmap referred to above.</w:t>
      </w:r>
    </w:p>
    <w:p w14:paraId="3921D56D" w14:textId="77777777" w:rsidR="00244C67" w:rsidRPr="008C7269" w:rsidRDefault="00244C67" w:rsidP="00244C67">
      <w:pPr>
        <w:pStyle w:val="FormHeading2"/>
        <w:rPr>
          <w:b/>
        </w:rPr>
      </w:pPr>
      <w:r w:rsidRPr="008C7269">
        <w:t>Environmental, Social, and Governance (ESG) Disclosures</w:t>
      </w:r>
    </w:p>
    <w:p w14:paraId="6205906F" w14:textId="7CF1A699" w:rsidR="00244C67" w:rsidRPr="008C7269" w:rsidRDefault="00244C67" w:rsidP="570570C2">
      <w:pPr>
        <w:pStyle w:val="Default"/>
        <w:keepNext/>
        <w:spacing w:after="240" w:line="240" w:lineRule="atLeast"/>
        <w:rPr>
          <w:rFonts w:ascii="Calibri Light" w:eastAsiaTheme="minorEastAsia" w:hAnsi="Calibri Light" w:cstheme="majorBidi"/>
          <w:b/>
          <w:bCs/>
          <w:i/>
          <w:iCs/>
          <w:sz w:val="22"/>
          <w:szCs w:val="22"/>
          <w:lang w:val="en-GB" w:eastAsia="zh-TW"/>
        </w:rPr>
      </w:pPr>
      <w:r w:rsidRPr="570570C2">
        <w:rPr>
          <w:rFonts w:ascii="Calibri Light" w:eastAsiaTheme="minorEastAsia" w:hAnsi="Calibri Light" w:cstheme="majorBidi"/>
          <w:b/>
          <w:bCs/>
          <w:i/>
          <w:iCs/>
          <w:sz w:val="22"/>
          <w:szCs w:val="22"/>
          <w:lang w:val="en-GB" w:eastAsia="zh-TW"/>
        </w:rPr>
        <w:t>SEC Publishes Sample Comments on Climate-Change Disclosures</w:t>
      </w:r>
    </w:p>
    <w:p w14:paraId="7DCCE95F" w14:textId="3874368D" w:rsidR="00244C67" w:rsidRPr="00E0681E" w:rsidRDefault="00244C67" w:rsidP="00E3039B">
      <w:pPr>
        <w:pStyle w:val="Default"/>
        <w:spacing w:after="240" w:line="240" w:lineRule="atLeast"/>
        <w:rPr>
          <w:rFonts w:cs="Calibri Light"/>
          <w:szCs w:val="22"/>
        </w:rPr>
      </w:pPr>
      <w:r w:rsidRPr="008C7269">
        <w:rPr>
          <w:rFonts w:ascii="Calibri Light" w:hAnsi="Calibri Light" w:cs="Calibri Light"/>
          <w:sz w:val="22"/>
          <w:szCs w:val="22"/>
        </w:rPr>
        <w:t>While the SEC considers rulemaking, it is also looking at compliance with disclosure requirements under the current rules. In September 2021, the SEC’s Division of Corporation Finance (DCF) released</w:t>
      </w:r>
      <w:r w:rsidRPr="008C7269">
        <w:rPr>
          <w:rFonts w:ascii="Calibri Light" w:hAnsi="Calibri Light" w:cs="Calibri Light"/>
          <w:sz w:val="22"/>
          <w:szCs w:val="22"/>
          <w:shd w:val="clear" w:color="auto" w:fill="FFFFFF"/>
        </w:rPr>
        <w:t xml:space="preserve"> a </w:t>
      </w:r>
      <w:hyperlink r:id="rId23" w:tgtFrame="_blank" w:history="1">
        <w:r w:rsidRPr="008C7269">
          <w:rPr>
            <w:rStyle w:val="Hyperlink"/>
            <w:rFonts w:ascii="Calibri Light" w:hAnsi="Calibri Light" w:cs="Calibri Light"/>
            <w:sz w:val="22"/>
            <w:szCs w:val="22"/>
            <w:shd w:val="clear" w:color="auto" w:fill="FFFFFF"/>
          </w:rPr>
          <w:t>sample letter</w:t>
        </w:r>
      </w:hyperlink>
      <w:r w:rsidRPr="008C7269">
        <w:rPr>
          <w:rFonts w:ascii="Calibri Light" w:hAnsi="Calibri Light" w:cs="Calibri Light"/>
          <w:sz w:val="22"/>
          <w:szCs w:val="22"/>
        </w:rPr>
        <w:t xml:space="preserve"> containing examples of comments that the DCF would consider issuing to public companies on climate-related disclosures currently included in their filings. The sample comments focus on the extent to which public companies are disclosing information in a manner consistent with the SEC’s </w:t>
      </w:r>
      <w:hyperlink r:id="rId24" w:tgtFrame="_blank" w:history="1">
        <w:r w:rsidRPr="008C7269">
          <w:rPr>
            <w:rStyle w:val="Hyperlink"/>
            <w:rFonts w:ascii="Calibri Light" w:hAnsi="Calibri Light" w:cs="Calibri Light"/>
            <w:sz w:val="22"/>
            <w:szCs w:val="22"/>
            <w:shd w:val="clear" w:color="auto" w:fill="FFFFFF"/>
          </w:rPr>
          <w:t>2010 interpretive release</w:t>
        </w:r>
      </w:hyperlink>
      <w:r w:rsidRPr="008C7269">
        <w:rPr>
          <w:rFonts w:ascii="Calibri Light" w:hAnsi="Calibri Light" w:cs="Calibri Light"/>
          <w:sz w:val="22"/>
          <w:szCs w:val="22"/>
        </w:rPr>
        <w:t xml:space="preserve"> on climate disclosures. In addition, the letter indicates that the DCF may review information disclosed outside a company’s SEC filings (e.g., ESG and sustainability reports) and ask a company whether it should also include the associated information in its SEC filings. The SEC shared the sample comments with the public to provide context for and insights into the increased attention and focus on climate-related disclosures. For more information about the SEC’s sample comment letter, see Deloitte’s September 27, 2021</w:t>
      </w:r>
      <w:r w:rsidRPr="008C7269">
        <w:rPr>
          <w:rFonts w:ascii="Calibri Light" w:hAnsi="Calibri Light" w:cs="Calibri Light"/>
          <w:sz w:val="22"/>
          <w:szCs w:val="22"/>
          <w:shd w:val="clear" w:color="auto" w:fill="FFFFFF"/>
        </w:rPr>
        <w:t xml:space="preserve"> </w:t>
      </w:r>
      <w:hyperlink r:id="rId25" w:tgtFrame="_blank" w:history="1">
        <w:r w:rsidRPr="008C7269">
          <w:rPr>
            <w:rStyle w:val="dart-i"/>
            <w:rFonts w:ascii="Calibri Light" w:hAnsi="Calibri Light" w:cs="Calibri Light"/>
            <w:i/>
            <w:iCs/>
            <w:color w:val="62B5E5"/>
            <w:sz w:val="22"/>
            <w:szCs w:val="22"/>
            <w:shd w:val="clear" w:color="auto" w:fill="FFFFFF"/>
          </w:rPr>
          <w:t>Heads Up</w:t>
        </w:r>
      </w:hyperlink>
      <w:r w:rsidRPr="008C7269">
        <w:rPr>
          <w:rFonts w:ascii="Calibri Light" w:hAnsi="Calibri Light" w:cs="Calibri Light"/>
          <w:sz w:val="22"/>
          <w:szCs w:val="22"/>
          <w:shd w:val="clear" w:color="auto" w:fill="FFFFFF"/>
        </w:rPr>
        <w:t>.</w:t>
      </w:r>
    </w:p>
    <w:p w14:paraId="1D36587B" w14:textId="77777777" w:rsidR="001B72E5" w:rsidRPr="00425921" w:rsidRDefault="001B72E5" w:rsidP="00C44B10">
      <w:pPr>
        <w:pStyle w:val="FormHeading2"/>
      </w:pPr>
      <w:r w:rsidRPr="00425921">
        <w:t>COVID-19</w:t>
      </w:r>
    </w:p>
    <w:p w14:paraId="48ED2746" w14:textId="67AD0769" w:rsidR="001B72E5" w:rsidRPr="00425921" w:rsidRDefault="001B72E5" w:rsidP="00425921">
      <w:pPr>
        <w:pStyle w:val="FormBodyText"/>
        <w:rPr>
          <w:szCs w:val="22"/>
        </w:rPr>
      </w:pPr>
      <w:r w:rsidRPr="00425921">
        <w:rPr>
          <w:szCs w:val="22"/>
        </w:rPr>
        <w:t xml:space="preserve">Entities must carefully consider their unique circumstances and risk exposures when </w:t>
      </w:r>
      <w:r w:rsidR="00931C76" w:rsidRPr="00425921">
        <w:rPr>
          <w:szCs w:val="22"/>
        </w:rPr>
        <w:t>analy</w:t>
      </w:r>
      <w:r w:rsidR="00925085">
        <w:rPr>
          <w:szCs w:val="22"/>
        </w:rPr>
        <w:t>z</w:t>
      </w:r>
      <w:r w:rsidR="00931C76" w:rsidRPr="00425921">
        <w:rPr>
          <w:szCs w:val="22"/>
        </w:rPr>
        <w:t xml:space="preserve">ing </w:t>
      </w:r>
      <w:r w:rsidRPr="00425921">
        <w:rPr>
          <w:szCs w:val="22"/>
        </w:rPr>
        <w:t>how recent events may affect their financial reporting. Specifically, financial reporting and related financial statement disclosures need to convey all material current or potential effects of COVID-19. It is also critical that management understand the risks that entities are dealing with and how such risks may affect them. SEC registrants must also consider the need to disclose information in other areas of an SEC filing, such as MD&amp;A or risk factors, in addition to the footnotes to their financial statements.</w:t>
      </w:r>
    </w:p>
    <w:p w14:paraId="374CFF54" w14:textId="6F03D0CE" w:rsidR="00F9526F" w:rsidRDefault="001B72E5" w:rsidP="00F9526F">
      <w:pPr>
        <w:pStyle w:val="FormBodyText"/>
        <w:rPr>
          <w:rFonts w:eastAsia="Times New Roman"/>
        </w:rPr>
      </w:pPr>
      <w:r w:rsidRPr="00425921">
        <w:rPr>
          <w:szCs w:val="22"/>
        </w:rPr>
        <w:t xml:space="preserve">Consider </w:t>
      </w:r>
      <w:bookmarkStart w:id="3" w:name="_Hlk89848082"/>
      <w:r w:rsidR="00A12FB2">
        <w:rPr>
          <w:szCs w:val="22"/>
        </w:rPr>
        <w:t xml:space="preserve">the </w:t>
      </w:r>
      <w:r w:rsidR="00A12FB2" w:rsidRPr="00A12FB2">
        <w:rPr>
          <w:szCs w:val="22"/>
        </w:rPr>
        <w:t>SEC’s Division of Corporation Finance</w:t>
      </w:r>
      <w:r w:rsidR="00A12FB2">
        <w:rPr>
          <w:szCs w:val="22"/>
        </w:rPr>
        <w:t xml:space="preserve"> Disclosure Guidance Topic No.</w:t>
      </w:r>
      <w:r w:rsidRPr="00425921">
        <w:rPr>
          <w:szCs w:val="22"/>
        </w:rPr>
        <w:t xml:space="preserve"> </w:t>
      </w:r>
      <w:bookmarkEnd w:id="3"/>
      <w:r w:rsidR="004B367E">
        <w:fldChar w:fldCharType="begin"/>
      </w:r>
      <w:r w:rsidR="004B367E">
        <w:instrText>HYPERLINK "https://www.sec.gov/corpfin/coronavirus-covid-19"</w:instrText>
      </w:r>
      <w:r w:rsidR="004B367E">
        <w:fldChar w:fldCharType="separate"/>
      </w:r>
      <w:r w:rsidR="00A12FB2" w:rsidRPr="00A12FB2">
        <w:rPr>
          <w:rStyle w:val="Hyperlink"/>
          <w:szCs w:val="22"/>
        </w:rPr>
        <w:t>9</w:t>
      </w:r>
      <w:r w:rsidR="004B367E">
        <w:rPr>
          <w:rStyle w:val="Hyperlink"/>
          <w:szCs w:val="22"/>
        </w:rPr>
        <w:fldChar w:fldCharType="end"/>
      </w:r>
      <w:r w:rsidR="00A12FB2">
        <w:rPr>
          <w:szCs w:val="22"/>
        </w:rPr>
        <w:t xml:space="preserve"> </w:t>
      </w:r>
      <w:r w:rsidRPr="00425921">
        <w:rPr>
          <w:szCs w:val="22"/>
        </w:rPr>
        <w:t xml:space="preserve">and </w:t>
      </w:r>
      <w:hyperlink r:id="rId26" w:history="1">
        <w:r w:rsidRPr="00A12FB2">
          <w:rPr>
            <w:rStyle w:val="Hyperlink"/>
            <w:szCs w:val="22"/>
          </w:rPr>
          <w:t>9A</w:t>
        </w:r>
      </w:hyperlink>
      <w:r w:rsidRPr="00425921">
        <w:rPr>
          <w:szCs w:val="22"/>
        </w:rPr>
        <w:t xml:space="preserve"> on some critical questions to consider. Refer to</w:t>
      </w:r>
      <w:r w:rsidR="00A80AA4">
        <w:rPr>
          <w:szCs w:val="22"/>
        </w:rPr>
        <w:t xml:space="preserve"> Deloitte’s</w:t>
      </w:r>
      <w:r w:rsidRPr="00425921">
        <w:rPr>
          <w:szCs w:val="22"/>
        </w:rPr>
        <w:t xml:space="preserve"> </w:t>
      </w:r>
      <w:hyperlink r:id="rId27" w:history="1">
        <w:r w:rsidRPr="003D3F17">
          <w:rPr>
            <w:rStyle w:val="Hyperlink"/>
            <w:szCs w:val="22"/>
          </w:rPr>
          <w:t>Financial Reporting Alert 20-2</w:t>
        </w:r>
      </w:hyperlink>
      <w:r w:rsidR="00A92605" w:rsidRPr="007562A1">
        <w:rPr>
          <w:rStyle w:val="Hyperlink"/>
          <w:color w:val="auto"/>
          <w:szCs w:val="22"/>
          <w:u w:val="none"/>
        </w:rPr>
        <w:t xml:space="preserve"> </w:t>
      </w:r>
      <w:bookmarkStart w:id="4" w:name="_Hlk89848104"/>
      <w:r w:rsidR="00AF5326" w:rsidRPr="007562A1">
        <w:rPr>
          <w:rStyle w:val="Hyperlink"/>
          <w:color w:val="auto"/>
          <w:szCs w:val="22"/>
          <w:u w:val="none"/>
        </w:rPr>
        <w:t>and</w:t>
      </w:r>
      <w:r w:rsidR="00AF5326">
        <w:rPr>
          <w:rStyle w:val="Hyperlink"/>
          <w:szCs w:val="22"/>
        </w:rPr>
        <w:t xml:space="preserve"> </w:t>
      </w:r>
      <w:hyperlink r:id="rId28" w:history="1">
        <w:r w:rsidR="00AF5326" w:rsidRPr="00AF5326">
          <w:rPr>
            <w:rStyle w:val="Hyperlink"/>
            <w:szCs w:val="22"/>
          </w:rPr>
          <w:t>Financial Reporting Alert 20-5</w:t>
        </w:r>
      </w:hyperlink>
      <w:r w:rsidRPr="00425921">
        <w:rPr>
          <w:szCs w:val="22"/>
        </w:rPr>
        <w:t>.</w:t>
      </w:r>
      <w:r w:rsidR="00F9526F">
        <w:rPr>
          <w:szCs w:val="22"/>
        </w:rPr>
        <w:t xml:space="preserve"> </w:t>
      </w:r>
      <w:bookmarkEnd w:id="4"/>
    </w:p>
    <w:p w14:paraId="6EF502C6" w14:textId="77777777" w:rsidR="00E7372A" w:rsidRPr="00925085" w:rsidRDefault="00E7372A" w:rsidP="00925085">
      <w:pPr>
        <w:pStyle w:val="FormHeading2"/>
        <w:rPr>
          <w:rFonts w:cs="Calibri Light"/>
          <w:sz w:val="22"/>
          <w:szCs w:val="22"/>
        </w:rPr>
      </w:pPr>
      <w:r w:rsidRPr="00925085">
        <w:lastRenderedPageBreak/>
        <w:t>Russia-Ukraine War</w:t>
      </w:r>
    </w:p>
    <w:p w14:paraId="4878484F" w14:textId="77777777" w:rsidR="00E7372A" w:rsidRPr="00925085" w:rsidRDefault="00E7372A" w:rsidP="00925085">
      <w:p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The geopolitical situation in Eastern Europe is increasingly affecting economic and global financial markets and exacerbating ongoing economic challenges, including issues such as rising inflation and global supply-chain disruption. Because of its broader impact on these macroeconomic conditions, many companies globally may need to consider the war’s effect on certain accounting and financial reporting matters, including:</w:t>
      </w:r>
    </w:p>
    <w:p w14:paraId="497AEB92" w14:textId="77777777" w:rsidR="00E7372A" w:rsidRPr="00925085" w:rsidRDefault="00E7372A" w:rsidP="00925085">
      <w:pPr>
        <w:numPr>
          <w:ilvl w:val="0"/>
          <w:numId w:val="130"/>
        </w:num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Interruptions or stoppage of production in affected areas and neighboring countries.</w:t>
      </w:r>
    </w:p>
    <w:p w14:paraId="0BAC16F6" w14:textId="77777777" w:rsidR="00E7372A" w:rsidRPr="00925085" w:rsidRDefault="00E7372A" w:rsidP="00925085">
      <w:pPr>
        <w:numPr>
          <w:ilvl w:val="0"/>
          <w:numId w:val="130"/>
        </w:num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Damage or loss of inventories and other assets.</w:t>
      </w:r>
    </w:p>
    <w:p w14:paraId="63F98374" w14:textId="77777777" w:rsidR="00E7372A" w:rsidRPr="00925085" w:rsidRDefault="00E7372A" w:rsidP="00925085">
      <w:pPr>
        <w:numPr>
          <w:ilvl w:val="0"/>
          <w:numId w:val="130"/>
        </w:num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Closure of roads and facilities in affected areas.</w:t>
      </w:r>
    </w:p>
    <w:p w14:paraId="7634D9CC" w14:textId="77777777" w:rsidR="00E7372A" w:rsidRPr="00925085" w:rsidRDefault="00E7372A" w:rsidP="00925085">
      <w:pPr>
        <w:numPr>
          <w:ilvl w:val="0"/>
          <w:numId w:val="130"/>
        </w:num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Supply-chain and travel disruptions in Eastern Europe.</w:t>
      </w:r>
    </w:p>
    <w:p w14:paraId="64944D16" w14:textId="77777777" w:rsidR="00E7372A" w:rsidRPr="00925085" w:rsidRDefault="00E7372A" w:rsidP="00925085">
      <w:pPr>
        <w:numPr>
          <w:ilvl w:val="0"/>
          <w:numId w:val="130"/>
        </w:num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Volatility in commodity prices and currencies.</w:t>
      </w:r>
    </w:p>
    <w:p w14:paraId="285E2713" w14:textId="77777777" w:rsidR="00E7372A" w:rsidRPr="00925085" w:rsidRDefault="00E7372A" w:rsidP="00925085">
      <w:pPr>
        <w:numPr>
          <w:ilvl w:val="0"/>
          <w:numId w:val="130"/>
        </w:num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Disruption in banking systems and capital markets.</w:t>
      </w:r>
    </w:p>
    <w:p w14:paraId="3F0DD4D3" w14:textId="77777777" w:rsidR="00E7372A" w:rsidRPr="00925085" w:rsidRDefault="00E7372A" w:rsidP="00925085">
      <w:pPr>
        <w:numPr>
          <w:ilvl w:val="0"/>
          <w:numId w:val="130"/>
        </w:num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Reductions in sales and earnings of business in affected areas.</w:t>
      </w:r>
    </w:p>
    <w:p w14:paraId="10AA8317" w14:textId="77777777" w:rsidR="00E7372A" w:rsidRPr="00925085" w:rsidRDefault="00E7372A" w:rsidP="00925085">
      <w:pPr>
        <w:numPr>
          <w:ilvl w:val="0"/>
          <w:numId w:val="130"/>
        </w:num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Increased costs and expenditures.</w:t>
      </w:r>
    </w:p>
    <w:p w14:paraId="7873B410" w14:textId="77777777" w:rsidR="00E7372A" w:rsidRPr="00925085" w:rsidRDefault="00E7372A" w:rsidP="00925085">
      <w:pPr>
        <w:numPr>
          <w:ilvl w:val="0"/>
          <w:numId w:val="130"/>
        </w:num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Cyberattacks.</w:t>
      </w:r>
    </w:p>
    <w:p w14:paraId="511D5FE7" w14:textId="006E6454" w:rsidR="00E7372A" w:rsidRPr="00925085" w:rsidRDefault="00E7372A" w:rsidP="00925085">
      <w:pPr>
        <w:shd w:val="clear" w:color="auto" w:fill="FFFFFF"/>
        <w:spacing w:before="240"/>
        <w:rPr>
          <w:rFonts w:eastAsia="Times New Roman" w:cs="Calibri Light"/>
          <w:szCs w:val="22"/>
          <w:lang w:val="en-US" w:eastAsia="en-US"/>
        </w:rPr>
      </w:pPr>
      <w:r w:rsidRPr="00925085">
        <w:rPr>
          <w:rFonts w:eastAsia="Times New Roman" w:cs="Calibri Light"/>
          <w:szCs w:val="22"/>
          <w:lang w:val="en-US" w:eastAsia="en-US"/>
        </w:rPr>
        <w:t xml:space="preserve">Consider the SEC’s Division of </w:t>
      </w:r>
      <w:r w:rsidR="00284610">
        <w:rPr>
          <w:rFonts w:eastAsia="Times New Roman" w:cs="Calibri Light"/>
          <w:szCs w:val="22"/>
          <w:lang w:val="en-US" w:eastAsia="en-US"/>
        </w:rPr>
        <w:t>Corporation</w:t>
      </w:r>
      <w:r w:rsidRPr="00925085">
        <w:rPr>
          <w:rFonts w:eastAsia="Times New Roman" w:cs="Calibri Light"/>
          <w:szCs w:val="22"/>
          <w:lang w:val="en-US" w:eastAsia="en-US"/>
        </w:rPr>
        <w:t xml:space="preserve"> Finance </w:t>
      </w:r>
      <w:hyperlink r:id="rId29" w:history="1">
        <w:r w:rsidRPr="00925085">
          <w:rPr>
            <w:rStyle w:val="Hyperlink"/>
            <w:rFonts w:eastAsia="Times New Roman" w:cs="Calibri Light"/>
            <w:i/>
            <w:iCs/>
            <w:szCs w:val="22"/>
            <w:lang w:val="en-US" w:eastAsia="en-US"/>
          </w:rPr>
          <w:t>Sample Letter to Companies Regarding Disclosures Pertaining to Russia’s Invasion of Ukraine and Related Supply Chain Issues</w:t>
        </w:r>
      </w:hyperlink>
      <w:r w:rsidRPr="00925085">
        <w:rPr>
          <w:rFonts w:eastAsia="Times New Roman" w:cs="Calibri Light"/>
          <w:szCs w:val="22"/>
          <w:lang w:val="en-US" w:eastAsia="en-US"/>
        </w:rPr>
        <w:t xml:space="preserve"> on critical questions to consider</w:t>
      </w:r>
      <w:r w:rsidRPr="00925085">
        <w:rPr>
          <w:rFonts w:eastAsia="Times New Roman" w:cs="Calibri Light"/>
          <w:i/>
          <w:iCs/>
          <w:szCs w:val="22"/>
          <w:lang w:val="en-US" w:eastAsia="en-US"/>
        </w:rPr>
        <w:t xml:space="preserve">. </w:t>
      </w:r>
      <w:r w:rsidRPr="00925085">
        <w:rPr>
          <w:rFonts w:eastAsia="Times New Roman" w:cs="Calibri Light"/>
          <w:szCs w:val="22"/>
          <w:lang w:val="en-US" w:eastAsia="en-US"/>
        </w:rPr>
        <w:t xml:space="preserve">Refer to our </w:t>
      </w:r>
      <w:hyperlink r:id="rId30" w:history="1">
        <w:r w:rsidRPr="00925085">
          <w:rPr>
            <w:rStyle w:val="Hyperlink"/>
            <w:rFonts w:eastAsia="Times New Roman" w:cs="Calibri Light"/>
            <w:szCs w:val="22"/>
            <w:lang w:val="en-US" w:eastAsia="en-US"/>
          </w:rPr>
          <w:t>Financial Reporting Alert 22-1</w:t>
        </w:r>
      </w:hyperlink>
      <w:r w:rsidRPr="00925085">
        <w:rPr>
          <w:rFonts w:eastAsia="Times New Roman" w:cs="Calibri Light"/>
          <w:szCs w:val="22"/>
          <w:lang w:val="en-US" w:eastAsia="en-US"/>
        </w:rPr>
        <w:t xml:space="preserve">, </w:t>
      </w:r>
      <w:r w:rsidRPr="00925085">
        <w:rPr>
          <w:rFonts w:eastAsia="Times New Roman" w:cs="Calibri Light"/>
          <w:i/>
          <w:iCs/>
          <w:szCs w:val="22"/>
          <w:lang w:val="en-US" w:eastAsia="en-US"/>
        </w:rPr>
        <w:t>Financial Reporting Considerations Arising From the Russia-Ukraine War</w:t>
      </w:r>
      <w:r w:rsidRPr="00925085">
        <w:rPr>
          <w:rFonts w:eastAsia="Times New Roman" w:cs="Calibri Light"/>
          <w:szCs w:val="22"/>
          <w:lang w:val="en-US" w:eastAsia="en-US"/>
        </w:rPr>
        <w:t>.</w:t>
      </w:r>
    </w:p>
    <w:p w14:paraId="34F86A68" w14:textId="2BAC0BB0" w:rsidR="0086275C" w:rsidRPr="00425921" w:rsidRDefault="0086275C" w:rsidP="00C44B10">
      <w:pPr>
        <w:pStyle w:val="FormHeading2"/>
      </w:pPr>
      <w:r w:rsidRPr="00425921">
        <w:t>Smaller Reporting Companies</w:t>
      </w:r>
      <w:r w:rsidR="00ED0D3B" w:rsidRPr="00425921">
        <w:t xml:space="preserve"> (SRC</w:t>
      </w:r>
      <w:r w:rsidR="008D3133">
        <w:t>s</w:t>
      </w:r>
      <w:r w:rsidR="00ED0D3B" w:rsidRPr="00425921">
        <w:t>)</w:t>
      </w:r>
    </w:p>
    <w:p w14:paraId="0487B286" w14:textId="44B2754D" w:rsidR="00ED0D3B" w:rsidRPr="00425921" w:rsidRDefault="001A09BE" w:rsidP="00425921">
      <w:pPr>
        <w:pStyle w:val="CM19"/>
        <w:spacing w:before="240" w:line="240" w:lineRule="atLeast"/>
        <w:rPr>
          <w:sz w:val="22"/>
          <w:szCs w:val="22"/>
        </w:rPr>
      </w:pPr>
      <w:bookmarkStart w:id="5" w:name="_Hlk532567832"/>
      <w:r>
        <w:rPr>
          <w:sz w:val="22"/>
          <w:szCs w:val="22"/>
        </w:rPr>
        <w:t xml:space="preserve">The </w:t>
      </w:r>
      <w:r w:rsidR="00ED0D3B" w:rsidRPr="00425921">
        <w:rPr>
          <w:sz w:val="22"/>
          <w:szCs w:val="22"/>
        </w:rPr>
        <w:t>SEC allow</w:t>
      </w:r>
      <w:r>
        <w:rPr>
          <w:sz w:val="22"/>
          <w:szCs w:val="22"/>
        </w:rPr>
        <w:t>s</w:t>
      </w:r>
      <w:r w:rsidR="00ED0D3B" w:rsidRPr="00425921">
        <w:rPr>
          <w:sz w:val="22"/>
          <w:szCs w:val="22"/>
        </w:rPr>
        <w:t xml:space="preserve"> </w:t>
      </w:r>
      <w:r w:rsidR="00AC1C39">
        <w:rPr>
          <w:sz w:val="22"/>
          <w:szCs w:val="22"/>
        </w:rPr>
        <w:t>SRCs</w:t>
      </w:r>
      <w:r w:rsidR="00ED0D3B" w:rsidRPr="00425921">
        <w:rPr>
          <w:sz w:val="22"/>
          <w:szCs w:val="22"/>
        </w:rPr>
        <w:t xml:space="preserve"> to use the scaled (generally reduced) disclosure and reporting requirements.</w:t>
      </w:r>
    </w:p>
    <w:p w14:paraId="160E12ED" w14:textId="7EC010AC" w:rsidR="00446EC5" w:rsidRPr="00425921" w:rsidRDefault="00446EC5" w:rsidP="00E137C7">
      <w:pPr>
        <w:pStyle w:val="CM19"/>
        <w:spacing w:before="240" w:line="240" w:lineRule="atLeast"/>
        <w:rPr>
          <w:sz w:val="22"/>
          <w:szCs w:val="22"/>
        </w:rPr>
      </w:pPr>
      <w:r w:rsidRPr="00816B89">
        <w:rPr>
          <w:sz w:val="22"/>
          <w:szCs w:val="22"/>
        </w:rPr>
        <w:t xml:space="preserve">SRCs may be eligible to apply Regulation S-K’s and Regulation S-X’s scaled disclosure requirements in certain registration statement forms and periodic reports. </w:t>
      </w:r>
      <w:r w:rsidRPr="00425921">
        <w:rPr>
          <w:sz w:val="22"/>
          <w:szCs w:val="22"/>
        </w:rPr>
        <w:t>SRC</w:t>
      </w:r>
      <w:r>
        <w:rPr>
          <w:sz w:val="22"/>
          <w:szCs w:val="22"/>
        </w:rPr>
        <w:t>s</w:t>
      </w:r>
      <w:r w:rsidRPr="00425921">
        <w:rPr>
          <w:sz w:val="22"/>
          <w:szCs w:val="22"/>
        </w:rPr>
        <w:t xml:space="preserve"> may choose, on an item-by-item basis within any filing, whether to apply scaled disclosure requirements or its more rigorous disclosure requirements for larger public companies. Nevertheless, the SEC has stressed the importance of consistent disclosures that allow investors to make period-</w:t>
      </w:r>
      <w:r>
        <w:rPr>
          <w:sz w:val="22"/>
          <w:szCs w:val="22"/>
        </w:rPr>
        <w:t>over</w:t>
      </w:r>
      <w:r w:rsidRPr="00425921">
        <w:rPr>
          <w:sz w:val="22"/>
          <w:szCs w:val="22"/>
        </w:rPr>
        <w:t>-period comparisons, whether quarterly or annually.</w:t>
      </w:r>
    </w:p>
    <w:p w14:paraId="3081DA54" w14:textId="77777777" w:rsidR="00FE615C" w:rsidRDefault="00FE615C" w:rsidP="00E137C7">
      <w:pPr>
        <w:spacing w:before="240"/>
        <w:rPr>
          <w:szCs w:val="22"/>
        </w:rPr>
      </w:pPr>
      <w:bookmarkStart w:id="6" w:name="_Hlk532569645"/>
      <w:bookmarkEnd w:id="5"/>
      <w:r w:rsidRPr="00FE615C">
        <w:rPr>
          <w:szCs w:val="22"/>
        </w:rPr>
        <w:t>In determining whether a company is eligible for treatment as an SRC, company management should consult their legal counsel.</w:t>
      </w:r>
    </w:p>
    <w:p w14:paraId="00A19120" w14:textId="77777777" w:rsidR="00FE615C" w:rsidRPr="00FE615C" w:rsidRDefault="00FE615C" w:rsidP="00E137C7">
      <w:pPr>
        <w:spacing w:before="240"/>
        <w:rPr>
          <w:szCs w:val="22"/>
        </w:rPr>
      </w:pPr>
      <w:r w:rsidRPr="00FE615C">
        <w:rPr>
          <w:szCs w:val="22"/>
        </w:rPr>
        <w:t>See the table below for a summary of the revenue and public float eligibility requirements for an entity to qualify as an SRC.</w:t>
      </w:r>
    </w:p>
    <w:p w14:paraId="08250FE8" w14:textId="054CA2F9" w:rsidR="00BC5A5E" w:rsidRPr="00425921" w:rsidRDefault="00BC5A5E" w:rsidP="00425921">
      <w:pPr>
        <w:pStyle w:val="CM19"/>
        <w:spacing w:before="240" w:after="360" w:line="240" w:lineRule="atLeast"/>
        <w:rPr>
          <w:i/>
          <w:sz w:val="22"/>
          <w:szCs w:val="22"/>
        </w:rPr>
      </w:pPr>
    </w:p>
    <w:tbl>
      <w:tblPr>
        <w:tblW w:w="5000" w:type="pct"/>
        <w:shd w:val="clear" w:color="auto" w:fill="FFFFFF"/>
        <w:tblCellMar>
          <w:top w:w="240" w:type="dxa"/>
          <w:left w:w="30" w:type="dxa"/>
          <w:bottom w:w="30" w:type="dxa"/>
          <w:right w:w="30" w:type="dxa"/>
        </w:tblCellMar>
        <w:tblLook w:val="04A0" w:firstRow="1" w:lastRow="0" w:firstColumn="1" w:lastColumn="0" w:noHBand="0" w:noVBand="1"/>
      </w:tblPr>
      <w:tblGrid>
        <w:gridCol w:w="2526"/>
        <w:gridCol w:w="3161"/>
        <w:gridCol w:w="1973"/>
        <w:gridCol w:w="1700"/>
      </w:tblGrid>
      <w:tr w:rsidR="009546BD" w:rsidRPr="009546BD" w14:paraId="18A5E13F" w14:textId="77777777" w:rsidTr="009546BD">
        <w:tc>
          <w:tcPr>
            <w:tcW w:w="0" w:type="auto"/>
            <w:tcBorders>
              <w:top w:val="single" w:sz="18" w:space="0" w:color="63666A"/>
            </w:tcBorders>
            <w:shd w:val="clear" w:color="auto" w:fill="FFFFFF"/>
            <w:vAlign w:val="center"/>
            <w:hideMark/>
          </w:tcPr>
          <w:p w14:paraId="5C8F4B31" w14:textId="77777777" w:rsidR="00D93F9E" w:rsidRPr="009546BD" w:rsidRDefault="00D93F9E" w:rsidP="00882C75">
            <w:pPr>
              <w:keepNext/>
              <w:spacing w:before="120" w:after="120" w:line="240" w:lineRule="atLeast"/>
              <w:textAlignment w:val="top"/>
              <w:rPr>
                <w:rFonts w:cs="Arial"/>
                <w:b/>
                <w:bCs/>
                <w:color w:val="auto"/>
                <w:sz w:val="20"/>
                <w:szCs w:val="20"/>
              </w:rPr>
            </w:pPr>
            <w:r w:rsidRPr="009546BD">
              <w:rPr>
                <w:rFonts w:cs="Arial"/>
                <w:b/>
                <w:bCs/>
                <w:color w:val="auto"/>
                <w:sz w:val="20"/>
                <w:szCs w:val="20"/>
              </w:rPr>
              <w:lastRenderedPageBreak/>
              <w:t>Status</w:t>
            </w:r>
          </w:p>
        </w:tc>
        <w:tc>
          <w:tcPr>
            <w:tcW w:w="0" w:type="auto"/>
            <w:tcBorders>
              <w:top w:val="single" w:sz="18" w:space="0" w:color="63666A"/>
            </w:tcBorders>
            <w:shd w:val="clear" w:color="auto" w:fill="FFFFFF"/>
            <w:vAlign w:val="center"/>
            <w:hideMark/>
          </w:tcPr>
          <w:p w14:paraId="00447225" w14:textId="77777777" w:rsidR="00D93F9E" w:rsidRPr="009546BD" w:rsidRDefault="00D93F9E" w:rsidP="00882C75">
            <w:pPr>
              <w:keepNext/>
              <w:spacing w:before="120" w:after="120" w:line="240" w:lineRule="atLeast"/>
              <w:textAlignment w:val="top"/>
              <w:rPr>
                <w:rFonts w:cs="Arial"/>
                <w:b/>
                <w:bCs/>
                <w:color w:val="auto"/>
                <w:sz w:val="20"/>
                <w:szCs w:val="20"/>
              </w:rPr>
            </w:pPr>
            <w:r w:rsidRPr="009546BD">
              <w:rPr>
                <w:rFonts w:cs="Arial"/>
                <w:b/>
                <w:bCs/>
                <w:color w:val="auto"/>
                <w:sz w:val="20"/>
                <w:szCs w:val="20"/>
              </w:rPr>
              <w:t>Public Float</w:t>
            </w:r>
          </w:p>
        </w:tc>
        <w:tc>
          <w:tcPr>
            <w:tcW w:w="0" w:type="auto"/>
            <w:tcBorders>
              <w:top w:val="single" w:sz="18" w:space="0" w:color="63666A"/>
            </w:tcBorders>
            <w:shd w:val="clear" w:color="auto" w:fill="FFFFFF"/>
            <w:vAlign w:val="center"/>
            <w:hideMark/>
          </w:tcPr>
          <w:p w14:paraId="5CDB92A9" w14:textId="77777777" w:rsidR="00D93F9E" w:rsidRPr="009546BD" w:rsidRDefault="00D93F9E" w:rsidP="00882C75">
            <w:pPr>
              <w:keepNext/>
              <w:spacing w:before="120" w:after="120" w:line="240" w:lineRule="atLeast"/>
              <w:textAlignment w:val="top"/>
              <w:rPr>
                <w:rFonts w:cs="Arial"/>
                <w:b/>
                <w:bCs/>
                <w:color w:val="auto"/>
                <w:sz w:val="20"/>
                <w:szCs w:val="20"/>
              </w:rPr>
            </w:pPr>
            <w:r w:rsidRPr="009546BD">
              <w:rPr>
                <w:rFonts w:cs="Arial"/>
                <w:b/>
                <w:bCs/>
                <w:color w:val="auto"/>
                <w:sz w:val="20"/>
                <w:szCs w:val="20"/>
              </w:rPr>
              <w:t>Annual Revenues</w:t>
            </w:r>
          </w:p>
        </w:tc>
        <w:tc>
          <w:tcPr>
            <w:tcW w:w="0" w:type="auto"/>
            <w:tcBorders>
              <w:top w:val="single" w:sz="18" w:space="0" w:color="63666A"/>
            </w:tcBorders>
            <w:shd w:val="clear" w:color="auto" w:fill="FFFFFF"/>
            <w:vAlign w:val="center"/>
            <w:hideMark/>
          </w:tcPr>
          <w:p w14:paraId="6E965774" w14:textId="77777777" w:rsidR="00D93F9E" w:rsidRPr="009546BD" w:rsidRDefault="00D93F9E" w:rsidP="00882C75">
            <w:pPr>
              <w:keepNext/>
              <w:spacing w:before="120" w:after="120" w:line="240" w:lineRule="atLeast"/>
              <w:textAlignment w:val="top"/>
              <w:rPr>
                <w:rFonts w:cs="Arial"/>
                <w:b/>
                <w:bCs/>
                <w:color w:val="auto"/>
                <w:sz w:val="20"/>
                <w:szCs w:val="20"/>
              </w:rPr>
            </w:pPr>
            <w:r w:rsidRPr="009546BD">
              <w:rPr>
                <w:rFonts w:cs="Arial"/>
                <w:b/>
                <w:bCs/>
                <w:color w:val="auto"/>
                <w:sz w:val="20"/>
                <w:szCs w:val="20"/>
              </w:rPr>
              <w:t>SOX Section 404(b)</w:t>
            </w:r>
          </w:p>
        </w:tc>
      </w:tr>
      <w:tr w:rsidR="009546BD" w:rsidRPr="009546BD" w14:paraId="111AFD6F" w14:textId="77777777" w:rsidTr="00D93F9E">
        <w:tc>
          <w:tcPr>
            <w:tcW w:w="0" w:type="auto"/>
            <w:vMerge w:val="restart"/>
            <w:shd w:val="clear" w:color="auto" w:fill="FFFFFF"/>
            <w:vAlign w:val="center"/>
            <w:hideMark/>
          </w:tcPr>
          <w:p w14:paraId="2EBEFB24" w14:textId="77777777" w:rsidR="00D93F9E" w:rsidRPr="009546BD" w:rsidRDefault="00D93F9E" w:rsidP="00882C75">
            <w:pPr>
              <w:keepNext/>
              <w:spacing w:before="120" w:after="120" w:line="240" w:lineRule="atLeast"/>
              <w:textAlignment w:val="top"/>
              <w:rPr>
                <w:rFonts w:cs="Arial"/>
                <w:color w:val="auto"/>
                <w:sz w:val="20"/>
                <w:szCs w:val="20"/>
              </w:rPr>
            </w:pPr>
            <w:r w:rsidRPr="009546BD">
              <w:rPr>
                <w:rFonts w:cs="Arial"/>
                <w:color w:val="auto"/>
                <w:sz w:val="20"/>
                <w:szCs w:val="20"/>
              </w:rPr>
              <w:t>SRC and nonaccelerated filer</w:t>
            </w:r>
          </w:p>
        </w:tc>
        <w:tc>
          <w:tcPr>
            <w:tcW w:w="0" w:type="auto"/>
            <w:shd w:val="clear" w:color="auto" w:fill="FFFFFF"/>
            <w:vAlign w:val="center"/>
            <w:hideMark/>
          </w:tcPr>
          <w:p w14:paraId="6FB551F7" w14:textId="77777777" w:rsidR="00D93F9E" w:rsidRPr="009546BD" w:rsidRDefault="00D93F9E" w:rsidP="00882C75">
            <w:pPr>
              <w:keepNext/>
              <w:spacing w:before="120" w:after="120" w:line="240" w:lineRule="atLeast"/>
              <w:textAlignment w:val="top"/>
              <w:rPr>
                <w:rFonts w:cs="Arial"/>
                <w:color w:val="auto"/>
                <w:sz w:val="20"/>
                <w:szCs w:val="20"/>
              </w:rPr>
            </w:pPr>
            <w:r w:rsidRPr="009546BD">
              <w:rPr>
                <w:rFonts w:cs="Arial"/>
                <w:color w:val="auto"/>
                <w:sz w:val="20"/>
                <w:szCs w:val="20"/>
              </w:rPr>
              <w:t>Less than $75 million</w:t>
            </w:r>
          </w:p>
        </w:tc>
        <w:tc>
          <w:tcPr>
            <w:tcW w:w="0" w:type="auto"/>
            <w:shd w:val="clear" w:color="auto" w:fill="FFFFFF"/>
            <w:vAlign w:val="center"/>
            <w:hideMark/>
          </w:tcPr>
          <w:p w14:paraId="1A167249" w14:textId="77777777" w:rsidR="00D93F9E" w:rsidRPr="009546BD" w:rsidRDefault="00D93F9E" w:rsidP="00882C75">
            <w:pPr>
              <w:keepNext/>
              <w:spacing w:before="120" w:after="120" w:line="240" w:lineRule="atLeast"/>
              <w:textAlignment w:val="top"/>
              <w:rPr>
                <w:rFonts w:cs="Arial"/>
                <w:color w:val="auto"/>
                <w:sz w:val="20"/>
                <w:szCs w:val="20"/>
              </w:rPr>
            </w:pPr>
            <w:r w:rsidRPr="009546BD">
              <w:rPr>
                <w:rFonts w:cs="Arial"/>
                <w:color w:val="auto"/>
                <w:sz w:val="20"/>
                <w:szCs w:val="20"/>
              </w:rPr>
              <w:t>No limit</w:t>
            </w:r>
          </w:p>
        </w:tc>
        <w:tc>
          <w:tcPr>
            <w:tcW w:w="0" w:type="auto"/>
            <w:shd w:val="clear" w:color="auto" w:fill="FFFFFF"/>
            <w:vAlign w:val="center"/>
            <w:hideMark/>
          </w:tcPr>
          <w:p w14:paraId="6A2B103E" w14:textId="77777777" w:rsidR="00D93F9E" w:rsidRPr="009546BD" w:rsidRDefault="00D93F9E" w:rsidP="00882C75">
            <w:pPr>
              <w:keepNext/>
              <w:spacing w:before="120" w:after="120" w:line="240" w:lineRule="atLeast"/>
              <w:textAlignment w:val="top"/>
              <w:rPr>
                <w:rFonts w:cs="Arial"/>
                <w:color w:val="auto"/>
                <w:sz w:val="20"/>
                <w:szCs w:val="20"/>
              </w:rPr>
            </w:pPr>
            <w:r w:rsidRPr="009546BD">
              <w:rPr>
                <w:rFonts w:cs="Arial"/>
                <w:color w:val="auto"/>
                <w:sz w:val="20"/>
                <w:szCs w:val="20"/>
              </w:rPr>
              <w:t>No</w:t>
            </w:r>
          </w:p>
        </w:tc>
      </w:tr>
      <w:tr w:rsidR="009546BD" w:rsidRPr="009546BD" w14:paraId="6B52FAA6" w14:textId="77777777" w:rsidTr="00D93F9E">
        <w:tc>
          <w:tcPr>
            <w:tcW w:w="0" w:type="auto"/>
            <w:vMerge/>
            <w:shd w:val="clear" w:color="auto" w:fill="FFFFFF"/>
            <w:vAlign w:val="center"/>
            <w:hideMark/>
          </w:tcPr>
          <w:p w14:paraId="537935CF" w14:textId="77777777" w:rsidR="00D93F9E" w:rsidRPr="009546BD" w:rsidRDefault="00D93F9E" w:rsidP="00425921">
            <w:pPr>
              <w:spacing w:before="120" w:after="120" w:line="240" w:lineRule="atLeast"/>
              <w:rPr>
                <w:rFonts w:cs="Arial"/>
                <w:color w:val="auto"/>
                <w:sz w:val="20"/>
                <w:szCs w:val="20"/>
              </w:rPr>
            </w:pPr>
          </w:p>
        </w:tc>
        <w:tc>
          <w:tcPr>
            <w:tcW w:w="0" w:type="auto"/>
            <w:shd w:val="clear" w:color="auto" w:fill="FFFFFF"/>
            <w:vAlign w:val="center"/>
            <w:hideMark/>
          </w:tcPr>
          <w:p w14:paraId="6C121FA9" w14:textId="77777777" w:rsidR="00D93F9E" w:rsidRPr="009546BD" w:rsidRDefault="00D93F9E" w:rsidP="00425921">
            <w:pPr>
              <w:spacing w:before="120" w:after="120" w:line="240" w:lineRule="atLeast"/>
              <w:textAlignment w:val="top"/>
              <w:rPr>
                <w:rFonts w:cs="Arial"/>
                <w:color w:val="auto"/>
                <w:sz w:val="20"/>
                <w:szCs w:val="20"/>
              </w:rPr>
            </w:pPr>
            <w:r w:rsidRPr="009546BD">
              <w:rPr>
                <w:rFonts w:cs="Arial"/>
                <w:color w:val="auto"/>
                <w:sz w:val="20"/>
                <w:szCs w:val="20"/>
              </w:rPr>
              <w:t>$75 million to less than $700 million</w:t>
            </w:r>
          </w:p>
        </w:tc>
        <w:tc>
          <w:tcPr>
            <w:tcW w:w="0" w:type="auto"/>
            <w:shd w:val="clear" w:color="auto" w:fill="FFFFFF"/>
            <w:vAlign w:val="center"/>
            <w:hideMark/>
          </w:tcPr>
          <w:p w14:paraId="0E5591F4" w14:textId="77777777" w:rsidR="00D93F9E" w:rsidRPr="009546BD" w:rsidRDefault="00D93F9E" w:rsidP="00425921">
            <w:pPr>
              <w:spacing w:before="120" w:after="120" w:line="240" w:lineRule="atLeast"/>
              <w:textAlignment w:val="top"/>
              <w:rPr>
                <w:rFonts w:cs="Arial"/>
                <w:color w:val="auto"/>
                <w:sz w:val="20"/>
                <w:szCs w:val="20"/>
              </w:rPr>
            </w:pPr>
            <w:r w:rsidRPr="009546BD">
              <w:rPr>
                <w:rFonts w:cs="Arial"/>
                <w:color w:val="auto"/>
                <w:sz w:val="20"/>
                <w:szCs w:val="20"/>
              </w:rPr>
              <w:t>Less than $100 million</w:t>
            </w:r>
          </w:p>
        </w:tc>
        <w:tc>
          <w:tcPr>
            <w:tcW w:w="0" w:type="auto"/>
            <w:shd w:val="clear" w:color="auto" w:fill="FFFFFF"/>
            <w:vAlign w:val="center"/>
            <w:hideMark/>
          </w:tcPr>
          <w:p w14:paraId="03CD055A" w14:textId="77777777" w:rsidR="00D93F9E" w:rsidRPr="009546BD" w:rsidRDefault="00D93F9E" w:rsidP="00425921">
            <w:pPr>
              <w:spacing w:before="120" w:after="120" w:line="240" w:lineRule="atLeast"/>
              <w:textAlignment w:val="top"/>
              <w:rPr>
                <w:rFonts w:cs="Arial"/>
                <w:color w:val="auto"/>
                <w:sz w:val="20"/>
                <w:szCs w:val="20"/>
              </w:rPr>
            </w:pPr>
            <w:r w:rsidRPr="009546BD">
              <w:rPr>
                <w:rFonts w:cs="Arial"/>
                <w:color w:val="auto"/>
                <w:sz w:val="20"/>
                <w:szCs w:val="20"/>
              </w:rPr>
              <w:t>No</w:t>
            </w:r>
          </w:p>
        </w:tc>
      </w:tr>
      <w:tr w:rsidR="009546BD" w:rsidRPr="009546BD" w14:paraId="0E83EE16" w14:textId="77777777" w:rsidTr="00D93F9E">
        <w:tc>
          <w:tcPr>
            <w:tcW w:w="0" w:type="auto"/>
            <w:shd w:val="clear" w:color="auto" w:fill="FFFFFF"/>
            <w:vAlign w:val="center"/>
            <w:hideMark/>
          </w:tcPr>
          <w:p w14:paraId="6966B1E8" w14:textId="77777777" w:rsidR="00D93F9E" w:rsidRPr="009546BD" w:rsidRDefault="00D93F9E" w:rsidP="00425921">
            <w:pPr>
              <w:spacing w:before="120" w:after="120" w:line="240" w:lineRule="atLeast"/>
              <w:textAlignment w:val="top"/>
              <w:rPr>
                <w:rFonts w:cs="Arial"/>
                <w:color w:val="auto"/>
                <w:sz w:val="20"/>
                <w:szCs w:val="20"/>
              </w:rPr>
            </w:pPr>
            <w:r w:rsidRPr="009546BD">
              <w:rPr>
                <w:rFonts w:cs="Arial"/>
                <w:color w:val="auto"/>
                <w:sz w:val="20"/>
                <w:szCs w:val="20"/>
              </w:rPr>
              <w:t>SRC and accelerated filer</w:t>
            </w:r>
          </w:p>
        </w:tc>
        <w:tc>
          <w:tcPr>
            <w:tcW w:w="0" w:type="auto"/>
            <w:shd w:val="clear" w:color="auto" w:fill="FFFFFF"/>
            <w:vAlign w:val="center"/>
            <w:hideMark/>
          </w:tcPr>
          <w:p w14:paraId="23C3F803" w14:textId="77777777" w:rsidR="00D93F9E" w:rsidRPr="009546BD" w:rsidRDefault="00D93F9E" w:rsidP="00425921">
            <w:pPr>
              <w:spacing w:before="120" w:after="120" w:line="240" w:lineRule="atLeast"/>
              <w:textAlignment w:val="top"/>
              <w:rPr>
                <w:rFonts w:cs="Arial"/>
                <w:color w:val="auto"/>
                <w:sz w:val="20"/>
                <w:szCs w:val="20"/>
              </w:rPr>
            </w:pPr>
            <w:r w:rsidRPr="009546BD">
              <w:rPr>
                <w:rFonts w:cs="Arial"/>
                <w:color w:val="auto"/>
                <w:sz w:val="20"/>
                <w:szCs w:val="20"/>
              </w:rPr>
              <w:t>$75 million to less than $250 million</w:t>
            </w:r>
          </w:p>
        </w:tc>
        <w:tc>
          <w:tcPr>
            <w:tcW w:w="0" w:type="auto"/>
            <w:shd w:val="clear" w:color="auto" w:fill="FFFFFF"/>
            <w:vAlign w:val="center"/>
            <w:hideMark/>
          </w:tcPr>
          <w:p w14:paraId="300E3FB1" w14:textId="77777777" w:rsidR="00D93F9E" w:rsidRPr="009546BD" w:rsidRDefault="00D93F9E" w:rsidP="00425921">
            <w:pPr>
              <w:spacing w:before="120" w:after="120" w:line="240" w:lineRule="atLeast"/>
              <w:textAlignment w:val="top"/>
              <w:rPr>
                <w:rFonts w:cs="Arial"/>
                <w:color w:val="auto"/>
                <w:sz w:val="20"/>
                <w:szCs w:val="20"/>
              </w:rPr>
            </w:pPr>
            <w:r w:rsidRPr="009546BD">
              <w:rPr>
                <w:rFonts w:cs="Arial"/>
                <w:color w:val="auto"/>
                <w:sz w:val="20"/>
                <w:szCs w:val="20"/>
              </w:rPr>
              <w:t>$100 million or more</w:t>
            </w:r>
          </w:p>
        </w:tc>
        <w:tc>
          <w:tcPr>
            <w:tcW w:w="0" w:type="auto"/>
            <w:shd w:val="clear" w:color="auto" w:fill="FFFFFF"/>
            <w:vAlign w:val="center"/>
            <w:hideMark/>
          </w:tcPr>
          <w:p w14:paraId="2DAE3069" w14:textId="77777777" w:rsidR="00D93F9E" w:rsidRPr="009546BD" w:rsidRDefault="00D93F9E" w:rsidP="00425921">
            <w:pPr>
              <w:spacing w:before="120" w:after="120" w:line="240" w:lineRule="atLeast"/>
              <w:textAlignment w:val="top"/>
              <w:rPr>
                <w:rFonts w:cs="Arial"/>
                <w:color w:val="auto"/>
                <w:sz w:val="20"/>
                <w:szCs w:val="20"/>
              </w:rPr>
            </w:pPr>
            <w:r w:rsidRPr="009546BD">
              <w:rPr>
                <w:rFonts w:cs="Arial"/>
                <w:color w:val="auto"/>
                <w:sz w:val="20"/>
                <w:szCs w:val="20"/>
              </w:rPr>
              <w:t>Yes</w:t>
            </w:r>
          </w:p>
        </w:tc>
      </w:tr>
    </w:tbl>
    <w:p w14:paraId="5C8E4FDC" w14:textId="6C166EF1" w:rsidR="003E7542" w:rsidRPr="00816B89" w:rsidRDefault="003E7542" w:rsidP="00425921">
      <w:pPr>
        <w:pStyle w:val="Default"/>
        <w:keepNext/>
        <w:spacing w:before="240" w:after="240" w:line="240" w:lineRule="atLeast"/>
        <w:rPr>
          <w:rFonts w:ascii="Calibri Light" w:hAnsi="Calibri Light"/>
          <w:b/>
          <w:bCs/>
          <w:iCs/>
          <w:sz w:val="28"/>
          <w:szCs w:val="28"/>
        </w:rPr>
      </w:pPr>
      <w:r w:rsidRPr="00816B89">
        <w:rPr>
          <w:rFonts w:ascii="Calibri Light" w:hAnsi="Calibri Light"/>
          <w:sz w:val="22"/>
          <w:szCs w:val="22"/>
        </w:rPr>
        <w:t>The following table shows the differences in a</w:t>
      </w:r>
      <w:r w:rsidR="00D63C91" w:rsidRPr="00816B89">
        <w:rPr>
          <w:rFonts w:ascii="Calibri Light" w:hAnsi="Calibri Light"/>
          <w:sz w:val="22"/>
          <w:szCs w:val="22"/>
        </w:rPr>
        <w:t>n</w:t>
      </w:r>
      <w:r w:rsidRPr="00816B89">
        <w:rPr>
          <w:rFonts w:ascii="Calibri Light" w:hAnsi="Calibri Light"/>
          <w:sz w:val="22"/>
          <w:szCs w:val="22"/>
        </w:rPr>
        <w:t xml:space="preserve"> SRC compared to a non-SRC</w:t>
      </w:r>
      <w:r w:rsidR="00D63C91" w:rsidRPr="00816B89">
        <w:rPr>
          <w:rFonts w:ascii="Calibri Light" w:hAnsi="Calibri Light"/>
          <w:sz w:val="22"/>
          <w:szCs w:val="22"/>
        </w:rPr>
        <w:t>.</w:t>
      </w:r>
      <w:r w:rsidRPr="00816B89">
        <w:rPr>
          <w:rFonts w:ascii="Calibri Light" w:hAnsi="Calibri Light"/>
          <w:sz w:val="22"/>
          <w:szCs w:val="22"/>
        </w:rPr>
        <w:t xml:space="preserve"> </w:t>
      </w:r>
      <w:bookmarkEnd w:id="6"/>
    </w:p>
    <w:tbl>
      <w:tblPr>
        <w:tblW w:w="9135" w:type="dxa"/>
        <w:tblInd w:w="-108" w:type="dxa"/>
        <w:tblBorders>
          <w:insideH w:val="single" w:sz="4" w:space="0" w:color="auto"/>
        </w:tblBorders>
        <w:tblLayout w:type="fixed"/>
        <w:tblLook w:val="0000" w:firstRow="0" w:lastRow="0" w:firstColumn="0" w:lastColumn="0" w:noHBand="0" w:noVBand="0"/>
      </w:tblPr>
      <w:tblGrid>
        <w:gridCol w:w="2195"/>
        <w:gridCol w:w="49"/>
        <w:gridCol w:w="8"/>
        <w:gridCol w:w="6"/>
        <w:gridCol w:w="2232"/>
        <w:gridCol w:w="20"/>
        <w:gridCol w:w="7"/>
        <w:gridCol w:w="2431"/>
        <w:gridCol w:w="2147"/>
        <w:gridCol w:w="13"/>
        <w:gridCol w:w="27"/>
      </w:tblGrid>
      <w:tr w:rsidR="0002409C" w:rsidRPr="000931C6" w14:paraId="73A7D92A" w14:textId="77777777" w:rsidTr="00882C75">
        <w:trPr>
          <w:gridAfter w:val="2"/>
          <w:wAfter w:w="40" w:type="dxa"/>
          <w:trHeight w:val="90"/>
        </w:trPr>
        <w:tc>
          <w:tcPr>
            <w:tcW w:w="2258" w:type="dxa"/>
            <w:gridSpan w:val="4"/>
            <w:tcBorders>
              <w:top w:val="single" w:sz="18" w:space="0" w:color="63666A"/>
            </w:tcBorders>
          </w:tcPr>
          <w:p w14:paraId="3D191C17" w14:textId="77777777" w:rsidR="003E7542" w:rsidRPr="000931C6" w:rsidRDefault="003E7542" w:rsidP="000931C6">
            <w:pPr>
              <w:autoSpaceDE w:val="0"/>
              <w:autoSpaceDN w:val="0"/>
              <w:adjustRightInd w:val="0"/>
              <w:spacing w:before="120" w:after="120" w:line="240" w:lineRule="atLeast"/>
              <w:rPr>
                <w:rFonts w:cs="Calibri Light"/>
                <w:sz w:val="20"/>
                <w:szCs w:val="20"/>
              </w:rPr>
            </w:pPr>
            <w:bookmarkStart w:id="7" w:name="_Hlk532570028"/>
            <w:r w:rsidRPr="000931C6">
              <w:rPr>
                <w:rFonts w:cs="Calibri Light"/>
                <w:b/>
                <w:bCs/>
                <w:sz w:val="20"/>
                <w:szCs w:val="20"/>
              </w:rPr>
              <w:t xml:space="preserve">Form Item </w:t>
            </w:r>
          </w:p>
        </w:tc>
        <w:tc>
          <w:tcPr>
            <w:tcW w:w="2259" w:type="dxa"/>
            <w:gridSpan w:val="3"/>
            <w:tcBorders>
              <w:top w:val="single" w:sz="18" w:space="0" w:color="63666A"/>
            </w:tcBorders>
          </w:tcPr>
          <w:p w14:paraId="0757623F"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b/>
                <w:bCs/>
                <w:sz w:val="20"/>
                <w:szCs w:val="20"/>
              </w:rPr>
              <w:t xml:space="preserve">Form 10-K instructions </w:t>
            </w:r>
          </w:p>
        </w:tc>
        <w:tc>
          <w:tcPr>
            <w:tcW w:w="2431" w:type="dxa"/>
            <w:tcBorders>
              <w:top w:val="single" w:sz="18" w:space="0" w:color="63666A"/>
            </w:tcBorders>
          </w:tcPr>
          <w:p w14:paraId="3E60ADBB"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b/>
                <w:bCs/>
                <w:sz w:val="20"/>
                <w:szCs w:val="20"/>
              </w:rPr>
              <w:t xml:space="preserve">Disclosure requirement </w:t>
            </w:r>
          </w:p>
        </w:tc>
        <w:tc>
          <w:tcPr>
            <w:tcW w:w="2147" w:type="dxa"/>
            <w:tcBorders>
              <w:top w:val="single" w:sz="18" w:space="0" w:color="63666A"/>
            </w:tcBorders>
          </w:tcPr>
          <w:p w14:paraId="1DF5A42B"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b/>
                <w:bCs/>
                <w:sz w:val="20"/>
                <w:szCs w:val="20"/>
              </w:rPr>
              <w:t xml:space="preserve">Scaling for SRCs </w:t>
            </w:r>
          </w:p>
        </w:tc>
      </w:tr>
      <w:tr w:rsidR="003E7542" w:rsidRPr="000931C6" w14:paraId="6C8C5FDB" w14:textId="77777777" w:rsidTr="00882C75">
        <w:trPr>
          <w:trHeight w:val="90"/>
        </w:trPr>
        <w:tc>
          <w:tcPr>
            <w:tcW w:w="9134" w:type="dxa"/>
            <w:gridSpan w:val="11"/>
          </w:tcPr>
          <w:p w14:paraId="09430E68"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b/>
                <w:bCs/>
                <w:sz w:val="20"/>
                <w:szCs w:val="20"/>
              </w:rPr>
              <w:t xml:space="preserve">Part I </w:t>
            </w:r>
          </w:p>
        </w:tc>
      </w:tr>
      <w:tr w:rsidR="0002409C" w:rsidRPr="000931C6" w14:paraId="3BEB603A" w14:textId="77777777" w:rsidTr="00015D98">
        <w:trPr>
          <w:gridAfter w:val="2"/>
          <w:wAfter w:w="40" w:type="dxa"/>
          <w:trHeight w:val="90"/>
        </w:trPr>
        <w:tc>
          <w:tcPr>
            <w:tcW w:w="2258" w:type="dxa"/>
            <w:gridSpan w:val="4"/>
            <w:tcBorders>
              <w:bottom w:val="single" w:sz="4" w:space="0" w:color="auto"/>
            </w:tcBorders>
          </w:tcPr>
          <w:p w14:paraId="6046379D"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1 </w:t>
            </w:r>
          </w:p>
        </w:tc>
        <w:tc>
          <w:tcPr>
            <w:tcW w:w="2259" w:type="dxa"/>
            <w:gridSpan w:val="3"/>
            <w:tcBorders>
              <w:bottom w:val="single" w:sz="4" w:space="0" w:color="auto"/>
            </w:tcBorders>
          </w:tcPr>
          <w:p w14:paraId="00D060F9"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Business </w:t>
            </w:r>
          </w:p>
        </w:tc>
        <w:tc>
          <w:tcPr>
            <w:tcW w:w="2431" w:type="dxa"/>
            <w:tcBorders>
              <w:bottom w:val="single" w:sz="4" w:space="0" w:color="auto"/>
            </w:tcBorders>
          </w:tcPr>
          <w:p w14:paraId="5524E940"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S-K Item 101 </w:t>
            </w:r>
          </w:p>
        </w:tc>
        <w:tc>
          <w:tcPr>
            <w:tcW w:w="2147" w:type="dxa"/>
            <w:tcBorders>
              <w:bottom w:val="single" w:sz="4" w:space="0" w:color="auto"/>
            </w:tcBorders>
          </w:tcPr>
          <w:p w14:paraId="04153052"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Scaled </w:t>
            </w:r>
          </w:p>
        </w:tc>
      </w:tr>
      <w:tr w:rsidR="0002409C" w:rsidRPr="000931C6" w14:paraId="0D449351" w14:textId="77777777" w:rsidTr="00015D98">
        <w:trPr>
          <w:gridAfter w:val="2"/>
          <w:wAfter w:w="40" w:type="dxa"/>
          <w:trHeight w:val="90"/>
        </w:trPr>
        <w:tc>
          <w:tcPr>
            <w:tcW w:w="2258" w:type="dxa"/>
            <w:gridSpan w:val="4"/>
            <w:tcBorders>
              <w:top w:val="single" w:sz="4" w:space="0" w:color="auto"/>
              <w:bottom w:val="single" w:sz="4" w:space="0" w:color="auto"/>
            </w:tcBorders>
          </w:tcPr>
          <w:p w14:paraId="4FD771E1"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1A </w:t>
            </w:r>
          </w:p>
        </w:tc>
        <w:tc>
          <w:tcPr>
            <w:tcW w:w="2259" w:type="dxa"/>
            <w:gridSpan w:val="3"/>
            <w:tcBorders>
              <w:top w:val="single" w:sz="4" w:space="0" w:color="auto"/>
              <w:bottom w:val="single" w:sz="4" w:space="0" w:color="auto"/>
            </w:tcBorders>
          </w:tcPr>
          <w:p w14:paraId="1738924B"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Risk factors </w:t>
            </w:r>
          </w:p>
        </w:tc>
        <w:tc>
          <w:tcPr>
            <w:tcW w:w="2431" w:type="dxa"/>
            <w:tcBorders>
              <w:top w:val="single" w:sz="4" w:space="0" w:color="auto"/>
              <w:bottom w:val="single" w:sz="4" w:space="0" w:color="auto"/>
            </w:tcBorders>
          </w:tcPr>
          <w:p w14:paraId="7050FAA5" w14:textId="3D636336"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S-K Item </w:t>
            </w:r>
            <w:r w:rsidR="001B72E5" w:rsidRPr="000931C6">
              <w:rPr>
                <w:rFonts w:cs="Calibri Light"/>
                <w:sz w:val="20"/>
                <w:szCs w:val="20"/>
              </w:rPr>
              <w:t>105</w:t>
            </w:r>
            <w:r w:rsidRPr="000931C6">
              <w:rPr>
                <w:rFonts w:cs="Calibri Light"/>
                <w:sz w:val="20"/>
                <w:szCs w:val="20"/>
              </w:rPr>
              <w:t xml:space="preserve"> </w:t>
            </w:r>
          </w:p>
        </w:tc>
        <w:tc>
          <w:tcPr>
            <w:tcW w:w="2147" w:type="dxa"/>
            <w:tcBorders>
              <w:top w:val="single" w:sz="4" w:space="0" w:color="auto"/>
              <w:bottom w:val="single" w:sz="4" w:space="0" w:color="auto"/>
            </w:tcBorders>
          </w:tcPr>
          <w:p w14:paraId="6DAC7D01"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Not required </w:t>
            </w:r>
          </w:p>
        </w:tc>
      </w:tr>
      <w:tr w:rsidR="00BC0A48" w:rsidRPr="000931C6" w14:paraId="0F6B42F0" w14:textId="77777777" w:rsidTr="00015D98">
        <w:trPr>
          <w:gridAfter w:val="2"/>
          <w:wAfter w:w="40" w:type="dxa"/>
          <w:trHeight w:val="330"/>
        </w:trPr>
        <w:tc>
          <w:tcPr>
            <w:tcW w:w="2258" w:type="dxa"/>
            <w:gridSpan w:val="4"/>
            <w:tcBorders>
              <w:top w:val="single" w:sz="4" w:space="0" w:color="auto"/>
              <w:bottom w:val="single" w:sz="18" w:space="0" w:color="63666A"/>
            </w:tcBorders>
          </w:tcPr>
          <w:p w14:paraId="1AD438F5" w14:textId="77777777" w:rsidR="003E7542" w:rsidRPr="000931C6" w:rsidRDefault="003E7542" w:rsidP="00015D98">
            <w:pPr>
              <w:keepNext/>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1B </w:t>
            </w:r>
          </w:p>
        </w:tc>
        <w:tc>
          <w:tcPr>
            <w:tcW w:w="2259" w:type="dxa"/>
            <w:gridSpan w:val="3"/>
            <w:tcBorders>
              <w:top w:val="single" w:sz="4" w:space="0" w:color="auto"/>
              <w:bottom w:val="single" w:sz="18" w:space="0" w:color="63666A"/>
            </w:tcBorders>
          </w:tcPr>
          <w:p w14:paraId="5A99E120" w14:textId="77777777" w:rsidR="003E7542" w:rsidRPr="000931C6" w:rsidRDefault="003E7542" w:rsidP="00015D98">
            <w:pPr>
              <w:keepNext/>
              <w:autoSpaceDE w:val="0"/>
              <w:autoSpaceDN w:val="0"/>
              <w:adjustRightInd w:val="0"/>
              <w:spacing w:before="120" w:after="120" w:line="240" w:lineRule="atLeast"/>
              <w:rPr>
                <w:rFonts w:cs="Calibri Light"/>
                <w:sz w:val="20"/>
                <w:szCs w:val="20"/>
              </w:rPr>
            </w:pPr>
            <w:r w:rsidRPr="000931C6">
              <w:rPr>
                <w:rFonts w:cs="Calibri Light"/>
                <w:sz w:val="20"/>
                <w:szCs w:val="20"/>
              </w:rPr>
              <w:t xml:space="preserve">Unresolved staff comments </w:t>
            </w:r>
          </w:p>
        </w:tc>
        <w:tc>
          <w:tcPr>
            <w:tcW w:w="2431" w:type="dxa"/>
            <w:tcBorders>
              <w:top w:val="single" w:sz="4" w:space="0" w:color="auto"/>
              <w:bottom w:val="single" w:sz="18" w:space="0" w:color="63666A"/>
            </w:tcBorders>
          </w:tcPr>
          <w:p w14:paraId="5C5E6576" w14:textId="77777777" w:rsidR="003E7542" w:rsidRPr="000931C6" w:rsidRDefault="003E7542" w:rsidP="00015D98">
            <w:pPr>
              <w:keepNext/>
              <w:autoSpaceDE w:val="0"/>
              <w:autoSpaceDN w:val="0"/>
              <w:adjustRightInd w:val="0"/>
              <w:spacing w:before="120" w:after="120" w:line="240" w:lineRule="atLeast"/>
              <w:rPr>
                <w:rFonts w:cs="Calibri Light"/>
                <w:sz w:val="20"/>
                <w:szCs w:val="20"/>
              </w:rPr>
            </w:pPr>
            <w:r w:rsidRPr="000931C6">
              <w:rPr>
                <w:rFonts w:cs="Calibri Light"/>
                <w:sz w:val="20"/>
                <w:szCs w:val="20"/>
              </w:rPr>
              <w:t xml:space="preserve">Material unresolved SEC staff comment letters received more than 180 days before the fiscal year end </w:t>
            </w:r>
          </w:p>
        </w:tc>
        <w:tc>
          <w:tcPr>
            <w:tcW w:w="2147" w:type="dxa"/>
            <w:tcBorders>
              <w:top w:val="single" w:sz="4" w:space="0" w:color="auto"/>
            </w:tcBorders>
          </w:tcPr>
          <w:p w14:paraId="2C673BBB" w14:textId="77777777" w:rsidR="003E7542" w:rsidRPr="000931C6" w:rsidRDefault="003E7542" w:rsidP="00015D98">
            <w:pPr>
              <w:keepNext/>
              <w:autoSpaceDE w:val="0"/>
              <w:autoSpaceDN w:val="0"/>
              <w:adjustRightInd w:val="0"/>
              <w:spacing w:before="120" w:after="120" w:line="240" w:lineRule="atLeast"/>
              <w:rPr>
                <w:rFonts w:cs="Calibri Light"/>
                <w:sz w:val="20"/>
                <w:szCs w:val="20"/>
              </w:rPr>
            </w:pPr>
            <w:r w:rsidRPr="000931C6">
              <w:rPr>
                <w:rFonts w:cs="Calibri Light"/>
                <w:sz w:val="20"/>
                <w:szCs w:val="20"/>
              </w:rPr>
              <w:t xml:space="preserve">Required if SRC is accelerated filer </w:t>
            </w:r>
          </w:p>
        </w:tc>
      </w:tr>
      <w:tr w:rsidR="003414E6" w:rsidRPr="000931C6" w14:paraId="0A5B991D" w14:textId="77777777" w:rsidTr="00882C75">
        <w:trPr>
          <w:trHeight w:val="90"/>
        </w:trPr>
        <w:tc>
          <w:tcPr>
            <w:tcW w:w="9134" w:type="dxa"/>
            <w:gridSpan w:val="11"/>
            <w:tcBorders>
              <w:top w:val="single" w:sz="18" w:space="0" w:color="63666A"/>
            </w:tcBorders>
          </w:tcPr>
          <w:p w14:paraId="2924F870"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b/>
                <w:bCs/>
                <w:sz w:val="20"/>
                <w:szCs w:val="20"/>
              </w:rPr>
              <w:t xml:space="preserve">Part II </w:t>
            </w:r>
          </w:p>
        </w:tc>
      </w:tr>
      <w:tr w:rsidR="003E7542" w:rsidRPr="000931C6" w14:paraId="25D7B726" w14:textId="77777777" w:rsidTr="00882C75">
        <w:trPr>
          <w:gridAfter w:val="1"/>
          <w:wAfter w:w="27" w:type="dxa"/>
          <w:trHeight w:val="470"/>
        </w:trPr>
        <w:tc>
          <w:tcPr>
            <w:tcW w:w="2252" w:type="dxa"/>
            <w:gridSpan w:val="3"/>
          </w:tcPr>
          <w:p w14:paraId="770D9864"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5 </w:t>
            </w:r>
          </w:p>
        </w:tc>
        <w:tc>
          <w:tcPr>
            <w:tcW w:w="2258" w:type="dxa"/>
            <w:gridSpan w:val="3"/>
          </w:tcPr>
          <w:p w14:paraId="5F9C30A2"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Market for registrant’s common equity and related stockholder matters </w:t>
            </w:r>
          </w:p>
        </w:tc>
        <w:tc>
          <w:tcPr>
            <w:tcW w:w="2438" w:type="dxa"/>
            <w:gridSpan w:val="2"/>
          </w:tcPr>
          <w:p w14:paraId="2C22A19B" w14:textId="42ACE038"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S-K Item 201 </w:t>
            </w:r>
          </w:p>
        </w:tc>
        <w:tc>
          <w:tcPr>
            <w:tcW w:w="2160" w:type="dxa"/>
            <w:gridSpan w:val="2"/>
          </w:tcPr>
          <w:p w14:paraId="479E7ABE"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Same as non-SRC except stock performance graph in Item 201(e) </w:t>
            </w:r>
          </w:p>
        </w:tc>
      </w:tr>
      <w:tr w:rsidR="003E7542" w:rsidRPr="000931C6" w14:paraId="57A874F9" w14:textId="77777777" w:rsidTr="00882C75">
        <w:trPr>
          <w:gridAfter w:val="1"/>
          <w:wAfter w:w="27" w:type="dxa"/>
          <w:trHeight w:val="470"/>
        </w:trPr>
        <w:tc>
          <w:tcPr>
            <w:tcW w:w="2252" w:type="dxa"/>
            <w:gridSpan w:val="3"/>
          </w:tcPr>
          <w:p w14:paraId="73777A09"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7 </w:t>
            </w:r>
          </w:p>
        </w:tc>
        <w:tc>
          <w:tcPr>
            <w:tcW w:w="2258" w:type="dxa"/>
            <w:gridSpan w:val="3"/>
          </w:tcPr>
          <w:p w14:paraId="4991990A"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Management’s discussion and analysis </w:t>
            </w:r>
          </w:p>
        </w:tc>
        <w:tc>
          <w:tcPr>
            <w:tcW w:w="2438" w:type="dxa"/>
            <w:gridSpan w:val="2"/>
          </w:tcPr>
          <w:p w14:paraId="71A8F284"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S-K Item 303 </w:t>
            </w:r>
          </w:p>
        </w:tc>
        <w:tc>
          <w:tcPr>
            <w:tcW w:w="2160" w:type="dxa"/>
            <w:gridSpan w:val="2"/>
          </w:tcPr>
          <w:p w14:paraId="796CA2A4"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Scaled </w:t>
            </w:r>
          </w:p>
        </w:tc>
      </w:tr>
      <w:tr w:rsidR="003E7542" w:rsidRPr="000931C6" w14:paraId="245F3955" w14:textId="77777777" w:rsidTr="00882C75">
        <w:trPr>
          <w:gridAfter w:val="1"/>
          <w:wAfter w:w="27" w:type="dxa"/>
          <w:trHeight w:val="470"/>
        </w:trPr>
        <w:tc>
          <w:tcPr>
            <w:tcW w:w="2252" w:type="dxa"/>
            <w:gridSpan w:val="3"/>
          </w:tcPr>
          <w:p w14:paraId="749C56FC"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7A </w:t>
            </w:r>
          </w:p>
        </w:tc>
        <w:tc>
          <w:tcPr>
            <w:tcW w:w="2258" w:type="dxa"/>
            <w:gridSpan w:val="3"/>
          </w:tcPr>
          <w:p w14:paraId="2CC1FC48"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Quantitative and qualitative disclosures about market risk </w:t>
            </w:r>
          </w:p>
        </w:tc>
        <w:tc>
          <w:tcPr>
            <w:tcW w:w="2438" w:type="dxa"/>
            <w:gridSpan w:val="2"/>
          </w:tcPr>
          <w:p w14:paraId="28F81E04"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S-K Item 305 </w:t>
            </w:r>
          </w:p>
        </w:tc>
        <w:tc>
          <w:tcPr>
            <w:tcW w:w="2160" w:type="dxa"/>
            <w:gridSpan w:val="2"/>
          </w:tcPr>
          <w:p w14:paraId="51A43A59"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Not required </w:t>
            </w:r>
          </w:p>
        </w:tc>
      </w:tr>
      <w:tr w:rsidR="003E7542" w:rsidRPr="000931C6" w14:paraId="38944438" w14:textId="77777777" w:rsidTr="00882C75">
        <w:trPr>
          <w:gridAfter w:val="1"/>
          <w:wAfter w:w="27" w:type="dxa"/>
          <w:trHeight w:val="470"/>
        </w:trPr>
        <w:tc>
          <w:tcPr>
            <w:tcW w:w="2252" w:type="dxa"/>
            <w:gridSpan w:val="3"/>
          </w:tcPr>
          <w:p w14:paraId="742732EA" w14:textId="41B557F0" w:rsidR="003E7542" w:rsidRPr="000931C6" w:rsidRDefault="00691090" w:rsidP="000931C6">
            <w:pPr>
              <w:autoSpaceDE w:val="0"/>
              <w:autoSpaceDN w:val="0"/>
              <w:adjustRightInd w:val="0"/>
              <w:spacing w:before="120" w:after="120" w:line="240" w:lineRule="atLeast"/>
              <w:rPr>
                <w:rFonts w:cs="Calibri Light"/>
                <w:sz w:val="20"/>
                <w:szCs w:val="20"/>
              </w:rPr>
            </w:pPr>
            <w:r>
              <w:rPr>
                <w:rFonts w:cs="Calibri Light"/>
                <w:sz w:val="20"/>
                <w:szCs w:val="20"/>
              </w:rPr>
              <w:t>Item 8</w:t>
            </w:r>
          </w:p>
          <w:p w14:paraId="3554CF78" w14:textId="77777777" w:rsidR="003E7542" w:rsidRPr="000931C6" w:rsidRDefault="003E7542" w:rsidP="000931C6">
            <w:pPr>
              <w:spacing w:before="120" w:after="120" w:line="240" w:lineRule="atLeast"/>
              <w:rPr>
                <w:rFonts w:cs="Calibri Light"/>
                <w:sz w:val="20"/>
                <w:szCs w:val="20"/>
              </w:rPr>
            </w:pPr>
          </w:p>
          <w:p w14:paraId="6481F1E8" w14:textId="11A7F9C0" w:rsidR="003E7542" w:rsidRPr="000931C6" w:rsidRDefault="003E7542" w:rsidP="000931C6">
            <w:pPr>
              <w:spacing w:before="120" w:after="120" w:line="240" w:lineRule="atLeast"/>
              <w:rPr>
                <w:rFonts w:cs="Calibri Light"/>
                <w:sz w:val="20"/>
                <w:szCs w:val="20"/>
              </w:rPr>
            </w:pPr>
          </w:p>
        </w:tc>
        <w:tc>
          <w:tcPr>
            <w:tcW w:w="2258" w:type="dxa"/>
            <w:gridSpan w:val="3"/>
          </w:tcPr>
          <w:p w14:paraId="1ED92E53"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Financial statements </w:t>
            </w:r>
          </w:p>
          <w:p w14:paraId="57741BD4" w14:textId="77777777" w:rsidR="003E7542" w:rsidRPr="000931C6" w:rsidRDefault="003E7542" w:rsidP="000931C6">
            <w:pPr>
              <w:autoSpaceDE w:val="0"/>
              <w:autoSpaceDN w:val="0"/>
              <w:adjustRightInd w:val="0"/>
              <w:spacing w:before="120" w:after="120" w:line="240" w:lineRule="atLeast"/>
              <w:rPr>
                <w:rFonts w:cs="Calibri Light"/>
                <w:sz w:val="20"/>
                <w:szCs w:val="20"/>
              </w:rPr>
            </w:pPr>
          </w:p>
          <w:p w14:paraId="600E0A29" w14:textId="77777777" w:rsidR="003E7542" w:rsidRPr="000931C6" w:rsidRDefault="003E7542" w:rsidP="000931C6">
            <w:pPr>
              <w:autoSpaceDE w:val="0"/>
              <w:autoSpaceDN w:val="0"/>
              <w:adjustRightInd w:val="0"/>
              <w:spacing w:before="120" w:after="120" w:line="240" w:lineRule="atLeast"/>
              <w:rPr>
                <w:rFonts w:cs="Calibri Light"/>
                <w:sz w:val="20"/>
                <w:szCs w:val="20"/>
              </w:rPr>
            </w:pPr>
          </w:p>
          <w:p w14:paraId="3826F6CD" w14:textId="77777777" w:rsidR="003E7542" w:rsidRPr="000931C6" w:rsidRDefault="003E7542" w:rsidP="000931C6">
            <w:pPr>
              <w:autoSpaceDE w:val="0"/>
              <w:autoSpaceDN w:val="0"/>
              <w:adjustRightInd w:val="0"/>
              <w:spacing w:before="120" w:after="120" w:line="240" w:lineRule="atLeast"/>
              <w:rPr>
                <w:rFonts w:cs="Calibri Light"/>
                <w:sz w:val="20"/>
                <w:szCs w:val="20"/>
              </w:rPr>
            </w:pPr>
          </w:p>
          <w:p w14:paraId="6A97DF0C" w14:textId="77777777" w:rsidR="003E7542" w:rsidRPr="000931C6" w:rsidRDefault="003E7542" w:rsidP="000931C6">
            <w:pPr>
              <w:autoSpaceDE w:val="0"/>
              <w:autoSpaceDN w:val="0"/>
              <w:adjustRightInd w:val="0"/>
              <w:spacing w:before="120" w:after="120" w:line="240" w:lineRule="atLeast"/>
              <w:rPr>
                <w:rFonts w:cs="Calibri Light"/>
                <w:sz w:val="20"/>
                <w:szCs w:val="20"/>
              </w:rPr>
            </w:pPr>
          </w:p>
          <w:p w14:paraId="309010BC" w14:textId="77777777" w:rsidR="003E7542" w:rsidRPr="000931C6" w:rsidRDefault="003E7542" w:rsidP="000931C6">
            <w:pPr>
              <w:autoSpaceDE w:val="0"/>
              <w:autoSpaceDN w:val="0"/>
              <w:adjustRightInd w:val="0"/>
              <w:spacing w:before="120" w:after="120" w:line="240" w:lineRule="atLeast"/>
              <w:rPr>
                <w:rFonts w:cs="Calibri Light"/>
                <w:sz w:val="20"/>
                <w:szCs w:val="20"/>
              </w:rPr>
            </w:pPr>
          </w:p>
          <w:p w14:paraId="0CD2EE9D" w14:textId="34911D72"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Supplementary financial information </w:t>
            </w:r>
          </w:p>
        </w:tc>
        <w:tc>
          <w:tcPr>
            <w:tcW w:w="2438" w:type="dxa"/>
            <w:gridSpan w:val="2"/>
          </w:tcPr>
          <w:p w14:paraId="1318A2F4"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lastRenderedPageBreak/>
              <w:t xml:space="preserve">S-X Rules 3-01 through 3-04 </w:t>
            </w:r>
          </w:p>
          <w:p w14:paraId="33301AAC"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S-X Articles 4 and 5 </w:t>
            </w:r>
          </w:p>
          <w:p w14:paraId="577BFC85"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S-X Article 7 if the registrant is an insurance </w:t>
            </w:r>
            <w:r w:rsidRPr="000931C6">
              <w:rPr>
                <w:rFonts w:cs="Calibri Light"/>
                <w:sz w:val="20"/>
                <w:szCs w:val="20"/>
              </w:rPr>
              <w:lastRenderedPageBreak/>
              <w:t xml:space="preserve">company or Article 9 if it’s a bank holding company </w:t>
            </w:r>
          </w:p>
          <w:p w14:paraId="4A935175"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S-K Item 302 </w:t>
            </w:r>
          </w:p>
        </w:tc>
        <w:tc>
          <w:tcPr>
            <w:tcW w:w="2160" w:type="dxa"/>
            <w:gridSpan w:val="2"/>
          </w:tcPr>
          <w:p w14:paraId="78EE0008" w14:textId="77777777"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lastRenderedPageBreak/>
              <w:t xml:space="preserve">Scaled in Article 8 of Regulation S-X </w:t>
            </w:r>
          </w:p>
          <w:p w14:paraId="00F7945B" w14:textId="77777777" w:rsidR="003E7542" w:rsidRPr="000931C6" w:rsidRDefault="003E7542" w:rsidP="000931C6">
            <w:pPr>
              <w:autoSpaceDE w:val="0"/>
              <w:autoSpaceDN w:val="0"/>
              <w:adjustRightInd w:val="0"/>
              <w:spacing w:before="120" w:after="120" w:line="240" w:lineRule="atLeast"/>
              <w:rPr>
                <w:rFonts w:cs="Calibri Light"/>
                <w:sz w:val="20"/>
                <w:szCs w:val="20"/>
              </w:rPr>
            </w:pPr>
          </w:p>
          <w:p w14:paraId="26FE96C2" w14:textId="77777777" w:rsidR="003E7542" w:rsidRPr="000931C6" w:rsidRDefault="003E7542" w:rsidP="000931C6">
            <w:pPr>
              <w:autoSpaceDE w:val="0"/>
              <w:autoSpaceDN w:val="0"/>
              <w:adjustRightInd w:val="0"/>
              <w:spacing w:before="120" w:after="120" w:line="240" w:lineRule="atLeast"/>
              <w:rPr>
                <w:rFonts w:cs="Calibri Light"/>
                <w:sz w:val="20"/>
                <w:szCs w:val="20"/>
              </w:rPr>
            </w:pPr>
          </w:p>
          <w:p w14:paraId="07101D2D" w14:textId="77777777" w:rsidR="003E7542" w:rsidRPr="000931C6" w:rsidRDefault="003E7542" w:rsidP="000931C6">
            <w:pPr>
              <w:autoSpaceDE w:val="0"/>
              <w:autoSpaceDN w:val="0"/>
              <w:adjustRightInd w:val="0"/>
              <w:spacing w:before="120" w:after="120" w:line="240" w:lineRule="atLeast"/>
              <w:rPr>
                <w:rFonts w:cs="Calibri Light"/>
                <w:sz w:val="20"/>
                <w:szCs w:val="20"/>
              </w:rPr>
            </w:pPr>
          </w:p>
          <w:p w14:paraId="442DD356" w14:textId="77777777" w:rsidR="003E7542" w:rsidRPr="000931C6" w:rsidRDefault="003E7542" w:rsidP="000931C6">
            <w:pPr>
              <w:autoSpaceDE w:val="0"/>
              <w:autoSpaceDN w:val="0"/>
              <w:adjustRightInd w:val="0"/>
              <w:spacing w:before="120" w:after="120" w:line="240" w:lineRule="atLeast"/>
              <w:rPr>
                <w:rFonts w:cs="Calibri Light"/>
                <w:sz w:val="20"/>
                <w:szCs w:val="20"/>
              </w:rPr>
            </w:pPr>
          </w:p>
          <w:p w14:paraId="69BC186C" w14:textId="77777777" w:rsidR="003E7542" w:rsidRPr="000931C6" w:rsidRDefault="003E7542" w:rsidP="000931C6">
            <w:pPr>
              <w:autoSpaceDE w:val="0"/>
              <w:autoSpaceDN w:val="0"/>
              <w:adjustRightInd w:val="0"/>
              <w:spacing w:before="120" w:after="120" w:line="240" w:lineRule="atLeast"/>
              <w:rPr>
                <w:rFonts w:cs="Calibri Light"/>
                <w:sz w:val="20"/>
                <w:szCs w:val="20"/>
              </w:rPr>
            </w:pPr>
          </w:p>
          <w:p w14:paraId="10A8D8DD" w14:textId="0854BC95" w:rsidR="003E7542" w:rsidRPr="000931C6" w:rsidRDefault="003E7542"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Not required</w:t>
            </w:r>
          </w:p>
        </w:tc>
      </w:tr>
      <w:tr w:rsidR="0027127D" w:rsidRPr="000931C6" w14:paraId="7D6D0F54" w14:textId="77777777" w:rsidTr="00882C75">
        <w:trPr>
          <w:trHeight w:val="461"/>
        </w:trPr>
        <w:tc>
          <w:tcPr>
            <w:tcW w:w="2244" w:type="dxa"/>
            <w:gridSpan w:val="2"/>
          </w:tcPr>
          <w:p w14:paraId="6737F2F7"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lastRenderedPageBreak/>
              <w:t xml:space="preserve">Item 9A </w:t>
            </w:r>
          </w:p>
        </w:tc>
        <w:tc>
          <w:tcPr>
            <w:tcW w:w="2246" w:type="dxa"/>
            <w:gridSpan w:val="3"/>
          </w:tcPr>
          <w:p w14:paraId="6870C9E4"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Controls and procedures </w:t>
            </w:r>
          </w:p>
        </w:tc>
        <w:tc>
          <w:tcPr>
            <w:tcW w:w="2458" w:type="dxa"/>
            <w:gridSpan w:val="3"/>
          </w:tcPr>
          <w:p w14:paraId="49FE19B4"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S-K Items 307 and 308 </w:t>
            </w:r>
          </w:p>
        </w:tc>
        <w:tc>
          <w:tcPr>
            <w:tcW w:w="2187" w:type="dxa"/>
            <w:gridSpan w:val="3"/>
          </w:tcPr>
          <w:p w14:paraId="37DEE7BD"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An SRC is required to include an audit report on its ICFR only if it is also an accelerated filer </w:t>
            </w:r>
          </w:p>
        </w:tc>
      </w:tr>
      <w:tr w:rsidR="0027127D" w:rsidRPr="000931C6" w14:paraId="2F4CB497" w14:textId="77777777" w:rsidTr="00882C75">
        <w:trPr>
          <w:trHeight w:val="461"/>
        </w:trPr>
        <w:tc>
          <w:tcPr>
            <w:tcW w:w="2244" w:type="dxa"/>
            <w:gridSpan w:val="2"/>
          </w:tcPr>
          <w:p w14:paraId="4BB578F0"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10 </w:t>
            </w:r>
          </w:p>
        </w:tc>
        <w:tc>
          <w:tcPr>
            <w:tcW w:w="2246" w:type="dxa"/>
            <w:gridSpan w:val="3"/>
          </w:tcPr>
          <w:p w14:paraId="0BED6A74"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Directors, executive officers and corporate governance </w:t>
            </w:r>
          </w:p>
        </w:tc>
        <w:tc>
          <w:tcPr>
            <w:tcW w:w="2458" w:type="dxa"/>
            <w:gridSpan w:val="3"/>
          </w:tcPr>
          <w:p w14:paraId="2E19A0C2"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S-K Items 401, 405, 406 and 407(c)(3), (d)(4) and (d)(5) </w:t>
            </w:r>
          </w:p>
        </w:tc>
        <w:tc>
          <w:tcPr>
            <w:tcW w:w="2187" w:type="dxa"/>
            <w:gridSpan w:val="3"/>
          </w:tcPr>
          <w:p w14:paraId="28390A4B"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Scaled corporate governance disclosures under Item 407 </w:t>
            </w:r>
          </w:p>
        </w:tc>
      </w:tr>
      <w:tr w:rsidR="0027127D" w:rsidRPr="000931C6" w14:paraId="6A4BC7FC" w14:textId="77777777" w:rsidTr="00882C75">
        <w:trPr>
          <w:trHeight w:val="461"/>
        </w:trPr>
        <w:tc>
          <w:tcPr>
            <w:tcW w:w="2244" w:type="dxa"/>
            <w:gridSpan w:val="2"/>
          </w:tcPr>
          <w:p w14:paraId="2CB8DA6D"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11 </w:t>
            </w:r>
          </w:p>
        </w:tc>
        <w:tc>
          <w:tcPr>
            <w:tcW w:w="2246" w:type="dxa"/>
            <w:gridSpan w:val="3"/>
          </w:tcPr>
          <w:p w14:paraId="4AA04BB5"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Executive compensation </w:t>
            </w:r>
          </w:p>
        </w:tc>
        <w:tc>
          <w:tcPr>
            <w:tcW w:w="2458" w:type="dxa"/>
            <w:gridSpan w:val="3"/>
          </w:tcPr>
          <w:p w14:paraId="02853CDE"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S-K Items 402 and 407(e)(4) and (e)(5) </w:t>
            </w:r>
          </w:p>
        </w:tc>
        <w:tc>
          <w:tcPr>
            <w:tcW w:w="2187" w:type="dxa"/>
            <w:gridSpan w:val="3"/>
          </w:tcPr>
          <w:p w14:paraId="4C7CC985"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Scaled executive compensation disclosures under Item 402 </w:t>
            </w:r>
          </w:p>
        </w:tc>
      </w:tr>
      <w:tr w:rsidR="003414E6" w:rsidRPr="000931C6" w14:paraId="3357DFC0" w14:textId="77777777" w:rsidTr="00882C75">
        <w:trPr>
          <w:trHeight w:val="461"/>
        </w:trPr>
        <w:tc>
          <w:tcPr>
            <w:tcW w:w="2244" w:type="dxa"/>
            <w:gridSpan w:val="2"/>
            <w:tcBorders>
              <w:bottom w:val="single" w:sz="18" w:space="0" w:color="63666A"/>
            </w:tcBorders>
          </w:tcPr>
          <w:p w14:paraId="430F12B7"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13 </w:t>
            </w:r>
          </w:p>
        </w:tc>
        <w:tc>
          <w:tcPr>
            <w:tcW w:w="2246" w:type="dxa"/>
            <w:gridSpan w:val="3"/>
            <w:tcBorders>
              <w:bottom w:val="single" w:sz="18" w:space="0" w:color="63666A"/>
            </w:tcBorders>
          </w:tcPr>
          <w:p w14:paraId="344DD890"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Certain relationships and related transactions, and director independence </w:t>
            </w:r>
          </w:p>
        </w:tc>
        <w:tc>
          <w:tcPr>
            <w:tcW w:w="2458" w:type="dxa"/>
            <w:gridSpan w:val="3"/>
            <w:tcBorders>
              <w:bottom w:val="single" w:sz="18" w:space="0" w:color="63666A"/>
            </w:tcBorders>
          </w:tcPr>
          <w:p w14:paraId="2979DD3D" w14:textId="77777777" w:rsidR="0027127D" w:rsidRPr="000931C6" w:rsidRDefault="0027127D" w:rsidP="00882C75">
            <w:pPr>
              <w:autoSpaceDE w:val="0"/>
              <w:autoSpaceDN w:val="0"/>
              <w:adjustRightInd w:val="0"/>
              <w:spacing w:before="120" w:after="120"/>
              <w:rPr>
                <w:rFonts w:cs="Calibri Light"/>
                <w:sz w:val="20"/>
                <w:szCs w:val="20"/>
              </w:rPr>
            </w:pPr>
            <w:r w:rsidRPr="000931C6">
              <w:rPr>
                <w:rFonts w:cs="Calibri Light"/>
                <w:sz w:val="20"/>
                <w:szCs w:val="20"/>
              </w:rPr>
              <w:t xml:space="preserve">S-K Items 407(a) and 404(c) </w:t>
            </w:r>
          </w:p>
          <w:p w14:paraId="4329273B" w14:textId="77777777" w:rsidR="0027127D" w:rsidRPr="000931C6" w:rsidRDefault="0027127D" w:rsidP="00882C75">
            <w:pPr>
              <w:autoSpaceDE w:val="0"/>
              <w:autoSpaceDN w:val="0"/>
              <w:adjustRightInd w:val="0"/>
              <w:spacing w:before="120" w:after="120"/>
              <w:rPr>
                <w:rFonts w:cs="Calibri Light"/>
                <w:sz w:val="20"/>
                <w:szCs w:val="20"/>
              </w:rPr>
            </w:pPr>
            <w:r w:rsidRPr="000931C6">
              <w:rPr>
                <w:rFonts w:cs="Calibri Light"/>
                <w:sz w:val="20"/>
                <w:szCs w:val="20"/>
              </w:rPr>
              <w:t xml:space="preserve">S-K Items 404(a) and (d) </w:t>
            </w:r>
          </w:p>
          <w:p w14:paraId="1CD2D382" w14:textId="79BE37BD" w:rsidR="0027127D" w:rsidRPr="000931C6" w:rsidRDefault="0027127D" w:rsidP="00882C75">
            <w:pPr>
              <w:autoSpaceDE w:val="0"/>
              <w:autoSpaceDN w:val="0"/>
              <w:adjustRightInd w:val="0"/>
              <w:spacing w:before="120" w:after="120"/>
              <w:rPr>
                <w:rFonts w:cs="Calibri Light"/>
                <w:sz w:val="20"/>
                <w:szCs w:val="20"/>
              </w:rPr>
            </w:pPr>
            <w:r w:rsidRPr="000931C6">
              <w:rPr>
                <w:rFonts w:cs="Calibri Light"/>
                <w:sz w:val="20"/>
                <w:szCs w:val="20"/>
              </w:rPr>
              <w:t xml:space="preserve">S-K Item 404(b) </w:t>
            </w:r>
          </w:p>
        </w:tc>
        <w:tc>
          <w:tcPr>
            <w:tcW w:w="2187" w:type="dxa"/>
            <w:gridSpan w:val="3"/>
            <w:tcBorders>
              <w:bottom w:val="single" w:sz="18" w:space="0" w:color="63666A"/>
            </w:tcBorders>
          </w:tcPr>
          <w:p w14:paraId="5F08EA3B" w14:textId="782BAB5D" w:rsidR="0027127D" w:rsidRPr="000931C6" w:rsidRDefault="0027127D" w:rsidP="00882C75">
            <w:pPr>
              <w:autoSpaceDE w:val="0"/>
              <w:autoSpaceDN w:val="0"/>
              <w:adjustRightInd w:val="0"/>
              <w:spacing w:before="120" w:after="120"/>
              <w:rPr>
                <w:rFonts w:cs="Calibri Light"/>
                <w:sz w:val="20"/>
                <w:szCs w:val="20"/>
              </w:rPr>
            </w:pPr>
            <w:r w:rsidRPr="000931C6">
              <w:rPr>
                <w:rFonts w:cs="Calibri Light"/>
                <w:sz w:val="20"/>
                <w:szCs w:val="20"/>
              </w:rPr>
              <w:t>Same as non-SRC</w:t>
            </w:r>
            <w:r w:rsidR="00446E00">
              <w:rPr>
                <w:rFonts w:cs="Calibri Light"/>
                <w:sz w:val="20"/>
                <w:szCs w:val="20"/>
              </w:rPr>
              <w:t>s</w:t>
            </w:r>
            <w:r w:rsidRPr="000931C6">
              <w:rPr>
                <w:rFonts w:cs="Calibri Light"/>
                <w:sz w:val="20"/>
                <w:szCs w:val="20"/>
              </w:rPr>
              <w:t xml:space="preserve"> </w:t>
            </w:r>
          </w:p>
          <w:p w14:paraId="740EC8A0" w14:textId="24857C6A" w:rsidR="0027127D" w:rsidRPr="000931C6" w:rsidRDefault="0027127D" w:rsidP="00882C75">
            <w:pPr>
              <w:autoSpaceDE w:val="0"/>
              <w:autoSpaceDN w:val="0"/>
              <w:adjustRightInd w:val="0"/>
              <w:spacing w:before="120" w:after="120"/>
              <w:rPr>
                <w:rFonts w:cs="Calibri Light"/>
                <w:sz w:val="20"/>
                <w:szCs w:val="20"/>
              </w:rPr>
            </w:pPr>
            <w:r w:rsidRPr="000931C6">
              <w:rPr>
                <w:rFonts w:cs="Calibri Light"/>
                <w:sz w:val="20"/>
                <w:szCs w:val="20"/>
              </w:rPr>
              <w:t xml:space="preserve">Expanded for SRCs </w:t>
            </w:r>
          </w:p>
          <w:p w14:paraId="7633913E" w14:textId="274E601C" w:rsidR="0027127D" w:rsidRPr="000931C6" w:rsidRDefault="0027127D" w:rsidP="00882C75">
            <w:pPr>
              <w:autoSpaceDE w:val="0"/>
              <w:autoSpaceDN w:val="0"/>
              <w:adjustRightInd w:val="0"/>
              <w:spacing w:before="120" w:after="120"/>
              <w:rPr>
                <w:rFonts w:cs="Calibri Light"/>
                <w:sz w:val="20"/>
                <w:szCs w:val="20"/>
              </w:rPr>
            </w:pPr>
            <w:r w:rsidRPr="000931C6">
              <w:rPr>
                <w:rFonts w:cs="Calibri Light"/>
                <w:sz w:val="20"/>
                <w:szCs w:val="20"/>
              </w:rPr>
              <w:t xml:space="preserve">Not required </w:t>
            </w:r>
          </w:p>
        </w:tc>
      </w:tr>
      <w:tr w:rsidR="003414E6" w:rsidRPr="000931C6" w14:paraId="04195E4D" w14:textId="77777777" w:rsidTr="00882C75">
        <w:trPr>
          <w:trHeight w:val="90"/>
        </w:trPr>
        <w:tc>
          <w:tcPr>
            <w:tcW w:w="9134" w:type="dxa"/>
            <w:gridSpan w:val="11"/>
            <w:tcBorders>
              <w:top w:val="single" w:sz="18" w:space="0" w:color="63666A"/>
            </w:tcBorders>
          </w:tcPr>
          <w:p w14:paraId="02C96AF8"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b/>
                <w:bCs/>
                <w:sz w:val="20"/>
                <w:szCs w:val="20"/>
              </w:rPr>
              <w:t xml:space="preserve">Part IV </w:t>
            </w:r>
          </w:p>
        </w:tc>
      </w:tr>
      <w:tr w:rsidR="0027127D" w:rsidRPr="000931C6" w14:paraId="3A91B9EA" w14:textId="77777777" w:rsidTr="00882C75">
        <w:trPr>
          <w:gridAfter w:val="1"/>
          <w:wAfter w:w="27" w:type="dxa"/>
          <w:trHeight w:val="461"/>
        </w:trPr>
        <w:tc>
          <w:tcPr>
            <w:tcW w:w="2195" w:type="dxa"/>
          </w:tcPr>
          <w:p w14:paraId="5C4357E9"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15 </w:t>
            </w:r>
          </w:p>
        </w:tc>
        <w:tc>
          <w:tcPr>
            <w:tcW w:w="2315" w:type="dxa"/>
            <w:gridSpan w:val="5"/>
          </w:tcPr>
          <w:p w14:paraId="1E906F5D"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Exhibits </w:t>
            </w:r>
          </w:p>
          <w:p w14:paraId="260CF24B"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Financial statement schedules </w:t>
            </w:r>
          </w:p>
        </w:tc>
        <w:tc>
          <w:tcPr>
            <w:tcW w:w="2438" w:type="dxa"/>
            <w:gridSpan w:val="2"/>
          </w:tcPr>
          <w:p w14:paraId="5A04A0F5" w14:textId="77777777" w:rsidR="00255EA7" w:rsidRDefault="0027127D" w:rsidP="00882C75">
            <w:pPr>
              <w:autoSpaceDE w:val="0"/>
              <w:autoSpaceDN w:val="0"/>
              <w:adjustRightInd w:val="0"/>
              <w:spacing w:before="120" w:after="120"/>
              <w:rPr>
                <w:rFonts w:cs="Calibri Light"/>
                <w:sz w:val="20"/>
                <w:szCs w:val="20"/>
              </w:rPr>
            </w:pPr>
            <w:r w:rsidRPr="000931C6">
              <w:rPr>
                <w:rFonts w:cs="Calibri Light"/>
                <w:sz w:val="20"/>
                <w:szCs w:val="20"/>
              </w:rPr>
              <w:t xml:space="preserve">S-K Item 601 Exhibits S-X </w:t>
            </w:r>
          </w:p>
          <w:p w14:paraId="59B7E0DD" w14:textId="5C879FA7" w:rsidR="0027127D" w:rsidRPr="000931C6" w:rsidRDefault="0027127D" w:rsidP="00882C75">
            <w:pPr>
              <w:autoSpaceDE w:val="0"/>
              <w:autoSpaceDN w:val="0"/>
              <w:adjustRightInd w:val="0"/>
              <w:spacing w:before="120" w:after="120"/>
              <w:rPr>
                <w:rFonts w:cs="Calibri Light"/>
                <w:sz w:val="20"/>
                <w:szCs w:val="20"/>
              </w:rPr>
            </w:pPr>
            <w:r w:rsidRPr="000931C6">
              <w:rPr>
                <w:rFonts w:cs="Calibri Light"/>
                <w:sz w:val="20"/>
                <w:szCs w:val="20"/>
              </w:rPr>
              <w:t xml:space="preserve">Article 12 Financial Statement Schedules </w:t>
            </w:r>
          </w:p>
        </w:tc>
        <w:tc>
          <w:tcPr>
            <w:tcW w:w="2160" w:type="dxa"/>
            <w:gridSpan w:val="2"/>
          </w:tcPr>
          <w:p w14:paraId="7E3A7245" w14:textId="77777777" w:rsidR="0027127D" w:rsidRPr="000931C6" w:rsidRDefault="0027127D" w:rsidP="00882C75">
            <w:pPr>
              <w:autoSpaceDE w:val="0"/>
              <w:autoSpaceDN w:val="0"/>
              <w:adjustRightInd w:val="0"/>
              <w:spacing w:before="120" w:after="120"/>
              <w:rPr>
                <w:rFonts w:cs="Calibri Light"/>
                <w:sz w:val="20"/>
                <w:szCs w:val="20"/>
              </w:rPr>
            </w:pPr>
            <w:r w:rsidRPr="000931C6">
              <w:rPr>
                <w:rFonts w:cs="Calibri Light"/>
                <w:sz w:val="20"/>
                <w:szCs w:val="20"/>
              </w:rPr>
              <w:t xml:space="preserve">Same as non-SRCs </w:t>
            </w:r>
          </w:p>
          <w:p w14:paraId="233EC82A" w14:textId="77777777" w:rsidR="0027127D" w:rsidRPr="000931C6" w:rsidRDefault="0027127D" w:rsidP="00882C75">
            <w:pPr>
              <w:autoSpaceDE w:val="0"/>
              <w:autoSpaceDN w:val="0"/>
              <w:adjustRightInd w:val="0"/>
              <w:spacing w:before="120" w:after="120"/>
              <w:rPr>
                <w:rFonts w:cs="Calibri Light"/>
                <w:sz w:val="20"/>
                <w:szCs w:val="20"/>
              </w:rPr>
            </w:pPr>
            <w:r w:rsidRPr="000931C6">
              <w:rPr>
                <w:rFonts w:cs="Calibri Light"/>
                <w:sz w:val="20"/>
                <w:szCs w:val="20"/>
              </w:rPr>
              <w:t xml:space="preserve">Not required </w:t>
            </w:r>
          </w:p>
        </w:tc>
      </w:tr>
      <w:tr w:rsidR="0027127D" w:rsidRPr="000931C6" w14:paraId="02B0491B" w14:textId="77777777" w:rsidTr="00882C75">
        <w:trPr>
          <w:gridAfter w:val="1"/>
          <w:wAfter w:w="27" w:type="dxa"/>
          <w:trHeight w:val="90"/>
        </w:trPr>
        <w:tc>
          <w:tcPr>
            <w:tcW w:w="2195" w:type="dxa"/>
          </w:tcPr>
          <w:p w14:paraId="03962ADE"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Item 16 </w:t>
            </w:r>
          </w:p>
        </w:tc>
        <w:tc>
          <w:tcPr>
            <w:tcW w:w="2315" w:type="dxa"/>
            <w:gridSpan w:val="5"/>
          </w:tcPr>
          <w:p w14:paraId="32F7267E"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Form 10-K summary </w:t>
            </w:r>
          </w:p>
        </w:tc>
        <w:tc>
          <w:tcPr>
            <w:tcW w:w="2438" w:type="dxa"/>
            <w:gridSpan w:val="2"/>
          </w:tcPr>
          <w:p w14:paraId="4E8C912E"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Optional </w:t>
            </w:r>
          </w:p>
        </w:tc>
        <w:tc>
          <w:tcPr>
            <w:tcW w:w="2160" w:type="dxa"/>
            <w:gridSpan w:val="2"/>
          </w:tcPr>
          <w:p w14:paraId="01AA70A6" w14:textId="77777777" w:rsidR="0027127D" w:rsidRPr="000931C6" w:rsidRDefault="0027127D" w:rsidP="000931C6">
            <w:pPr>
              <w:autoSpaceDE w:val="0"/>
              <w:autoSpaceDN w:val="0"/>
              <w:adjustRightInd w:val="0"/>
              <w:spacing w:before="120" w:after="120" w:line="240" w:lineRule="atLeast"/>
              <w:rPr>
                <w:rFonts w:cs="Calibri Light"/>
                <w:sz w:val="20"/>
                <w:szCs w:val="20"/>
              </w:rPr>
            </w:pPr>
            <w:r w:rsidRPr="000931C6">
              <w:rPr>
                <w:rFonts w:cs="Calibri Light"/>
                <w:sz w:val="20"/>
                <w:szCs w:val="20"/>
              </w:rPr>
              <w:t xml:space="preserve">Optional </w:t>
            </w:r>
          </w:p>
        </w:tc>
      </w:tr>
    </w:tbl>
    <w:bookmarkEnd w:id="7"/>
    <w:p w14:paraId="5B410A31" w14:textId="69B25B90" w:rsidR="0086275C" w:rsidRPr="000931C6" w:rsidRDefault="00F325C3" w:rsidP="000931C6">
      <w:pPr>
        <w:pStyle w:val="standard"/>
        <w:spacing w:before="240" w:after="240" w:line="240" w:lineRule="atLeast"/>
        <w:rPr>
          <w:b/>
          <w:sz w:val="22"/>
          <w:szCs w:val="22"/>
        </w:rPr>
      </w:pPr>
      <w:r w:rsidRPr="000931C6">
        <w:rPr>
          <w:b/>
          <w:sz w:val="22"/>
          <w:szCs w:val="22"/>
        </w:rPr>
        <w:t xml:space="preserve">NOTE: </w:t>
      </w:r>
      <w:r w:rsidR="0086275C" w:rsidRPr="000931C6">
        <w:rPr>
          <w:b/>
          <w:sz w:val="22"/>
          <w:szCs w:val="22"/>
        </w:rPr>
        <w:t xml:space="preserve">THIS CHECKLIST IS NOT </w:t>
      </w:r>
      <w:r w:rsidR="00C41BCF" w:rsidRPr="000931C6">
        <w:rPr>
          <w:b/>
          <w:sz w:val="22"/>
          <w:szCs w:val="22"/>
        </w:rPr>
        <w:t xml:space="preserve">SPECIFICALLY </w:t>
      </w:r>
      <w:r w:rsidR="0086275C" w:rsidRPr="000931C6">
        <w:rPr>
          <w:b/>
          <w:sz w:val="22"/>
          <w:szCs w:val="22"/>
        </w:rPr>
        <w:t>DESIGNED FOR USE BY SMALLER REPORTING COMPANIES</w:t>
      </w:r>
      <w:r w:rsidR="003053D3" w:rsidRPr="000931C6">
        <w:rPr>
          <w:b/>
          <w:sz w:val="22"/>
          <w:szCs w:val="22"/>
        </w:rPr>
        <w:t>.</w:t>
      </w:r>
    </w:p>
    <w:p w14:paraId="6930D955" w14:textId="1DDD336A" w:rsidR="0086275C" w:rsidRPr="000931C6" w:rsidRDefault="000931C6" w:rsidP="00C44B10">
      <w:pPr>
        <w:pStyle w:val="FormHeading2"/>
      </w:pPr>
      <w:r w:rsidRPr="000931C6">
        <w:t>Emerging Growth Companies</w:t>
      </w:r>
      <w:r w:rsidR="00FF65D4">
        <w:t xml:space="preserve"> (EGCs)</w:t>
      </w:r>
    </w:p>
    <w:p w14:paraId="120E826D" w14:textId="1E09D2BE" w:rsidR="00307470" w:rsidRPr="000931C6" w:rsidRDefault="00D05C63" w:rsidP="000931C6">
      <w:pPr>
        <w:autoSpaceDE w:val="0"/>
        <w:autoSpaceDN w:val="0"/>
        <w:adjustRightInd w:val="0"/>
        <w:spacing w:after="240" w:line="240" w:lineRule="atLeast"/>
        <w:rPr>
          <w:szCs w:val="22"/>
        </w:rPr>
      </w:pPr>
      <w:r w:rsidRPr="000931C6">
        <w:rPr>
          <w:szCs w:val="22"/>
        </w:rPr>
        <w:t>The JOBS Act</w:t>
      </w:r>
      <w:r w:rsidR="00307470" w:rsidRPr="000931C6">
        <w:rPr>
          <w:szCs w:val="22"/>
        </w:rPr>
        <w:t xml:space="preserve"> creat</w:t>
      </w:r>
      <w:r w:rsidRPr="000931C6">
        <w:rPr>
          <w:szCs w:val="22"/>
        </w:rPr>
        <w:t>ed the concept</w:t>
      </w:r>
      <w:r w:rsidR="00307470" w:rsidRPr="000931C6">
        <w:rPr>
          <w:szCs w:val="22"/>
        </w:rPr>
        <w:t xml:space="preserve"> of </w:t>
      </w:r>
      <w:r w:rsidR="0034408C">
        <w:rPr>
          <w:szCs w:val="22"/>
        </w:rPr>
        <w:t>an EGC</w:t>
      </w:r>
      <w:r w:rsidR="00307470" w:rsidRPr="000931C6">
        <w:rPr>
          <w:szCs w:val="22"/>
        </w:rPr>
        <w:t>, a new type of issuer whose less stringent regulatory and reporting requirements are intended to encourage public offerings by small and developing companies.</w:t>
      </w:r>
    </w:p>
    <w:p w14:paraId="51AE3C54" w14:textId="7F760685" w:rsidR="00E176DD" w:rsidRPr="000931C6" w:rsidRDefault="004A6FA1" w:rsidP="000931C6">
      <w:pPr>
        <w:pStyle w:val="standard"/>
        <w:spacing w:before="0" w:after="240" w:line="240" w:lineRule="atLeast"/>
        <w:rPr>
          <w:sz w:val="22"/>
          <w:szCs w:val="22"/>
        </w:rPr>
      </w:pPr>
      <w:r w:rsidRPr="000931C6">
        <w:rPr>
          <w:sz w:val="22"/>
          <w:szCs w:val="22"/>
        </w:rPr>
        <w:t xml:space="preserve">Title I of the JOBS Act outlines the requirements for EGC status under the SEC’s reporting framework. Under the </w:t>
      </w:r>
      <w:r w:rsidR="00115A14" w:rsidRPr="000931C6">
        <w:rPr>
          <w:sz w:val="22"/>
          <w:szCs w:val="22"/>
        </w:rPr>
        <w:t xml:space="preserve">JOBS </w:t>
      </w:r>
      <w:r w:rsidRPr="000931C6">
        <w:rPr>
          <w:sz w:val="22"/>
          <w:szCs w:val="22"/>
        </w:rPr>
        <w:t>Act, for a company to be considered an EGC, its total gross revenues cannot exceed $1</w:t>
      </w:r>
      <w:r w:rsidR="009D30FB" w:rsidRPr="000931C6">
        <w:rPr>
          <w:sz w:val="22"/>
          <w:szCs w:val="22"/>
        </w:rPr>
        <w:t>.</w:t>
      </w:r>
      <w:r w:rsidR="00400A07">
        <w:rPr>
          <w:sz w:val="22"/>
          <w:szCs w:val="22"/>
        </w:rPr>
        <w:t>235</w:t>
      </w:r>
      <w:r w:rsidR="0066089E">
        <w:rPr>
          <w:rStyle w:val="FootnoteReference"/>
          <w:sz w:val="22"/>
          <w:szCs w:val="22"/>
        </w:rPr>
        <w:footnoteReference w:id="2"/>
      </w:r>
      <w:r w:rsidRPr="000931C6">
        <w:rPr>
          <w:sz w:val="22"/>
          <w:szCs w:val="22"/>
        </w:rPr>
        <w:t xml:space="preserve"> billion in its most recently completed fiscal year. EGC status can be held for up to a maximum of five years after an </w:t>
      </w:r>
      <w:r w:rsidR="0090670A" w:rsidRPr="000931C6">
        <w:rPr>
          <w:sz w:val="22"/>
          <w:szCs w:val="22"/>
        </w:rPr>
        <w:t>initial public offering (</w:t>
      </w:r>
      <w:r w:rsidRPr="000931C6">
        <w:rPr>
          <w:sz w:val="22"/>
          <w:szCs w:val="22"/>
        </w:rPr>
        <w:t>IPO</w:t>
      </w:r>
      <w:r w:rsidR="0090670A" w:rsidRPr="000931C6">
        <w:rPr>
          <w:sz w:val="22"/>
          <w:szCs w:val="22"/>
        </w:rPr>
        <w:t>)</w:t>
      </w:r>
      <w:r w:rsidRPr="000931C6">
        <w:rPr>
          <w:sz w:val="22"/>
          <w:szCs w:val="22"/>
        </w:rPr>
        <w:t xml:space="preserve"> as long as (1) the EGC’s total gross revenues do not exceed $1</w:t>
      </w:r>
      <w:r w:rsidR="009D30FB" w:rsidRPr="000931C6">
        <w:rPr>
          <w:sz w:val="22"/>
          <w:szCs w:val="22"/>
        </w:rPr>
        <w:t>.</w:t>
      </w:r>
      <w:r w:rsidR="00400A07">
        <w:rPr>
          <w:sz w:val="22"/>
          <w:szCs w:val="22"/>
        </w:rPr>
        <w:t>235</w:t>
      </w:r>
      <w:hyperlink w:anchor="note_1" w:history="1">
        <w:r w:rsidR="00D71FFF" w:rsidRPr="00925085">
          <w:rPr>
            <w:rStyle w:val="Hyperlink"/>
            <w:sz w:val="22"/>
            <w:szCs w:val="22"/>
            <w:vertAlign w:val="superscript"/>
          </w:rPr>
          <w:t>1</w:t>
        </w:r>
      </w:hyperlink>
      <w:r w:rsidRPr="000931C6">
        <w:rPr>
          <w:sz w:val="22"/>
          <w:szCs w:val="22"/>
        </w:rPr>
        <w:t xml:space="preserve"> billion during the five-year period, (2) the EGC’s market capitalization does not exceed $700 million (i.e., the EGC does not meet the definition of a large accelerated filer), or (3) the EGC does not issue more than $1 billion in nonconvertible debt in a three-year period. </w:t>
      </w:r>
    </w:p>
    <w:p w14:paraId="3F0F58FC" w14:textId="416B10FC" w:rsidR="00255EA7" w:rsidRPr="001D4081" w:rsidRDefault="00894446" w:rsidP="001D4081">
      <w:pPr>
        <w:keepNext/>
        <w:autoSpaceDE w:val="0"/>
        <w:autoSpaceDN w:val="0"/>
        <w:adjustRightInd w:val="0"/>
        <w:spacing w:before="240"/>
        <w:rPr>
          <w:szCs w:val="22"/>
        </w:rPr>
      </w:pPr>
      <w:r w:rsidRPr="001D4081">
        <w:rPr>
          <w:szCs w:val="22"/>
        </w:rPr>
        <w:lastRenderedPageBreak/>
        <w:t>Provisions of the JOBS Act that apply to EGCs include the following:</w:t>
      </w:r>
    </w:p>
    <w:p w14:paraId="09B4C54F" w14:textId="44A8186E" w:rsidR="00255EA7" w:rsidRPr="001D4081" w:rsidRDefault="00255EA7" w:rsidP="001D4081">
      <w:pPr>
        <w:pStyle w:val="ListParagraph"/>
        <w:numPr>
          <w:ilvl w:val="0"/>
          <w:numId w:val="127"/>
        </w:numPr>
        <w:autoSpaceDE w:val="0"/>
        <w:autoSpaceDN w:val="0"/>
        <w:adjustRightInd w:val="0"/>
        <w:spacing w:before="240"/>
        <w:contextualSpacing w:val="0"/>
        <w:rPr>
          <w:szCs w:val="22"/>
        </w:rPr>
      </w:pPr>
      <w:r w:rsidRPr="001D4081">
        <w:rPr>
          <w:szCs w:val="22"/>
        </w:rPr>
        <w:t>Need only two years of audited financial statements in an IPO of common equity.</w:t>
      </w:r>
      <w:r w:rsidR="00E0343F">
        <w:rPr>
          <w:rStyle w:val="FootnoteReference"/>
          <w:szCs w:val="22"/>
        </w:rPr>
        <w:footnoteReference w:id="3"/>
      </w:r>
    </w:p>
    <w:p w14:paraId="2FD8D698" w14:textId="611AA684" w:rsidR="00255EA7" w:rsidRPr="001D4081" w:rsidRDefault="00255EA7" w:rsidP="001D4081">
      <w:pPr>
        <w:pStyle w:val="ListParagraph"/>
        <w:numPr>
          <w:ilvl w:val="0"/>
          <w:numId w:val="127"/>
        </w:numPr>
        <w:autoSpaceDE w:val="0"/>
        <w:autoSpaceDN w:val="0"/>
        <w:adjustRightInd w:val="0"/>
        <w:spacing w:before="240"/>
        <w:contextualSpacing w:val="0"/>
        <w:rPr>
          <w:szCs w:val="22"/>
        </w:rPr>
      </w:pPr>
      <w:r w:rsidRPr="001D4081">
        <w:rPr>
          <w:szCs w:val="22"/>
        </w:rPr>
        <w:t xml:space="preserve">May omit financial information (including audited financial statements) from an IPO </w:t>
      </w:r>
      <w:r w:rsidR="00216DE8">
        <w:rPr>
          <w:szCs w:val="22"/>
        </w:rPr>
        <w:t xml:space="preserve">of common equity </w:t>
      </w:r>
      <w:r w:rsidRPr="001D4081">
        <w:rPr>
          <w:szCs w:val="22"/>
        </w:rPr>
        <w:t xml:space="preserve">registration statement </w:t>
      </w:r>
      <w:r w:rsidR="009927E9">
        <w:rPr>
          <w:szCs w:val="22"/>
        </w:rPr>
        <w:t xml:space="preserve">submitted confidentially </w:t>
      </w:r>
      <w:r w:rsidRPr="001D4081">
        <w:rPr>
          <w:szCs w:val="22"/>
        </w:rPr>
        <w:t>if that financial information is related to periods that are not reasonably expected to be required at the time the registration statement becomes effective.</w:t>
      </w:r>
    </w:p>
    <w:p w14:paraId="1D0B6EB4" w14:textId="5550BB9E" w:rsidR="00255EA7" w:rsidRPr="001D4081" w:rsidRDefault="00255EA7" w:rsidP="001D4081">
      <w:pPr>
        <w:pStyle w:val="ListParagraph"/>
        <w:numPr>
          <w:ilvl w:val="0"/>
          <w:numId w:val="127"/>
        </w:numPr>
        <w:autoSpaceDE w:val="0"/>
        <w:autoSpaceDN w:val="0"/>
        <w:adjustRightInd w:val="0"/>
        <w:spacing w:before="240"/>
        <w:contextualSpacing w:val="0"/>
        <w:rPr>
          <w:szCs w:val="22"/>
        </w:rPr>
      </w:pPr>
      <w:r w:rsidRPr="001D4081">
        <w:rPr>
          <w:szCs w:val="22"/>
        </w:rPr>
        <w:t>May elect not to adopt new or revised accounting standards until they become effective for private companies (i.e., nonissuers).</w:t>
      </w:r>
    </w:p>
    <w:p w14:paraId="153A8646" w14:textId="7CD12C02" w:rsidR="00255EA7" w:rsidRPr="001D4081" w:rsidRDefault="00255EA7" w:rsidP="001D4081">
      <w:pPr>
        <w:pStyle w:val="ListParagraph"/>
        <w:numPr>
          <w:ilvl w:val="0"/>
          <w:numId w:val="127"/>
        </w:numPr>
        <w:autoSpaceDE w:val="0"/>
        <w:autoSpaceDN w:val="0"/>
        <w:adjustRightInd w:val="0"/>
        <w:spacing w:before="240"/>
        <w:contextualSpacing w:val="0"/>
        <w:rPr>
          <w:szCs w:val="22"/>
        </w:rPr>
      </w:pPr>
      <w:r w:rsidRPr="001D4081">
        <w:rPr>
          <w:szCs w:val="22"/>
        </w:rPr>
        <w:t>Are eligible for reduced executive compensation disclosures</w:t>
      </w:r>
      <w:r w:rsidR="00E0343F">
        <w:rPr>
          <w:szCs w:val="22"/>
        </w:rPr>
        <w:t>.</w:t>
      </w:r>
    </w:p>
    <w:p w14:paraId="3F3BCEB9" w14:textId="536CEFDB" w:rsidR="008F7A8A" w:rsidRPr="000931C6" w:rsidRDefault="00894446" w:rsidP="008F7A8A">
      <w:pPr>
        <w:autoSpaceDE w:val="0"/>
        <w:autoSpaceDN w:val="0"/>
        <w:adjustRightInd w:val="0"/>
        <w:spacing w:before="240" w:after="240"/>
        <w:rPr>
          <w:szCs w:val="22"/>
        </w:rPr>
      </w:pPr>
      <w:r w:rsidRPr="000931C6">
        <w:rPr>
          <w:szCs w:val="22"/>
        </w:rPr>
        <w:t xml:space="preserve">Certain sections </w:t>
      </w:r>
      <w:r w:rsidR="009927E9">
        <w:rPr>
          <w:szCs w:val="22"/>
        </w:rPr>
        <w:t xml:space="preserve">in the checklist </w:t>
      </w:r>
      <w:r w:rsidRPr="000931C6">
        <w:rPr>
          <w:szCs w:val="22"/>
        </w:rPr>
        <w:t xml:space="preserve">below have been annotated to reflect the modified reporting requirements affecting EGCs under Title I of the JOBS Act. </w:t>
      </w:r>
      <w:r w:rsidR="00730229">
        <w:rPr>
          <w:szCs w:val="22"/>
        </w:rPr>
        <w:t xml:space="preserve">Registrants </w:t>
      </w:r>
      <w:r w:rsidR="008F7A8A" w:rsidRPr="000931C6">
        <w:rPr>
          <w:szCs w:val="22"/>
        </w:rPr>
        <w:t xml:space="preserve">should refer to </w:t>
      </w:r>
      <w:r w:rsidR="008F7A8A">
        <w:rPr>
          <w:szCs w:val="22"/>
        </w:rPr>
        <w:t xml:space="preserve">Section 1.6 of </w:t>
      </w:r>
      <w:r w:rsidR="008F7A8A" w:rsidRPr="000931C6">
        <w:rPr>
          <w:szCs w:val="22"/>
        </w:rPr>
        <w:t xml:space="preserve">Deloitte’s </w:t>
      </w:r>
      <w:hyperlink r:id="rId31" w:history="1">
        <w:r w:rsidR="008F7A8A" w:rsidRPr="00F23A28">
          <w:rPr>
            <w:rStyle w:val="Hyperlink"/>
            <w:i/>
            <w:szCs w:val="22"/>
          </w:rPr>
          <w:t>Initial Public Offeri</w:t>
        </w:r>
        <w:r w:rsidR="008F7A8A" w:rsidRPr="00894AE3">
          <w:rPr>
            <w:rStyle w:val="Hyperlink"/>
            <w:i/>
            <w:szCs w:val="22"/>
          </w:rPr>
          <w:t>ngs</w:t>
        </w:r>
      </w:hyperlink>
      <w:r w:rsidR="008F7A8A">
        <w:rPr>
          <w:i/>
          <w:szCs w:val="22"/>
        </w:rPr>
        <w:t xml:space="preserve"> </w:t>
      </w:r>
      <w:r w:rsidR="008F7A8A">
        <w:rPr>
          <w:iCs/>
          <w:szCs w:val="22"/>
        </w:rPr>
        <w:t>Roadmap</w:t>
      </w:r>
      <w:r w:rsidR="008F7A8A" w:rsidRPr="000931C6">
        <w:rPr>
          <w:szCs w:val="22"/>
        </w:rPr>
        <w:t xml:space="preserve"> summarizing </w:t>
      </w:r>
      <w:r w:rsidR="008F7A8A">
        <w:rPr>
          <w:szCs w:val="22"/>
        </w:rPr>
        <w:t>key reporting considerations for EGCs</w:t>
      </w:r>
      <w:r w:rsidR="008F7A8A" w:rsidRPr="000931C6">
        <w:rPr>
          <w:szCs w:val="22"/>
        </w:rPr>
        <w:t xml:space="preserve">. </w:t>
      </w:r>
    </w:p>
    <w:p w14:paraId="5B4A734B" w14:textId="7607F4CE" w:rsidR="003053D3" w:rsidRPr="000931C6" w:rsidRDefault="003053D3" w:rsidP="000931C6">
      <w:pPr>
        <w:pStyle w:val="standard"/>
        <w:spacing w:before="0" w:after="240" w:line="240" w:lineRule="atLeast"/>
        <w:rPr>
          <w:b/>
          <w:sz w:val="22"/>
          <w:szCs w:val="22"/>
        </w:rPr>
      </w:pPr>
      <w:r w:rsidRPr="000931C6">
        <w:rPr>
          <w:b/>
          <w:sz w:val="22"/>
          <w:szCs w:val="22"/>
        </w:rPr>
        <w:t xml:space="preserve">NOTE: THIS CHECKLIST IS NOT SPECIFICALLY DESIGNED FOR USE BY </w:t>
      </w:r>
      <w:r w:rsidR="00666A25">
        <w:rPr>
          <w:b/>
          <w:sz w:val="22"/>
          <w:szCs w:val="22"/>
        </w:rPr>
        <w:t>EGCs</w:t>
      </w:r>
      <w:r w:rsidRPr="000931C6">
        <w:rPr>
          <w:b/>
          <w:sz w:val="22"/>
          <w:szCs w:val="22"/>
        </w:rPr>
        <w:t xml:space="preserve"> OR COMPANIES TAKING ADVANTAGE OF THE NONPUBLIC REVIEW PROCESS FOR DRAFT IPOS AND INITIAL REGISTRATION STATEMENTS AVA</w:t>
      </w:r>
      <w:r w:rsidR="00C10175">
        <w:rPr>
          <w:b/>
          <w:sz w:val="22"/>
          <w:szCs w:val="22"/>
        </w:rPr>
        <w:t>I</w:t>
      </w:r>
      <w:r w:rsidRPr="000931C6">
        <w:rPr>
          <w:b/>
          <w:sz w:val="22"/>
          <w:szCs w:val="22"/>
        </w:rPr>
        <w:t>LABLE TO ALL COMPANIES.</w:t>
      </w:r>
    </w:p>
    <w:p w14:paraId="259FB737" w14:textId="2A3587D8" w:rsidR="00447058" w:rsidRPr="004C67C0" w:rsidRDefault="00064E79" w:rsidP="004C67C0">
      <w:pPr>
        <w:pStyle w:val="standard"/>
        <w:spacing w:before="0" w:after="240" w:line="240" w:lineRule="atLeast"/>
        <w:rPr>
          <w:b/>
          <w:sz w:val="22"/>
          <w:szCs w:val="22"/>
        </w:rPr>
      </w:pPr>
      <w:bookmarkStart w:id="9" w:name="_Hlk89853879"/>
      <w:r w:rsidRPr="004366D5">
        <w:rPr>
          <w:sz w:val="28"/>
          <w:szCs w:val="32"/>
        </w:rPr>
        <w:t>Abbreviations Used</w:t>
      </w:r>
    </w:p>
    <w:tbl>
      <w:tblPr>
        <w:tblW w:w="4760" w:type="pct"/>
        <w:tblBorders>
          <w:insideH w:val="single" w:sz="4" w:space="0" w:color="75787B" w:themeColor="accent6"/>
        </w:tblBorders>
        <w:tblLayout w:type="fixed"/>
        <w:tblLook w:val="0000" w:firstRow="0" w:lastRow="0" w:firstColumn="0" w:lastColumn="0" w:noHBand="0" w:noVBand="0"/>
      </w:tblPr>
      <w:tblGrid>
        <w:gridCol w:w="1446"/>
        <w:gridCol w:w="7465"/>
      </w:tblGrid>
      <w:tr w:rsidR="009733A7" w:rsidRPr="00232D5A" w14:paraId="3087D21A" w14:textId="77777777" w:rsidTr="00691090">
        <w:tc>
          <w:tcPr>
            <w:tcW w:w="1446" w:type="dxa"/>
          </w:tcPr>
          <w:bookmarkEnd w:id="9"/>
          <w:p w14:paraId="64C69C8E" w14:textId="77777777" w:rsidR="009733A7" w:rsidRPr="00232D5A" w:rsidRDefault="009733A7" w:rsidP="00232D5A">
            <w:pPr>
              <w:spacing w:after="120" w:line="240" w:lineRule="atLeast"/>
              <w:rPr>
                <w:sz w:val="20"/>
                <w:szCs w:val="20"/>
              </w:rPr>
            </w:pPr>
            <w:r w:rsidRPr="00232D5A">
              <w:rPr>
                <w:sz w:val="20"/>
                <w:szCs w:val="20"/>
              </w:rPr>
              <w:t>ASC</w:t>
            </w:r>
          </w:p>
        </w:tc>
        <w:tc>
          <w:tcPr>
            <w:tcW w:w="7465" w:type="dxa"/>
            <w:vAlign w:val="bottom"/>
          </w:tcPr>
          <w:p w14:paraId="3270E82D" w14:textId="77777777" w:rsidR="009733A7" w:rsidRPr="00232D5A" w:rsidRDefault="009733A7" w:rsidP="00232D5A">
            <w:pPr>
              <w:spacing w:after="120" w:line="240" w:lineRule="atLeast"/>
              <w:rPr>
                <w:sz w:val="20"/>
                <w:szCs w:val="20"/>
              </w:rPr>
            </w:pPr>
            <w:r w:rsidRPr="00232D5A">
              <w:rPr>
                <w:sz w:val="20"/>
                <w:szCs w:val="20"/>
              </w:rPr>
              <w:t>FASB Accounting Standards Codification</w:t>
            </w:r>
          </w:p>
        </w:tc>
      </w:tr>
      <w:tr w:rsidR="001F5308" w:rsidRPr="00232D5A" w14:paraId="0B7F366C" w14:textId="77777777" w:rsidTr="00691090">
        <w:tc>
          <w:tcPr>
            <w:tcW w:w="1446" w:type="dxa"/>
          </w:tcPr>
          <w:p w14:paraId="6593FB6C" w14:textId="77777777" w:rsidR="001F5308" w:rsidRPr="00232D5A" w:rsidRDefault="001F5308" w:rsidP="00232D5A">
            <w:pPr>
              <w:spacing w:after="120" w:line="240" w:lineRule="atLeast"/>
              <w:rPr>
                <w:sz w:val="20"/>
                <w:szCs w:val="20"/>
              </w:rPr>
            </w:pPr>
            <w:r w:rsidRPr="00232D5A">
              <w:rPr>
                <w:sz w:val="20"/>
                <w:szCs w:val="20"/>
              </w:rPr>
              <w:t>ASR</w:t>
            </w:r>
          </w:p>
        </w:tc>
        <w:tc>
          <w:tcPr>
            <w:tcW w:w="7465" w:type="dxa"/>
            <w:vAlign w:val="bottom"/>
          </w:tcPr>
          <w:p w14:paraId="79213F1D" w14:textId="77777777" w:rsidR="001F5308" w:rsidRPr="00232D5A" w:rsidRDefault="001F5308" w:rsidP="00232D5A">
            <w:pPr>
              <w:spacing w:after="120" w:line="240" w:lineRule="atLeast"/>
              <w:rPr>
                <w:sz w:val="20"/>
                <w:szCs w:val="20"/>
              </w:rPr>
            </w:pPr>
            <w:r w:rsidRPr="00232D5A">
              <w:rPr>
                <w:sz w:val="20"/>
                <w:szCs w:val="20"/>
              </w:rPr>
              <w:t>Accounting Series Release</w:t>
            </w:r>
          </w:p>
        </w:tc>
      </w:tr>
      <w:tr w:rsidR="001F5308" w:rsidRPr="00232D5A" w14:paraId="24F1CFE6" w14:textId="77777777" w:rsidTr="00691090">
        <w:tc>
          <w:tcPr>
            <w:tcW w:w="1446" w:type="dxa"/>
          </w:tcPr>
          <w:p w14:paraId="2A577C84" w14:textId="77777777" w:rsidR="001F5308" w:rsidRPr="00232D5A" w:rsidRDefault="001F5308" w:rsidP="00232D5A">
            <w:pPr>
              <w:spacing w:after="120" w:line="240" w:lineRule="atLeast"/>
              <w:rPr>
                <w:sz w:val="20"/>
                <w:szCs w:val="20"/>
              </w:rPr>
            </w:pPr>
            <w:r w:rsidRPr="00232D5A">
              <w:rPr>
                <w:sz w:val="20"/>
                <w:szCs w:val="20"/>
              </w:rPr>
              <w:t>FRR</w:t>
            </w:r>
          </w:p>
        </w:tc>
        <w:tc>
          <w:tcPr>
            <w:tcW w:w="7465" w:type="dxa"/>
            <w:vAlign w:val="bottom"/>
          </w:tcPr>
          <w:p w14:paraId="79509F07" w14:textId="77777777" w:rsidR="001F5308" w:rsidRPr="00232D5A" w:rsidRDefault="001F5308" w:rsidP="00232D5A">
            <w:pPr>
              <w:spacing w:after="120" w:line="240" w:lineRule="atLeast"/>
              <w:rPr>
                <w:sz w:val="20"/>
                <w:szCs w:val="20"/>
              </w:rPr>
            </w:pPr>
            <w:r w:rsidRPr="00232D5A">
              <w:rPr>
                <w:sz w:val="20"/>
                <w:szCs w:val="20"/>
              </w:rPr>
              <w:t>Financial Reporting Release or Codified Section</w:t>
            </w:r>
          </w:p>
        </w:tc>
      </w:tr>
      <w:tr w:rsidR="00813ACD" w:rsidRPr="00232D5A" w14:paraId="1C7F8CA1" w14:textId="77777777" w:rsidTr="00691090">
        <w:tc>
          <w:tcPr>
            <w:tcW w:w="1446" w:type="dxa"/>
          </w:tcPr>
          <w:p w14:paraId="6BC163DF" w14:textId="77777777" w:rsidR="00813ACD" w:rsidRPr="00232D5A" w:rsidRDefault="00813ACD" w:rsidP="00232D5A">
            <w:pPr>
              <w:spacing w:after="120" w:line="240" w:lineRule="atLeast"/>
              <w:rPr>
                <w:sz w:val="20"/>
                <w:szCs w:val="20"/>
              </w:rPr>
            </w:pPr>
            <w:r w:rsidRPr="00232D5A">
              <w:rPr>
                <w:sz w:val="20"/>
                <w:szCs w:val="20"/>
              </w:rPr>
              <w:t>GAAP</w:t>
            </w:r>
          </w:p>
        </w:tc>
        <w:tc>
          <w:tcPr>
            <w:tcW w:w="7465" w:type="dxa"/>
            <w:vAlign w:val="bottom"/>
          </w:tcPr>
          <w:p w14:paraId="7521607D" w14:textId="77777777" w:rsidR="00813ACD" w:rsidRPr="00232D5A" w:rsidRDefault="002A16CC" w:rsidP="00232D5A">
            <w:pPr>
              <w:spacing w:after="120" w:line="240" w:lineRule="atLeast"/>
              <w:rPr>
                <w:sz w:val="20"/>
                <w:szCs w:val="20"/>
              </w:rPr>
            </w:pPr>
            <w:r w:rsidRPr="00232D5A">
              <w:rPr>
                <w:sz w:val="20"/>
                <w:szCs w:val="20"/>
              </w:rPr>
              <w:t xml:space="preserve">United States </w:t>
            </w:r>
            <w:r w:rsidR="00813ACD" w:rsidRPr="00232D5A">
              <w:rPr>
                <w:sz w:val="20"/>
                <w:szCs w:val="20"/>
              </w:rPr>
              <w:t>Generally Accepted Accounting Principles</w:t>
            </w:r>
          </w:p>
        </w:tc>
      </w:tr>
      <w:tr w:rsidR="000A51B4" w:rsidRPr="00232D5A" w14:paraId="0F4CAF02" w14:textId="77777777" w:rsidTr="00691090">
        <w:tc>
          <w:tcPr>
            <w:tcW w:w="1446" w:type="dxa"/>
          </w:tcPr>
          <w:p w14:paraId="6442C1A5" w14:textId="77777777" w:rsidR="000A51B4" w:rsidRPr="00232D5A" w:rsidRDefault="000A51B4" w:rsidP="00232D5A">
            <w:pPr>
              <w:spacing w:after="120" w:line="240" w:lineRule="atLeast"/>
              <w:rPr>
                <w:sz w:val="20"/>
                <w:szCs w:val="20"/>
              </w:rPr>
            </w:pPr>
            <w:r w:rsidRPr="00232D5A">
              <w:rPr>
                <w:sz w:val="20"/>
                <w:szCs w:val="20"/>
              </w:rPr>
              <w:t>IASB</w:t>
            </w:r>
          </w:p>
        </w:tc>
        <w:tc>
          <w:tcPr>
            <w:tcW w:w="7465" w:type="dxa"/>
            <w:vAlign w:val="bottom"/>
          </w:tcPr>
          <w:p w14:paraId="700BC9E1" w14:textId="77777777" w:rsidR="000A51B4" w:rsidRPr="00232D5A" w:rsidRDefault="000A51B4" w:rsidP="00232D5A">
            <w:pPr>
              <w:spacing w:after="120" w:line="240" w:lineRule="atLeast"/>
              <w:rPr>
                <w:sz w:val="20"/>
                <w:szCs w:val="20"/>
              </w:rPr>
            </w:pPr>
            <w:r w:rsidRPr="00232D5A">
              <w:rPr>
                <w:sz w:val="20"/>
                <w:szCs w:val="20"/>
              </w:rPr>
              <w:t>International Accounting Standards Board</w:t>
            </w:r>
          </w:p>
        </w:tc>
      </w:tr>
      <w:tr w:rsidR="000A51B4" w:rsidRPr="00232D5A" w14:paraId="25C0587C" w14:textId="77777777" w:rsidTr="00691090">
        <w:tc>
          <w:tcPr>
            <w:tcW w:w="1446" w:type="dxa"/>
          </w:tcPr>
          <w:p w14:paraId="0BE2935B" w14:textId="77777777" w:rsidR="000A51B4" w:rsidRPr="00232D5A" w:rsidRDefault="000A51B4" w:rsidP="00232D5A">
            <w:pPr>
              <w:spacing w:after="120" w:line="240" w:lineRule="atLeast"/>
              <w:rPr>
                <w:sz w:val="20"/>
                <w:szCs w:val="20"/>
              </w:rPr>
            </w:pPr>
            <w:r w:rsidRPr="00232D5A">
              <w:rPr>
                <w:sz w:val="20"/>
                <w:szCs w:val="20"/>
              </w:rPr>
              <w:t>IFRS</w:t>
            </w:r>
          </w:p>
        </w:tc>
        <w:tc>
          <w:tcPr>
            <w:tcW w:w="7465" w:type="dxa"/>
            <w:vAlign w:val="bottom"/>
          </w:tcPr>
          <w:p w14:paraId="0E3BC34F" w14:textId="77777777" w:rsidR="000A51B4" w:rsidRPr="00232D5A" w:rsidRDefault="00CF2D60" w:rsidP="00232D5A">
            <w:pPr>
              <w:spacing w:after="120" w:line="240" w:lineRule="atLeast"/>
              <w:rPr>
                <w:sz w:val="20"/>
                <w:szCs w:val="20"/>
              </w:rPr>
            </w:pPr>
            <w:r w:rsidRPr="00232D5A">
              <w:rPr>
                <w:sz w:val="20"/>
                <w:szCs w:val="20"/>
              </w:rPr>
              <w:t>International Financial Reporting Standards</w:t>
            </w:r>
          </w:p>
        </w:tc>
      </w:tr>
      <w:tr w:rsidR="005F3AD5" w:rsidRPr="00232D5A" w14:paraId="145CF1F6" w14:textId="77777777" w:rsidTr="00691090">
        <w:tc>
          <w:tcPr>
            <w:tcW w:w="1446" w:type="dxa"/>
          </w:tcPr>
          <w:p w14:paraId="5F0F5C05" w14:textId="77777777" w:rsidR="005F3AD5" w:rsidRPr="00232D5A" w:rsidRDefault="005F3AD5" w:rsidP="00232D5A">
            <w:pPr>
              <w:spacing w:after="120" w:line="240" w:lineRule="atLeast"/>
              <w:rPr>
                <w:sz w:val="20"/>
                <w:szCs w:val="20"/>
              </w:rPr>
            </w:pPr>
            <w:r w:rsidRPr="00232D5A">
              <w:rPr>
                <w:sz w:val="20"/>
                <w:szCs w:val="20"/>
              </w:rPr>
              <w:t>PCAOB</w:t>
            </w:r>
          </w:p>
        </w:tc>
        <w:tc>
          <w:tcPr>
            <w:tcW w:w="7465" w:type="dxa"/>
            <w:vAlign w:val="bottom"/>
          </w:tcPr>
          <w:p w14:paraId="6B4A16E3" w14:textId="77777777" w:rsidR="005F3AD5" w:rsidRPr="00232D5A" w:rsidRDefault="005F3AD5" w:rsidP="00232D5A">
            <w:pPr>
              <w:spacing w:after="120" w:line="240" w:lineRule="atLeast"/>
              <w:rPr>
                <w:sz w:val="20"/>
                <w:szCs w:val="20"/>
              </w:rPr>
            </w:pPr>
            <w:r w:rsidRPr="00232D5A">
              <w:rPr>
                <w:sz w:val="20"/>
                <w:szCs w:val="20"/>
              </w:rPr>
              <w:t>Public Company Accounting Oversight Board</w:t>
            </w:r>
          </w:p>
        </w:tc>
      </w:tr>
      <w:tr w:rsidR="001F5308" w:rsidRPr="00232D5A" w14:paraId="3D8B03B9" w14:textId="77777777" w:rsidTr="00691090">
        <w:tc>
          <w:tcPr>
            <w:tcW w:w="1446" w:type="dxa"/>
          </w:tcPr>
          <w:p w14:paraId="4CBB28A2" w14:textId="77777777" w:rsidR="001F5308" w:rsidRPr="00232D5A" w:rsidRDefault="001F5308" w:rsidP="00232D5A">
            <w:pPr>
              <w:spacing w:after="120" w:line="240" w:lineRule="atLeast"/>
              <w:rPr>
                <w:sz w:val="20"/>
                <w:szCs w:val="20"/>
              </w:rPr>
            </w:pPr>
            <w:r w:rsidRPr="00232D5A">
              <w:rPr>
                <w:sz w:val="20"/>
                <w:szCs w:val="20"/>
              </w:rPr>
              <w:t>S-K</w:t>
            </w:r>
          </w:p>
        </w:tc>
        <w:tc>
          <w:tcPr>
            <w:tcW w:w="7465" w:type="dxa"/>
            <w:vAlign w:val="bottom"/>
          </w:tcPr>
          <w:p w14:paraId="4312A685" w14:textId="77777777" w:rsidR="001F5308" w:rsidRPr="00232D5A" w:rsidRDefault="001F5308" w:rsidP="00232D5A">
            <w:pPr>
              <w:spacing w:after="120" w:line="240" w:lineRule="atLeast"/>
              <w:rPr>
                <w:sz w:val="20"/>
                <w:szCs w:val="20"/>
              </w:rPr>
            </w:pPr>
            <w:r w:rsidRPr="00232D5A">
              <w:rPr>
                <w:sz w:val="20"/>
                <w:szCs w:val="20"/>
              </w:rPr>
              <w:t>Regulation S-K</w:t>
            </w:r>
          </w:p>
        </w:tc>
      </w:tr>
      <w:tr w:rsidR="001F5308" w:rsidRPr="00232D5A" w14:paraId="2AD6D881" w14:textId="77777777" w:rsidTr="00691090">
        <w:tc>
          <w:tcPr>
            <w:tcW w:w="1446" w:type="dxa"/>
          </w:tcPr>
          <w:p w14:paraId="191AAE05" w14:textId="77777777" w:rsidR="001F5308" w:rsidRPr="00232D5A" w:rsidRDefault="001F5308" w:rsidP="00232D5A">
            <w:pPr>
              <w:spacing w:after="120" w:line="240" w:lineRule="atLeast"/>
              <w:rPr>
                <w:sz w:val="20"/>
                <w:szCs w:val="20"/>
              </w:rPr>
            </w:pPr>
            <w:r w:rsidRPr="00232D5A">
              <w:rPr>
                <w:sz w:val="20"/>
                <w:szCs w:val="20"/>
              </w:rPr>
              <w:t>S-X</w:t>
            </w:r>
          </w:p>
        </w:tc>
        <w:tc>
          <w:tcPr>
            <w:tcW w:w="7465" w:type="dxa"/>
            <w:vAlign w:val="bottom"/>
          </w:tcPr>
          <w:p w14:paraId="2F92B92E" w14:textId="77777777" w:rsidR="001F5308" w:rsidRPr="00232D5A" w:rsidRDefault="001F5308" w:rsidP="00232D5A">
            <w:pPr>
              <w:spacing w:after="120" w:line="240" w:lineRule="atLeast"/>
              <w:rPr>
                <w:sz w:val="20"/>
                <w:szCs w:val="20"/>
              </w:rPr>
            </w:pPr>
            <w:r w:rsidRPr="00232D5A">
              <w:rPr>
                <w:sz w:val="20"/>
                <w:szCs w:val="20"/>
              </w:rPr>
              <w:t>Regulation S-X</w:t>
            </w:r>
          </w:p>
        </w:tc>
      </w:tr>
      <w:tr w:rsidR="001F5308" w:rsidRPr="00232D5A" w14:paraId="4D400C28" w14:textId="77777777" w:rsidTr="00691090">
        <w:tc>
          <w:tcPr>
            <w:tcW w:w="1446" w:type="dxa"/>
            <w:tcBorders>
              <w:bottom w:val="single" w:sz="4" w:space="0" w:color="63666A"/>
            </w:tcBorders>
          </w:tcPr>
          <w:p w14:paraId="0F3C8896" w14:textId="77777777" w:rsidR="001F5308" w:rsidRPr="00232D5A" w:rsidRDefault="001F5308" w:rsidP="00232D5A">
            <w:pPr>
              <w:spacing w:after="120" w:line="240" w:lineRule="atLeast"/>
              <w:rPr>
                <w:sz w:val="20"/>
                <w:szCs w:val="20"/>
              </w:rPr>
            </w:pPr>
            <w:r w:rsidRPr="00232D5A">
              <w:rPr>
                <w:sz w:val="20"/>
                <w:szCs w:val="20"/>
              </w:rPr>
              <w:t>SAB</w:t>
            </w:r>
          </w:p>
        </w:tc>
        <w:tc>
          <w:tcPr>
            <w:tcW w:w="7465" w:type="dxa"/>
            <w:tcBorders>
              <w:bottom w:val="single" w:sz="4" w:space="0" w:color="63666A"/>
            </w:tcBorders>
            <w:vAlign w:val="bottom"/>
          </w:tcPr>
          <w:p w14:paraId="20508D0E" w14:textId="77777777" w:rsidR="001F5308" w:rsidRPr="00232D5A" w:rsidRDefault="001F5308" w:rsidP="00232D5A">
            <w:pPr>
              <w:spacing w:after="120" w:line="240" w:lineRule="atLeast"/>
              <w:rPr>
                <w:sz w:val="20"/>
                <w:szCs w:val="20"/>
              </w:rPr>
            </w:pPr>
            <w:r w:rsidRPr="00232D5A">
              <w:rPr>
                <w:sz w:val="20"/>
                <w:szCs w:val="20"/>
              </w:rPr>
              <w:t>Staff Accounting Bulletin</w:t>
            </w:r>
          </w:p>
        </w:tc>
      </w:tr>
    </w:tbl>
    <w:p w14:paraId="2D1F2B9B" w14:textId="77777777" w:rsidR="00B43DF9" w:rsidRDefault="00B43DF9" w:rsidP="00EA728B">
      <w:pPr>
        <w:spacing w:after="240" w:line="240" w:lineRule="atLeast"/>
        <w:rPr>
          <w:szCs w:val="22"/>
        </w:rPr>
      </w:pPr>
    </w:p>
    <w:p w14:paraId="29007B00" w14:textId="7996A359" w:rsidR="00055D33" w:rsidRPr="004C67C0" w:rsidRDefault="00055D33" w:rsidP="00E137C7">
      <w:pPr>
        <w:pStyle w:val="FormHeading2"/>
      </w:pPr>
      <w:r>
        <w:lastRenderedPageBreak/>
        <w:t>Index of Regulation S-X and Regulation S-K Topics</w:t>
      </w:r>
    </w:p>
    <w:tbl>
      <w:tblPr>
        <w:tblW w:w="8838" w:type="dxa"/>
        <w:tblBorders>
          <w:insideH w:val="single" w:sz="4" w:space="0" w:color="63666A"/>
        </w:tblBorders>
        <w:tblLayout w:type="fixed"/>
        <w:tblLook w:val="0000" w:firstRow="0" w:lastRow="0" w:firstColumn="0" w:lastColumn="0" w:noHBand="0" w:noVBand="0"/>
      </w:tblPr>
      <w:tblGrid>
        <w:gridCol w:w="1278"/>
        <w:gridCol w:w="6282"/>
        <w:gridCol w:w="1278"/>
      </w:tblGrid>
      <w:tr w:rsidR="001F5308" w:rsidRPr="00EA728B" w14:paraId="02551056" w14:textId="77777777" w:rsidTr="570570C2">
        <w:trPr>
          <w:cantSplit/>
        </w:trPr>
        <w:tc>
          <w:tcPr>
            <w:tcW w:w="1278" w:type="dxa"/>
            <w:tcBorders>
              <w:top w:val="single" w:sz="4" w:space="0" w:color="63666A"/>
            </w:tcBorders>
            <w:shd w:val="clear" w:color="auto" w:fill="C7C8CA" w:themeFill="accent6" w:themeFillTint="66"/>
          </w:tcPr>
          <w:p w14:paraId="0853DB71" w14:textId="77777777" w:rsidR="001F5308" w:rsidRPr="00EA728B" w:rsidRDefault="001F5308" w:rsidP="00E137C7">
            <w:pPr>
              <w:pStyle w:val="standard"/>
              <w:keepNext/>
              <w:keepLines/>
              <w:spacing w:before="0" w:after="120" w:line="240" w:lineRule="atLeast"/>
              <w:rPr>
                <w:rFonts w:cs="Calibri Light"/>
                <w:sz w:val="20"/>
                <w:szCs w:val="20"/>
              </w:rPr>
            </w:pPr>
            <w:r w:rsidRPr="00EA728B">
              <w:rPr>
                <w:rFonts w:cs="Calibri Light"/>
                <w:b/>
                <w:sz w:val="20"/>
                <w:szCs w:val="20"/>
              </w:rPr>
              <w:t>PART I.</w:t>
            </w:r>
          </w:p>
        </w:tc>
        <w:tc>
          <w:tcPr>
            <w:tcW w:w="6282" w:type="dxa"/>
            <w:tcBorders>
              <w:top w:val="single" w:sz="4" w:space="0" w:color="63666A"/>
            </w:tcBorders>
            <w:shd w:val="clear" w:color="auto" w:fill="C7C8CA" w:themeFill="accent6" w:themeFillTint="66"/>
          </w:tcPr>
          <w:p w14:paraId="14164516" w14:textId="77777777" w:rsidR="001F5308" w:rsidRPr="00EA728B" w:rsidRDefault="001F5308" w:rsidP="00E137C7">
            <w:pPr>
              <w:pStyle w:val="standard"/>
              <w:keepNext/>
              <w:keepLines/>
              <w:spacing w:before="0" w:after="120" w:line="240" w:lineRule="atLeast"/>
              <w:rPr>
                <w:rFonts w:cs="Calibri Light"/>
                <w:b/>
                <w:sz w:val="20"/>
                <w:szCs w:val="20"/>
              </w:rPr>
            </w:pPr>
            <w:r w:rsidRPr="00EA728B">
              <w:rPr>
                <w:rFonts w:cs="Calibri Light"/>
                <w:b/>
                <w:sz w:val="20"/>
                <w:szCs w:val="20"/>
              </w:rPr>
              <w:t>REGULATION S-X</w:t>
            </w:r>
          </w:p>
        </w:tc>
        <w:tc>
          <w:tcPr>
            <w:tcW w:w="1278" w:type="dxa"/>
            <w:tcBorders>
              <w:top w:val="single" w:sz="4" w:space="0" w:color="63666A"/>
            </w:tcBorders>
            <w:shd w:val="clear" w:color="auto" w:fill="C7C8CA" w:themeFill="accent6" w:themeFillTint="66"/>
          </w:tcPr>
          <w:p w14:paraId="356517F6" w14:textId="189A239C" w:rsidR="001F5308" w:rsidRPr="00EA728B" w:rsidRDefault="00EA728B" w:rsidP="00E137C7">
            <w:pPr>
              <w:pStyle w:val="standard"/>
              <w:keepNext/>
              <w:keepLines/>
              <w:spacing w:before="0" w:after="120" w:line="240" w:lineRule="atLeast"/>
              <w:jc w:val="right"/>
              <w:rPr>
                <w:rFonts w:cs="Calibri Light"/>
                <w:sz w:val="20"/>
                <w:szCs w:val="20"/>
              </w:rPr>
            </w:pPr>
            <w:r w:rsidRPr="00EA728B">
              <w:rPr>
                <w:rFonts w:cs="Calibri Light"/>
                <w:b/>
                <w:sz w:val="20"/>
                <w:szCs w:val="20"/>
              </w:rPr>
              <w:t>Article</w:t>
            </w:r>
          </w:p>
        </w:tc>
      </w:tr>
      <w:tr w:rsidR="001F5308" w:rsidRPr="00EA728B" w14:paraId="78F8EF09" w14:textId="77777777" w:rsidTr="570570C2">
        <w:trPr>
          <w:cantSplit/>
        </w:trPr>
        <w:tc>
          <w:tcPr>
            <w:tcW w:w="1278" w:type="dxa"/>
          </w:tcPr>
          <w:p w14:paraId="14607029" w14:textId="77777777" w:rsidR="001F5308" w:rsidRPr="00EA728B" w:rsidRDefault="001F5308" w:rsidP="00E137C7">
            <w:pPr>
              <w:pStyle w:val="standard"/>
              <w:keepNext/>
              <w:keepLines/>
              <w:spacing w:before="0" w:after="120" w:line="240" w:lineRule="atLeast"/>
              <w:rPr>
                <w:rFonts w:cs="Calibri Light"/>
                <w:sz w:val="20"/>
                <w:szCs w:val="20"/>
              </w:rPr>
            </w:pPr>
          </w:p>
        </w:tc>
        <w:tc>
          <w:tcPr>
            <w:tcW w:w="6282" w:type="dxa"/>
          </w:tcPr>
          <w:p w14:paraId="52BBA239" w14:textId="77777777" w:rsidR="001F5308" w:rsidRPr="00EA728B" w:rsidRDefault="00130B3D" w:rsidP="00E137C7">
            <w:pPr>
              <w:pStyle w:val="standard"/>
              <w:keepNext/>
              <w:keepLines/>
              <w:spacing w:before="0" w:after="120" w:line="240" w:lineRule="atLeast"/>
              <w:rPr>
                <w:rFonts w:cs="Calibri Light"/>
                <w:sz w:val="20"/>
                <w:szCs w:val="20"/>
              </w:rPr>
            </w:pPr>
            <w:hyperlink w:anchor="_ARTICLE_1._APPLICATION" w:history="1">
              <w:r w:rsidR="001F5308" w:rsidRPr="00EA728B">
                <w:rPr>
                  <w:rStyle w:val="Hyperlink"/>
                  <w:rFonts w:cs="Calibri Light"/>
                  <w:sz w:val="20"/>
                  <w:szCs w:val="20"/>
                </w:rPr>
                <w:t>Application of Regulation S-X</w:t>
              </w:r>
            </w:hyperlink>
          </w:p>
        </w:tc>
        <w:tc>
          <w:tcPr>
            <w:tcW w:w="1278" w:type="dxa"/>
          </w:tcPr>
          <w:p w14:paraId="034B4093" w14:textId="77777777" w:rsidR="001F5308" w:rsidRPr="00EA728B" w:rsidRDefault="001F5308" w:rsidP="00E137C7">
            <w:pPr>
              <w:pStyle w:val="standard"/>
              <w:keepNext/>
              <w:keepLines/>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color w:val="FFFFFF"/>
                <w:sz w:val="20"/>
                <w:szCs w:val="20"/>
              </w:rPr>
              <w:t>1</w:t>
            </w:r>
            <w:r w:rsidRPr="00EA728B">
              <w:rPr>
                <w:rFonts w:cs="Calibri Light"/>
                <w:sz w:val="20"/>
                <w:szCs w:val="20"/>
              </w:rPr>
              <w:t>1</w:t>
            </w:r>
          </w:p>
        </w:tc>
      </w:tr>
      <w:tr w:rsidR="001F5308" w:rsidRPr="00EA728B" w14:paraId="1299E297" w14:textId="77777777" w:rsidTr="570570C2">
        <w:trPr>
          <w:cantSplit/>
        </w:trPr>
        <w:tc>
          <w:tcPr>
            <w:tcW w:w="1278" w:type="dxa"/>
          </w:tcPr>
          <w:p w14:paraId="2473E2B1" w14:textId="77777777" w:rsidR="001F5308" w:rsidRPr="00EA728B" w:rsidRDefault="001F5308" w:rsidP="00EA728B">
            <w:pPr>
              <w:pStyle w:val="standard"/>
              <w:spacing w:before="0" w:after="120" w:line="240" w:lineRule="atLeast"/>
              <w:rPr>
                <w:rFonts w:cs="Calibri Light"/>
                <w:sz w:val="20"/>
                <w:szCs w:val="20"/>
              </w:rPr>
            </w:pPr>
          </w:p>
        </w:tc>
        <w:tc>
          <w:tcPr>
            <w:tcW w:w="6282" w:type="dxa"/>
          </w:tcPr>
          <w:p w14:paraId="0CCC5BAF" w14:textId="77777777" w:rsidR="001F5308" w:rsidRPr="00EA728B" w:rsidRDefault="00130B3D" w:rsidP="00EA728B">
            <w:pPr>
              <w:pStyle w:val="standard"/>
              <w:spacing w:before="0" w:after="120" w:line="240" w:lineRule="atLeast"/>
              <w:rPr>
                <w:rFonts w:cs="Calibri Light"/>
                <w:sz w:val="20"/>
                <w:szCs w:val="20"/>
              </w:rPr>
            </w:pPr>
            <w:hyperlink w:anchor="_ARTICLE_3._GENERAL" w:history="1">
              <w:r w:rsidR="001F5308" w:rsidRPr="00EA728B">
                <w:rPr>
                  <w:rStyle w:val="Hyperlink"/>
                  <w:rFonts w:cs="Calibri Light"/>
                  <w:sz w:val="20"/>
                  <w:szCs w:val="20"/>
                </w:rPr>
                <w:t>General Instructions as to Financial Statements</w:t>
              </w:r>
            </w:hyperlink>
          </w:p>
        </w:tc>
        <w:tc>
          <w:tcPr>
            <w:tcW w:w="1278" w:type="dxa"/>
          </w:tcPr>
          <w:p w14:paraId="16E60D53" w14:textId="77777777" w:rsidR="001F5308" w:rsidRPr="00EA728B" w:rsidRDefault="001F5308" w:rsidP="00EA728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color w:val="FFFFFF"/>
                <w:sz w:val="20"/>
                <w:szCs w:val="20"/>
              </w:rPr>
              <w:t>1</w:t>
            </w:r>
            <w:r w:rsidRPr="00EA728B">
              <w:rPr>
                <w:rFonts w:cs="Calibri Light"/>
                <w:sz w:val="20"/>
                <w:szCs w:val="20"/>
              </w:rPr>
              <w:t>3</w:t>
            </w:r>
          </w:p>
        </w:tc>
      </w:tr>
      <w:tr w:rsidR="001F5308" w:rsidRPr="00EA728B" w14:paraId="434916F9" w14:textId="77777777" w:rsidTr="570570C2">
        <w:trPr>
          <w:cantSplit/>
        </w:trPr>
        <w:tc>
          <w:tcPr>
            <w:tcW w:w="1278" w:type="dxa"/>
          </w:tcPr>
          <w:p w14:paraId="349663E1" w14:textId="77777777" w:rsidR="001F5308" w:rsidRPr="00EA728B" w:rsidRDefault="001F5308" w:rsidP="00EA728B">
            <w:pPr>
              <w:pStyle w:val="standard"/>
              <w:spacing w:before="0" w:after="120" w:line="240" w:lineRule="atLeast"/>
              <w:rPr>
                <w:rFonts w:cs="Calibri Light"/>
                <w:sz w:val="20"/>
                <w:szCs w:val="20"/>
              </w:rPr>
            </w:pPr>
          </w:p>
        </w:tc>
        <w:tc>
          <w:tcPr>
            <w:tcW w:w="6282" w:type="dxa"/>
          </w:tcPr>
          <w:p w14:paraId="08828698" w14:textId="77777777" w:rsidR="001F5308" w:rsidRPr="00EA728B" w:rsidRDefault="00130B3D" w:rsidP="00EA728B">
            <w:pPr>
              <w:pStyle w:val="standard"/>
              <w:spacing w:before="0" w:after="120" w:line="240" w:lineRule="atLeast"/>
              <w:ind w:left="432" w:hanging="432"/>
              <w:rPr>
                <w:rFonts w:cs="Calibri Light"/>
                <w:sz w:val="20"/>
                <w:szCs w:val="20"/>
              </w:rPr>
            </w:pPr>
            <w:hyperlink w:anchor="_ARTICLE_3A._CONSOLIDATED" w:history="1">
              <w:r w:rsidR="001F5308" w:rsidRPr="00EA728B">
                <w:rPr>
                  <w:rStyle w:val="Hyperlink"/>
                  <w:rFonts w:cs="Calibri Light"/>
                  <w:sz w:val="20"/>
                  <w:szCs w:val="20"/>
                </w:rPr>
                <w:t xml:space="preserve">Consolidated and Combined Financial Statements </w:t>
              </w:r>
            </w:hyperlink>
          </w:p>
        </w:tc>
        <w:tc>
          <w:tcPr>
            <w:tcW w:w="1278" w:type="dxa"/>
          </w:tcPr>
          <w:p w14:paraId="12723ADE" w14:textId="77777777" w:rsidR="001F5308" w:rsidRPr="00EA728B" w:rsidRDefault="001F5308" w:rsidP="00EA728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3A</w:t>
            </w:r>
          </w:p>
        </w:tc>
      </w:tr>
      <w:tr w:rsidR="001F5308" w:rsidRPr="00EA728B" w14:paraId="7FA585A8" w14:textId="77777777" w:rsidTr="570570C2">
        <w:trPr>
          <w:cantSplit/>
        </w:trPr>
        <w:tc>
          <w:tcPr>
            <w:tcW w:w="1278" w:type="dxa"/>
          </w:tcPr>
          <w:p w14:paraId="6603391E" w14:textId="77777777" w:rsidR="001F5308" w:rsidRPr="00EA728B" w:rsidRDefault="001F5308" w:rsidP="00EA728B">
            <w:pPr>
              <w:pStyle w:val="standard"/>
              <w:spacing w:before="0" w:after="120" w:line="240" w:lineRule="atLeast"/>
              <w:rPr>
                <w:rFonts w:cs="Calibri Light"/>
                <w:sz w:val="20"/>
                <w:szCs w:val="20"/>
              </w:rPr>
            </w:pPr>
          </w:p>
        </w:tc>
        <w:tc>
          <w:tcPr>
            <w:tcW w:w="6282" w:type="dxa"/>
          </w:tcPr>
          <w:p w14:paraId="24B31036" w14:textId="0DC6B979" w:rsidR="001F5308" w:rsidRPr="00EA728B" w:rsidRDefault="00130B3D" w:rsidP="00EA728B">
            <w:pPr>
              <w:pStyle w:val="standard"/>
              <w:spacing w:before="0" w:after="120" w:line="240" w:lineRule="atLeast"/>
              <w:rPr>
                <w:rFonts w:cs="Calibri Light"/>
                <w:sz w:val="20"/>
                <w:szCs w:val="20"/>
              </w:rPr>
            </w:pPr>
            <w:hyperlink w:anchor="article_4" w:history="1">
              <w:r w:rsidR="001F5308" w:rsidRPr="00EA728B">
                <w:rPr>
                  <w:rStyle w:val="Hyperlink"/>
                  <w:rFonts w:cs="Calibri Light"/>
                  <w:sz w:val="20"/>
                  <w:szCs w:val="20"/>
                </w:rPr>
                <w:t>Rules of General Application</w:t>
              </w:r>
            </w:hyperlink>
          </w:p>
        </w:tc>
        <w:tc>
          <w:tcPr>
            <w:tcW w:w="1278" w:type="dxa"/>
          </w:tcPr>
          <w:p w14:paraId="0481B911" w14:textId="77777777" w:rsidR="001F5308" w:rsidRPr="00EA728B" w:rsidRDefault="001F5308" w:rsidP="00EA728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color w:val="FFFFFF"/>
                <w:sz w:val="20"/>
                <w:szCs w:val="20"/>
              </w:rPr>
              <w:t>1</w:t>
            </w:r>
            <w:r w:rsidRPr="00EA728B">
              <w:rPr>
                <w:rFonts w:cs="Calibri Light"/>
                <w:sz w:val="20"/>
                <w:szCs w:val="20"/>
              </w:rPr>
              <w:t>4</w:t>
            </w:r>
          </w:p>
        </w:tc>
      </w:tr>
      <w:tr w:rsidR="006143BB" w:rsidRPr="00EA728B" w14:paraId="479D1EB1" w14:textId="77777777" w:rsidTr="570570C2">
        <w:trPr>
          <w:cantSplit/>
          <w:trHeight w:val="398"/>
        </w:trPr>
        <w:tc>
          <w:tcPr>
            <w:tcW w:w="1278" w:type="dxa"/>
          </w:tcPr>
          <w:p w14:paraId="0C057EFD" w14:textId="77777777" w:rsidR="006143BB" w:rsidRPr="00EA728B" w:rsidRDefault="006143BB" w:rsidP="00EA728B">
            <w:pPr>
              <w:pStyle w:val="standard"/>
              <w:spacing w:before="0" w:after="120" w:line="240" w:lineRule="atLeast"/>
              <w:rPr>
                <w:rFonts w:cs="Calibri Light"/>
                <w:sz w:val="20"/>
                <w:szCs w:val="20"/>
              </w:rPr>
            </w:pPr>
          </w:p>
        </w:tc>
        <w:tc>
          <w:tcPr>
            <w:tcW w:w="6282" w:type="dxa"/>
          </w:tcPr>
          <w:p w14:paraId="49E55440" w14:textId="77777777" w:rsidR="006143BB" w:rsidRPr="00EA728B" w:rsidRDefault="00130B3D" w:rsidP="00EA728B">
            <w:pPr>
              <w:pStyle w:val="standard"/>
              <w:spacing w:before="0" w:after="120" w:line="240" w:lineRule="atLeast"/>
              <w:rPr>
                <w:rFonts w:cs="Calibri Light"/>
                <w:sz w:val="20"/>
                <w:szCs w:val="20"/>
              </w:rPr>
            </w:pPr>
            <w:hyperlink w:anchor="_ARTICLE_5._COMMERCIAL" w:history="1">
              <w:r w:rsidR="006143BB" w:rsidRPr="00EA728B">
                <w:rPr>
                  <w:rStyle w:val="Hyperlink"/>
                  <w:rFonts w:cs="Calibri Light"/>
                  <w:sz w:val="20"/>
                  <w:szCs w:val="20"/>
                </w:rPr>
                <w:t>Commercial and Industrial Companies</w:t>
              </w:r>
            </w:hyperlink>
          </w:p>
        </w:tc>
        <w:tc>
          <w:tcPr>
            <w:tcW w:w="1278" w:type="dxa"/>
          </w:tcPr>
          <w:p w14:paraId="7DDDF8C2" w14:textId="77777777" w:rsidR="006143BB" w:rsidRPr="00EA728B" w:rsidRDefault="006143BB" w:rsidP="00EA728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color w:val="FFFFFF"/>
                <w:sz w:val="20"/>
                <w:szCs w:val="20"/>
              </w:rPr>
              <w:t>1</w:t>
            </w:r>
            <w:r w:rsidRPr="00EA728B">
              <w:rPr>
                <w:rFonts w:cs="Calibri Light"/>
                <w:sz w:val="20"/>
                <w:szCs w:val="20"/>
              </w:rPr>
              <w:t>5</w:t>
            </w:r>
          </w:p>
        </w:tc>
      </w:tr>
      <w:tr w:rsidR="006143BB" w:rsidRPr="00EA728B" w14:paraId="2F5B9DA9" w14:textId="77777777" w:rsidTr="570570C2">
        <w:trPr>
          <w:cantSplit/>
          <w:trHeight w:val="397"/>
        </w:trPr>
        <w:tc>
          <w:tcPr>
            <w:tcW w:w="1278" w:type="dxa"/>
          </w:tcPr>
          <w:p w14:paraId="71AF3BA6" w14:textId="77777777" w:rsidR="006143BB" w:rsidRPr="00EA728B" w:rsidRDefault="006143BB" w:rsidP="00EA728B">
            <w:pPr>
              <w:pStyle w:val="standard"/>
              <w:spacing w:before="0" w:after="120" w:line="240" w:lineRule="atLeast"/>
              <w:rPr>
                <w:rFonts w:cs="Calibri Light"/>
                <w:sz w:val="20"/>
                <w:szCs w:val="20"/>
              </w:rPr>
            </w:pPr>
          </w:p>
        </w:tc>
        <w:tc>
          <w:tcPr>
            <w:tcW w:w="6282" w:type="dxa"/>
          </w:tcPr>
          <w:p w14:paraId="6A9036DA" w14:textId="77777777" w:rsidR="006143BB" w:rsidRPr="00EA728B" w:rsidRDefault="00130B3D" w:rsidP="00EA728B">
            <w:pPr>
              <w:pStyle w:val="standard"/>
              <w:spacing w:before="0" w:after="120" w:line="240" w:lineRule="atLeast"/>
              <w:rPr>
                <w:rFonts w:cs="Calibri Light"/>
                <w:sz w:val="20"/>
                <w:szCs w:val="20"/>
              </w:rPr>
            </w:pPr>
            <w:hyperlink w:anchor="Article8" w:history="1">
              <w:r w:rsidR="006143BB" w:rsidRPr="00EA728B">
                <w:rPr>
                  <w:rStyle w:val="Hyperlink"/>
                  <w:rFonts w:cs="Calibri Light"/>
                  <w:sz w:val="20"/>
                  <w:szCs w:val="20"/>
                </w:rPr>
                <w:t>Financial Statements of Smaller Reporting Companies</w:t>
              </w:r>
            </w:hyperlink>
          </w:p>
        </w:tc>
        <w:tc>
          <w:tcPr>
            <w:tcW w:w="1278" w:type="dxa"/>
          </w:tcPr>
          <w:p w14:paraId="39954A99" w14:textId="77777777" w:rsidR="006143BB" w:rsidRPr="00EA728B" w:rsidRDefault="006143BB" w:rsidP="00EA728B">
            <w:pPr>
              <w:pStyle w:val="standard"/>
              <w:tabs>
                <w:tab w:val="clear" w:pos="576"/>
                <w:tab w:val="clear" w:pos="1152"/>
                <w:tab w:val="decimal" w:pos="1062"/>
              </w:tabs>
              <w:spacing w:before="0" w:after="120" w:line="240" w:lineRule="atLeast"/>
              <w:ind w:left="-18" w:right="162"/>
              <w:jc w:val="right"/>
              <w:rPr>
                <w:rFonts w:cs="Calibri Light"/>
                <w:color w:val="FFFFFF"/>
                <w:sz w:val="20"/>
                <w:szCs w:val="20"/>
              </w:rPr>
            </w:pPr>
            <w:r w:rsidRPr="00EA728B">
              <w:rPr>
                <w:rFonts w:cs="Calibri Light"/>
                <w:sz w:val="20"/>
                <w:szCs w:val="20"/>
              </w:rPr>
              <w:t>8</w:t>
            </w:r>
          </w:p>
        </w:tc>
      </w:tr>
      <w:tr w:rsidR="0031673D" w:rsidRPr="00EA728B" w14:paraId="1E2FFEF1" w14:textId="77777777" w:rsidTr="570570C2">
        <w:trPr>
          <w:cantSplit/>
        </w:trPr>
        <w:tc>
          <w:tcPr>
            <w:tcW w:w="1278" w:type="dxa"/>
          </w:tcPr>
          <w:p w14:paraId="68BC1A35" w14:textId="77777777" w:rsidR="0031673D" w:rsidRPr="00EA728B" w:rsidRDefault="0031673D" w:rsidP="00EA728B">
            <w:pPr>
              <w:pStyle w:val="standard"/>
              <w:spacing w:before="0" w:after="120" w:line="240" w:lineRule="atLeast"/>
              <w:rPr>
                <w:rFonts w:cs="Calibri Light"/>
                <w:sz w:val="20"/>
                <w:szCs w:val="20"/>
              </w:rPr>
            </w:pPr>
          </w:p>
        </w:tc>
        <w:tc>
          <w:tcPr>
            <w:tcW w:w="6282" w:type="dxa"/>
          </w:tcPr>
          <w:p w14:paraId="13465DD7" w14:textId="77777777" w:rsidR="0031673D" w:rsidRPr="00EA728B" w:rsidRDefault="00130B3D" w:rsidP="00EA728B">
            <w:pPr>
              <w:pStyle w:val="standard"/>
              <w:spacing w:before="0" w:after="120" w:line="240" w:lineRule="atLeast"/>
              <w:rPr>
                <w:rFonts w:cs="Calibri Light"/>
                <w:sz w:val="20"/>
                <w:szCs w:val="20"/>
              </w:rPr>
            </w:pPr>
            <w:hyperlink w:anchor="Article10" w:history="1">
              <w:r w:rsidR="0031673D" w:rsidRPr="00EA728B">
                <w:rPr>
                  <w:rStyle w:val="Hyperlink"/>
                  <w:rFonts w:cs="Calibri Light"/>
                  <w:sz w:val="20"/>
                  <w:szCs w:val="20"/>
                </w:rPr>
                <w:t>Interim Financial Statements</w:t>
              </w:r>
            </w:hyperlink>
          </w:p>
        </w:tc>
        <w:tc>
          <w:tcPr>
            <w:tcW w:w="1278" w:type="dxa"/>
          </w:tcPr>
          <w:p w14:paraId="0D8ABAE1" w14:textId="77777777" w:rsidR="0031673D" w:rsidRPr="00EA728B" w:rsidRDefault="0031673D" w:rsidP="00EA728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10</w:t>
            </w:r>
          </w:p>
        </w:tc>
      </w:tr>
      <w:tr w:rsidR="001F5308" w:rsidRPr="00EA728B" w14:paraId="17368317" w14:textId="77777777" w:rsidTr="570570C2">
        <w:trPr>
          <w:cantSplit/>
        </w:trPr>
        <w:tc>
          <w:tcPr>
            <w:tcW w:w="1278" w:type="dxa"/>
          </w:tcPr>
          <w:p w14:paraId="325415AE" w14:textId="77777777" w:rsidR="001F5308" w:rsidRPr="00EA728B" w:rsidRDefault="001F5308" w:rsidP="00EA728B">
            <w:pPr>
              <w:pStyle w:val="standard"/>
              <w:spacing w:before="0" w:after="120" w:line="240" w:lineRule="atLeast"/>
              <w:rPr>
                <w:rFonts w:cs="Calibri Light"/>
                <w:sz w:val="20"/>
                <w:szCs w:val="20"/>
              </w:rPr>
            </w:pPr>
          </w:p>
        </w:tc>
        <w:tc>
          <w:tcPr>
            <w:tcW w:w="6282" w:type="dxa"/>
          </w:tcPr>
          <w:p w14:paraId="5ED07B8B" w14:textId="77777777" w:rsidR="001F5308" w:rsidRPr="00EA728B" w:rsidRDefault="00130B3D" w:rsidP="00EA728B">
            <w:pPr>
              <w:pStyle w:val="standard"/>
              <w:spacing w:before="0" w:after="120" w:line="240" w:lineRule="atLeast"/>
              <w:rPr>
                <w:rFonts w:cs="Calibri Light"/>
                <w:sz w:val="20"/>
                <w:szCs w:val="20"/>
              </w:rPr>
            </w:pPr>
            <w:hyperlink w:anchor="Article11ProForma" w:history="1">
              <w:r w:rsidR="001F5308" w:rsidRPr="00EA728B">
                <w:rPr>
                  <w:rStyle w:val="Hyperlink"/>
                  <w:rFonts w:cs="Calibri Light"/>
                  <w:sz w:val="20"/>
                  <w:szCs w:val="20"/>
                </w:rPr>
                <w:t>Pro Forma Financial Information</w:t>
              </w:r>
            </w:hyperlink>
          </w:p>
        </w:tc>
        <w:tc>
          <w:tcPr>
            <w:tcW w:w="1278" w:type="dxa"/>
          </w:tcPr>
          <w:p w14:paraId="7F205A56" w14:textId="77777777" w:rsidR="001F5308" w:rsidRPr="00EA728B" w:rsidRDefault="001F5308" w:rsidP="00EA728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11</w:t>
            </w:r>
          </w:p>
        </w:tc>
      </w:tr>
      <w:tr w:rsidR="001F5308" w:rsidRPr="00EA728B" w14:paraId="1D505E80" w14:textId="77777777" w:rsidTr="570570C2">
        <w:trPr>
          <w:cantSplit/>
        </w:trPr>
        <w:tc>
          <w:tcPr>
            <w:tcW w:w="1278" w:type="dxa"/>
            <w:shd w:val="clear" w:color="auto" w:fill="C7C8CA" w:themeFill="accent6" w:themeFillTint="66"/>
          </w:tcPr>
          <w:p w14:paraId="3983AE34" w14:textId="6073859B" w:rsidR="001F5308" w:rsidRPr="00EA728B" w:rsidRDefault="001F5308" w:rsidP="00925085">
            <w:pPr>
              <w:pStyle w:val="standard"/>
              <w:keepNext/>
              <w:spacing w:before="0" w:after="120" w:line="240" w:lineRule="atLeast"/>
              <w:rPr>
                <w:rFonts w:cs="Calibri Light"/>
                <w:sz w:val="20"/>
                <w:szCs w:val="20"/>
              </w:rPr>
            </w:pPr>
            <w:r w:rsidRPr="00EA728B">
              <w:rPr>
                <w:rFonts w:cs="Calibri Light"/>
                <w:b/>
                <w:sz w:val="20"/>
                <w:szCs w:val="20"/>
              </w:rPr>
              <w:t>PART II.</w:t>
            </w:r>
          </w:p>
        </w:tc>
        <w:tc>
          <w:tcPr>
            <w:tcW w:w="6282" w:type="dxa"/>
            <w:shd w:val="clear" w:color="auto" w:fill="C7C8CA" w:themeFill="accent6" w:themeFillTint="66"/>
          </w:tcPr>
          <w:p w14:paraId="0BBEE05A" w14:textId="787CA283" w:rsidR="001F5308" w:rsidRPr="00EA728B" w:rsidRDefault="001F5308" w:rsidP="00925085">
            <w:pPr>
              <w:pStyle w:val="standard"/>
              <w:keepNext/>
              <w:spacing w:before="0" w:after="120" w:line="240" w:lineRule="atLeast"/>
              <w:rPr>
                <w:rFonts w:cs="Calibri Light"/>
                <w:sz w:val="20"/>
                <w:szCs w:val="20"/>
              </w:rPr>
            </w:pPr>
            <w:r w:rsidRPr="00EA728B">
              <w:rPr>
                <w:rFonts w:cs="Calibri Light"/>
                <w:b/>
                <w:sz w:val="20"/>
                <w:szCs w:val="20"/>
              </w:rPr>
              <w:t>REGULATION S-K</w:t>
            </w:r>
            <w:r w:rsidR="00832808" w:rsidRPr="00EA728B">
              <w:rPr>
                <w:rFonts w:cs="Calibri Light"/>
                <w:b/>
                <w:sz w:val="20"/>
                <w:szCs w:val="20"/>
              </w:rPr>
              <w:t xml:space="preserve"> </w:t>
            </w:r>
            <w:r w:rsidRPr="00EA728B">
              <w:rPr>
                <w:rFonts w:cs="Calibri Light"/>
                <w:b/>
                <w:sz w:val="20"/>
                <w:szCs w:val="20"/>
              </w:rPr>
              <w:t>—</w:t>
            </w:r>
            <w:r w:rsidR="00832808" w:rsidRPr="00EA728B">
              <w:rPr>
                <w:rFonts w:cs="Calibri Light"/>
                <w:b/>
                <w:sz w:val="20"/>
                <w:szCs w:val="20"/>
              </w:rPr>
              <w:t xml:space="preserve"> </w:t>
            </w:r>
            <w:r w:rsidRPr="00EA728B">
              <w:rPr>
                <w:rFonts w:cs="Calibri Light"/>
                <w:sz w:val="20"/>
                <w:szCs w:val="20"/>
              </w:rPr>
              <w:t>Financial Related</w:t>
            </w:r>
            <w:r w:rsidR="00B43DF9" w:rsidRPr="00EA728B">
              <w:rPr>
                <w:rFonts w:cs="Calibri Light"/>
                <w:sz w:val="20"/>
                <w:szCs w:val="20"/>
              </w:rPr>
              <w:t xml:space="preserve"> </w:t>
            </w:r>
            <w:r w:rsidRPr="00EA728B">
              <w:rPr>
                <w:rFonts w:cs="Calibri Light"/>
                <w:sz w:val="20"/>
                <w:szCs w:val="20"/>
              </w:rPr>
              <w:t>Disclosures Only</w:t>
            </w:r>
          </w:p>
        </w:tc>
        <w:tc>
          <w:tcPr>
            <w:tcW w:w="1278" w:type="dxa"/>
            <w:shd w:val="clear" w:color="auto" w:fill="C7C8CA" w:themeFill="accent6" w:themeFillTint="66"/>
          </w:tcPr>
          <w:p w14:paraId="34B19FE8" w14:textId="1BC6045E" w:rsidR="001F5308" w:rsidRPr="00EA728B" w:rsidRDefault="001F5308" w:rsidP="00925085">
            <w:pPr>
              <w:pStyle w:val="standard"/>
              <w:keepNext/>
              <w:spacing w:before="0" w:after="120" w:line="240" w:lineRule="atLeast"/>
              <w:jc w:val="right"/>
              <w:rPr>
                <w:rFonts w:cs="Calibri Light"/>
                <w:sz w:val="20"/>
                <w:szCs w:val="20"/>
              </w:rPr>
            </w:pPr>
            <w:r w:rsidRPr="00EA728B">
              <w:rPr>
                <w:rFonts w:cs="Calibri Light"/>
                <w:b/>
                <w:sz w:val="20"/>
                <w:szCs w:val="20"/>
              </w:rPr>
              <w:t>Item</w:t>
            </w:r>
          </w:p>
        </w:tc>
      </w:tr>
      <w:tr w:rsidR="001F5308" w:rsidRPr="00EA728B" w14:paraId="1969A018" w14:textId="77777777" w:rsidTr="570570C2">
        <w:trPr>
          <w:cantSplit/>
        </w:trPr>
        <w:tc>
          <w:tcPr>
            <w:tcW w:w="1278" w:type="dxa"/>
          </w:tcPr>
          <w:p w14:paraId="2F461876" w14:textId="77777777" w:rsidR="001F5308" w:rsidRPr="00EA728B" w:rsidRDefault="001F5308" w:rsidP="00EA728B">
            <w:pPr>
              <w:pStyle w:val="standard"/>
              <w:spacing w:before="0" w:after="120" w:line="240" w:lineRule="atLeast"/>
              <w:rPr>
                <w:rFonts w:cs="Calibri Light"/>
                <w:sz w:val="20"/>
                <w:szCs w:val="20"/>
              </w:rPr>
            </w:pPr>
          </w:p>
        </w:tc>
        <w:tc>
          <w:tcPr>
            <w:tcW w:w="6282" w:type="dxa"/>
          </w:tcPr>
          <w:p w14:paraId="2F25370B" w14:textId="20885E8B" w:rsidR="001F5308" w:rsidRPr="00EA728B" w:rsidRDefault="00130B3D" w:rsidP="00EA728B">
            <w:pPr>
              <w:pStyle w:val="standard"/>
              <w:spacing w:before="0" w:after="120" w:line="240" w:lineRule="atLeast"/>
              <w:rPr>
                <w:rFonts w:cs="Calibri Light"/>
                <w:sz w:val="20"/>
                <w:szCs w:val="20"/>
              </w:rPr>
            </w:pPr>
            <w:hyperlink w:anchor="item_101">
              <w:r w:rsidR="001F5308" w:rsidRPr="570570C2">
                <w:rPr>
                  <w:rStyle w:val="Hyperlink"/>
                  <w:rFonts w:cs="Calibri Light"/>
                  <w:sz w:val="20"/>
                  <w:szCs w:val="20"/>
                </w:rPr>
                <w:t xml:space="preserve">Description of </w:t>
              </w:r>
            </w:hyperlink>
            <w:r w:rsidR="001F5308" w:rsidRPr="570570C2">
              <w:rPr>
                <w:rStyle w:val="Hyperlink"/>
                <w:rFonts w:cs="Calibri Light"/>
                <w:sz w:val="20"/>
                <w:szCs w:val="20"/>
              </w:rPr>
              <w:t>Business</w:t>
            </w:r>
          </w:p>
        </w:tc>
        <w:tc>
          <w:tcPr>
            <w:tcW w:w="1278" w:type="dxa"/>
          </w:tcPr>
          <w:p w14:paraId="41BD621C" w14:textId="4AD97BA0" w:rsidR="001F5308" w:rsidRPr="00EA728B" w:rsidRDefault="001F5308" w:rsidP="00EA728B">
            <w:pPr>
              <w:pStyle w:val="standard"/>
              <w:tabs>
                <w:tab w:val="clear" w:pos="576"/>
                <w:tab w:val="clear" w:pos="1152"/>
                <w:tab w:val="clear" w:pos="1728"/>
                <w:tab w:val="clear" w:pos="2304"/>
                <w:tab w:val="clear" w:pos="2880"/>
              </w:tabs>
              <w:spacing w:before="0" w:after="120" w:line="240" w:lineRule="atLeast"/>
              <w:ind w:right="162"/>
              <w:jc w:val="right"/>
              <w:rPr>
                <w:rFonts w:cs="Calibri Light"/>
                <w:sz w:val="20"/>
                <w:szCs w:val="20"/>
              </w:rPr>
            </w:pPr>
            <w:r w:rsidRPr="00EA728B">
              <w:rPr>
                <w:rFonts w:cs="Calibri Light"/>
                <w:sz w:val="20"/>
                <w:szCs w:val="20"/>
              </w:rPr>
              <w:t>101</w:t>
            </w:r>
          </w:p>
        </w:tc>
      </w:tr>
      <w:tr w:rsidR="00944BBB" w:rsidRPr="00EA728B" w14:paraId="5B7CFD0F" w14:textId="77777777" w:rsidTr="570570C2">
        <w:trPr>
          <w:cantSplit/>
        </w:trPr>
        <w:tc>
          <w:tcPr>
            <w:tcW w:w="1278" w:type="dxa"/>
          </w:tcPr>
          <w:p w14:paraId="53CE8542"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34DB255F" w14:textId="54BE9D01" w:rsidR="00944BBB" w:rsidRDefault="00130B3D" w:rsidP="00944BBB">
            <w:pPr>
              <w:pStyle w:val="standard"/>
              <w:spacing w:before="0" w:after="120" w:line="240" w:lineRule="atLeast"/>
            </w:pPr>
            <w:hyperlink w:anchor="Item_105" w:history="1">
              <w:r w:rsidR="00944BBB" w:rsidRPr="00EA728B">
                <w:rPr>
                  <w:rStyle w:val="Hyperlink"/>
                  <w:rFonts w:cs="Calibri Light"/>
                  <w:sz w:val="20"/>
                  <w:szCs w:val="20"/>
                </w:rPr>
                <w:t>Risk Factors</w:t>
              </w:r>
            </w:hyperlink>
          </w:p>
        </w:tc>
        <w:tc>
          <w:tcPr>
            <w:tcW w:w="1278" w:type="dxa"/>
          </w:tcPr>
          <w:p w14:paraId="563572AB" w14:textId="2BE6659D" w:rsidR="00944BBB" w:rsidRPr="00EA728B" w:rsidRDefault="00944BBB" w:rsidP="00944BBB">
            <w:pPr>
              <w:pStyle w:val="standard"/>
              <w:tabs>
                <w:tab w:val="clear" w:pos="576"/>
                <w:tab w:val="clear" w:pos="1152"/>
                <w:tab w:val="clear" w:pos="1728"/>
                <w:tab w:val="decimal" w:pos="1062"/>
                <w:tab w:val="left" w:pos="1854"/>
              </w:tabs>
              <w:spacing w:before="0" w:after="120" w:line="240" w:lineRule="atLeast"/>
              <w:ind w:left="-18" w:right="162"/>
              <w:jc w:val="right"/>
              <w:rPr>
                <w:rFonts w:cs="Calibri Light"/>
                <w:sz w:val="20"/>
                <w:szCs w:val="20"/>
              </w:rPr>
            </w:pPr>
            <w:r>
              <w:rPr>
                <w:rFonts w:cs="Calibri Light"/>
                <w:sz w:val="20"/>
                <w:szCs w:val="20"/>
              </w:rPr>
              <w:t>105</w:t>
            </w:r>
          </w:p>
        </w:tc>
      </w:tr>
      <w:tr w:rsidR="00944BBB" w:rsidRPr="00EA728B" w14:paraId="5F9D95FF" w14:textId="77777777" w:rsidTr="570570C2">
        <w:trPr>
          <w:cantSplit/>
        </w:trPr>
        <w:tc>
          <w:tcPr>
            <w:tcW w:w="1278" w:type="dxa"/>
          </w:tcPr>
          <w:p w14:paraId="042F7CFB"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2CDA6EDE" w14:textId="0D308490" w:rsidR="00944BBB" w:rsidRPr="00EA728B" w:rsidRDefault="00130B3D" w:rsidP="00944BBB">
            <w:pPr>
              <w:pStyle w:val="standard"/>
              <w:spacing w:before="0" w:after="120" w:line="240" w:lineRule="atLeast"/>
              <w:rPr>
                <w:rFonts w:cs="Calibri Light"/>
                <w:sz w:val="20"/>
                <w:szCs w:val="20"/>
              </w:rPr>
            </w:pPr>
            <w:hyperlink w:anchor="item_201">
              <w:r w:rsidR="0BA62F8A" w:rsidRPr="570570C2">
                <w:rPr>
                  <w:rStyle w:val="Hyperlink"/>
                  <w:rFonts w:cs="Calibri Light"/>
                  <w:sz w:val="20"/>
                  <w:szCs w:val="20"/>
                </w:rPr>
                <w:t>Market Price of and Dividends on the Registrant’s Common Equity and Related Stockholder Matters —Securities authorized for issuance under equity compensation p</w:t>
              </w:r>
            </w:hyperlink>
            <w:r w:rsidR="0BA62F8A" w:rsidRPr="570570C2">
              <w:rPr>
                <w:rStyle w:val="Hyperlink"/>
                <w:rFonts w:cs="Calibri Light"/>
                <w:sz w:val="20"/>
                <w:szCs w:val="20"/>
              </w:rPr>
              <w:t>lans</w:t>
            </w:r>
          </w:p>
        </w:tc>
        <w:tc>
          <w:tcPr>
            <w:tcW w:w="1278" w:type="dxa"/>
          </w:tcPr>
          <w:p w14:paraId="52DC11A4" w14:textId="5451B96B" w:rsidR="00944BBB" w:rsidRPr="00EA728B" w:rsidRDefault="00944BBB" w:rsidP="00944BBB">
            <w:pPr>
              <w:pStyle w:val="standard"/>
              <w:tabs>
                <w:tab w:val="clear" w:pos="576"/>
                <w:tab w:val="clear" w:pos="1152"/>
                <w:tab w:val="clear" w:pos="1728"/>
                <w:tab w:val="decimal" w:pos="1062"/>
                <w:tab w:val="left" w:pos="1854"/>
              </w:tabs>
              <w:spacing w:before="0" w:after="120" w:line="240" w:lineRule="atLeast"/>
              <w:ind w:left="-18" w:right="162"/>
              <w:jc w:val="right"/>
              <w:rPr>
                <w:rFonts w:cs="Calibri Light"/>
                <w:sz w:val="20"/>
                <w:szCs w:val="20"/>
              </w:rPr>
            </w:pPr>
            <w:r w:rsidRPr="00EA728B">
              <w:rPr>
                <w:rFonts w:cs="Calibri Light"/>
                <w:sz w:val="20"/>
                <w:szCs w:val="20"/>
              </w:rPr>
              <w:t>201</w:t>
            </w:r>
          </w:p>
        </w:tc>
      </w:tr>
      <w:tr w:rsidR="00944BBB" w:rsidRPr="00EA728B" w14:paraId="113D33A6" w14:textId="77777777" w:rsidTr="570570C2">
        <w:trPr>
          <w:cantSplit/>
        </w:trPr>
        <w:tc>
          <w:tcPr>
            <w:tcW w:w="1278" w:type="dxa"/>
          </w:tcPr>
          <w:p w14:paraId="0FD31296"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2F7CC395" w14:textId="0B2442C9" w:rsidR="00944BBB" w:rsidRPr="00EA728B" w:rsidRDefault="00130B3D" w:rsidP="00944BBB">
            <w:pPr>
              <w:pStyle w:val="standard"/>
              <w:spacing w:before="0" w:after="120" w:line="240" w:lineRule="atLeast"/>
              <w:rPr>
                <w:rFonts w:cs="Calibri Light"/>
                <w:sz w:val="20"/>
                <w:szCs w:val="20"/>
              </w:rPr>
            </w:pPr>
            <w:hyperlink w:anchor="item_302" w:history="1">
              <w:r w:rsidR="0BA62F8A" w:rsidRPr="008C24A4">
                <w:rPr>
                  <w:rStyle w:val="Hyperlink"/>
                  <w:rFonts w:cs="Calibri Light"/>
                  <w:sz w:val="20"/>
                  <w:szCs w:val="20"/>
                </w:rPr>
                <w:t>Supplementary Financial Information</w:t>
              </w:r>
            </w:hyperlink>
          </w:p>
        </w:tc>
        <w:tc>
          <w:tcPr>
            <w:tcW w:w="1278" w:type="dxa"/>
          </w:tcPr>
          <w:p w14:paraId="606802B8" w14:textId="6B44FA83"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Pr>
                <w:rFonts w:cs="Calibri Light"/>
                <w:sz w:val="20"/>
                <w:szCs w:val="20"/>
              </w:rPr>
              <w:t>302</w:t>
            </w:r>
          </w:p>
        </w:tc>
      </w:tr>
      <w:tr w:rsidR="00944BBB" w:rsidRPr="00EA728B" w14:paraId="5DE89725" w14:textId="77777777" w:rsidTr="570570C2">
        <w:trPr>
          <w:cantSplit/>
        </w:trPr>
        <w:tc>
          <w:tcPr>
            <w:tcW w:w="1278" w:type="dxa"/>
          </w:tcPr>
          <w:p w14:paraId="73F322DF"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518DAE5C" w14:textId="53EE2E14" w:rsidR="00944BBB" w:rsidRPr="00EA728B" w:rsidRDefault="00130B3D" w:rsidP="00944BBB">
            <w:pPr>
              <w:pStyle w:val="standard"/>
              <w:spacing w:before="0" w:after="120" w:line="240" w:lineRule="atLeast"/>
              <w:rPr>
                <w:rFonts w:cs="Calibri Light"/>
                <w:sz w:val="20"/>
                <w:szCs w:val="20"/>
              </w:rPr>
            </w:pPr>
            <w:hyperlink w:anchor="_Item_302(a)—Selected_Quarterly" w:history="1">
              <w:r w:rsidR="00944BBB" w:rsidRPr="00EA728B">
                <w:rPr>
                  <w:rStyle w:val="Hyperlink"/>
                  <w:rFonts w:cs="Calibri Light"/>
                  <w:sz w:val="20"/>
                  <w:szCs w:val="20"/>
                </w:rPr>
                <w:t>Selected Quarterly Financial Data</w:t>
              </w:r>
            </w:hyperlink>
          </w:p>
        </w:tc>
        <w:tc>
          <w:tcPr>
            <w:tcW w:w="1278" w:type="dxa"/>
          </w:tcPr>
          <w:p w14:paraId="4366E83F" w14:textId="6308A436"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302(a)</w:t>
            </w:r>
          </w:p>
        </w:tc>
      </w:tr>
      <w:tr w:rsidR="00944BBB" w:rsidRPr="00EA728B" w14:paraId="098E9153" w14:textId="77777777" w:rsidTr="570570C2">
        <w:trPr>
          <w:cantSplit/>
        </w:trPr>
        <w:tc>
          <w:tcPr>
            <w:tcW w:w="1278" w:type="dxa"/>
          </w:tcPr>
          <w:p w14:paraId="3EFB539D"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4AC37A76" w14:textId="3E893E9B" w:rsidR="00944BBB" w:rsidRPr="00EA728B" w:rsidRDefault="00130B3D" w:rsidP="00944BBB">
            <w:pPr>
              <w:pStyle w:val="standard"/>
              <w:spacing w:before="0" w:after="120" w:line="240" w:lineRule="atLeast"/>
              <w:rPr>
                <w:rFonts w:cs="Calibri Light"/>
                <w:sz w:val="20"/>
                <w:szCs w:val="20"/>
              </w:rPr>
            </w:pPr>
            <w:hyperlink w:anchor="_Item_302(b)—Information_About" w:history="1">
              <w:r w:rsidR="00944BBB" w:rsidRPr="00EA728B">
                <w:rPr>
                  <w:rStyle w:val="Hyperlink"/>
                  <w:rFonts w:cs="Calibri Light"/>
                  <w:sz w:val="20"/>
                  <w:szCs w:val="20"/>
                </w:rPr>
                <w:t>Oil and Gas Producing Activities</w:t>
              </w:r>
            </w:hyperlink>
          </w:p>
        </w:tc>
        <w:tc>
          <w:tcPr>
            <w:tcW w:w="1278" w:type="dxa"/>
          </w:tcPr>
          <w:p w14:paraId="483DE532" w14:textId="736A9F70"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302(b)</w:t>
            </w:r>
          </w:p>
        </w:tc>
      </w:tr>
      <w:tr w:rsidR="00944BBB" w:rsidRPr="00EA728B" w14:paraId="5F2EF179" w14:textId="77777777" w:rsidTr="570570C2">
        <w:trPr>
          <w:cantSplit/>
        </w:trPr>
        <w:tc>
          <w:tcPr>
            <w:tcW w:w="1278" w:type="dxa"/>
          </w:tcPr>
          <w:p w14:paraId="3D69CEAE"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1F2AC586" w14:textId="48698AF8" w:rsidR="00944BBB" w:rsidRPr="00EA728B" w:rsidRDefault="00130B3D" w:rsidP="00944BBB">
            <w:pPr>
              <w:pStyle w:val="standard"/>
              <w:spacing w:before="0" w:after="120" w:line="240" w:lineRule="atLeast"/>
              <w:rPr>
                <w:rFonts w:cs="Calibri Light"/>
                <w:sz w:val="20"/>
                <w:szCs w:val="20"/>
              </w:rPr>
            </w:pPr>
            <w:hyperlink w:anchor="item_303">
              <w:r w:rsidR="0BA62F8A" w:rsidRPr="570570C2">
                <w:rPr>
                  <w:rStyle w:val="Hyperlink"/>
                  <w:rFonts w:cs="Calibri Light"/>
                  <w:sz w:val="20"/>
                  <w:szCs w:val="20"/>
                </w:rPr>
                <w:t>Management’s Discussion and An</w:t>
              </w:r>
            </w:hyperlink>
            <w:r w:rsidR="0BA62F8A" w:rsidRPr="570570C2">
              <w:rPr>
                <w:rStyle w:val="Hyperlink"/>
                <w:rFonts w:cs="Calibri Light"/>
                <w:sz w:val="20"/>
                <w:szCs w:val="20"/>
              </w:rPr>
              <w:t>alysis</w:t>
            </w:r>
          </w:p>
        </w:tc>
        <w:tc>
          <w:tcPr>
            <w:tcW w:w="1278" w:type="dxa"/>
          </w:tcPr>
          <w:p w14:paraId="46E87720" w14:textId="3233938E"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303</w:t>
            </w:r>
          </w:p>
        </w:tc>
      </w:tr>
      <w:tr w:rsidR="00944BBB" w:rsidRPr="00EA728B" w14:paraId="04E8699E" w14:textId="77777777" w:rsidTr="570570C2">
        <w:trPr>
          <w:cantSplit/>
        </w:trPr>
        <w:tc>
          <w:tcPr>
            <w:tcW w:w="1278" w:type="dxa"/>
          </w:tcPr>
          <w:p w14:paraId="26F2898C"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41938A7D" w14:textId="749AB7DB" w:rsidR="00944BBB" w:rsidRPr="00EA728B" w:rsidRDefault="00130B3D" w:rsidP="00944BBB">
            <w:pPr>
              <w:pStyle w:val="standard"/>
              <w:spacing w:before="0" w:after="120" w:line="240" w:lineRule="atLeast"/>
              <w:rPr>
                <w:rFonts w:cs="Calibri Light"/>
                <w:sz w:val="20"/>
                <w:szCs w:val="20"/>
              </w:rPr>
            </w:pPr>
            <w:hyperlink w:anchor="_Item_304—Changes_in" w:history="1">
              <w:r w:rsidR="00944BBB" w:rsidRPr="00EA728B">
                <w:rPr>
                  <w:rStyle w:val="Hyperlink"/>
                  <w:rFonts w:cs="Calibri Light"/>
                  <w:sz w:val="20"/>
                  <w:szCs w:val="20"/>
                </w:rPr>
                <w:t>Changes in and Disagreements with Accountants</w:t>
              </w:r>
            </w:hyperlink>
          </w:p>
        </w:tc>
        <w:tc>
          <w:tcPr>
            <w:tcW w:w="1278" w:type="dxa"/>
          </w:tcPr>
          <w:p w14:paraId="5434B3F4" w14:textId="31CBEFC1"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304</w:t>
            </w:r>
          </w:p>
        </w:tc>
      </w:tr>
      <w:tr w:rsidR="00944BBB" w:rsidRPr="00EA728B" w14:paraId="64A91B5F" w14:textId="77777777" w:rsidTr="570570C2">
        <w:trPr>
          <w:cantSplit/>
        </w:trPr>
        <w:tc>
          <w:tcPr>
            <w:tcW w:w="1278" w:type="dxa"/>
          </w:tcPr>
          <w:p w14:paraId="63287AEF"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230106EE" w14:textId="77777777" w:rsidR="00944BBB" w:rsidRPr="00EA728B" w:rsidRDefault="00130B3D" w:rsidP="00944BBB">
            <w:pPr>
              <w:pStyle w:val="standard"/>
              <w:spacing w:before="0" w:after="120" w:line="240" w:lineRule="atLeast"/>
              <w:ind w:left="-18" w:firstLine="18"/>
              <w:rPr>
                <w:rFonts w:cs="Calibri Light"/>
                <w:sz w:val="20"/>
                <w:szCs w:val="20"/>
              </w:rPr>
            </w:pPr>
            <w:hyperlink w:anchor="_Item_305—Quantitative_and" w:history="1">
              <w:r w:rsidR="00944BBB" w:rsidRPr="00EA728B">
                <w:rPr>
                  <w:rStyle w:val="Hyperlink"/>
                  <w:rFonts w:cs="Calibri Light"/>
                  <w:sz w:val="20"/>
                  <w:szCs w:val="20"/>
                </w:rPr>
                <w:t>Quantitative and Qualitative Disclosure About Market Risk</w:t>
              </w:r>
            </w:hyperlink>
          </w:p>
        </w:tc>
        <w:tc>
          <w:tcPr>
            <w:tcW w:w="1278" w:type="dxa"/>
          </w:tcPr>
          <w:p w14:paraId="7973A5B5" w14:textId="77777777"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br/>
              <w:t>305</w:t>
            </w:r>
          </w:p>
        </w:tc>
      </w:tr>
      <w:tr w:rsidR="00944BBB" w:rsidRPr="00EA728B" w14:paraId="053B4A6B" w14:textId="77777777" w:rsidTr="570570C2">
        <w:trPr>
          <w:cantSplit/>
          <w:trHeight w:val="468"/>
        </w:trPr>
        <w:tc>
          <w:tcPr>
            <w:tcW w:w="1278" w:type="dxa"/>
          </w:tcPr>
          <w:p w14:paraId="468BE6D9"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0023FCC9" w14:textId="77777777" w:rsidR="00944BBB" w:rsidRPr="00EA728B" w:rsidRDefault="00130B3D" w:rsidP="00944BBB">
            <w:pPr>
              <w:pStyle w:val="standard"/>
              <w:spacing w:before="0" w:after="120" w:line="240" w:lineRule="atLeast"/>
              <w:ind w:left="-18" w:firstLine="18"/>
              <w:rPr>
                <w:rFonts w:cs="Calibri Light"/>
                <w:sz w:val="20"/>
                <w:szCs w:val="20"/>
              </w:rPr>
            </w:pPr>
            <w:hyperlink w:anchor="_Item_307—Disclosure_controls" w:history="1">
              <w:r w:rsidR="00944BBB" w:rsidRPr="00EA728B">
                <w:rPr>
                  <w:rStyle w:val="Hyperlink"/>
                  <w:rFonts w:cs="Calibri Light"/>
                  <w:sz w:val="20"/>
                  <w:szCs w:val="20"/>
                </w:rPr>
                <w:t>Controls and Procedures</w:t>
              </w:r>
            </w:hyperlink>
          </w:p>
        </w:tc>
        <w:tc>
          <w:tcPr>
            <w:tcW w:w="1278" w:type="dxa"/>
          </w:tcPr>
          <w:p w14:paraId="7FA55859" w14:textId="77777777"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307</w:t>
            </w:r>
          </w:p>
        </w:tc>
      </w:tr>
      <w:tr w:rsidR="00944BBB" w:rsidRPr="00EA728B" w14:paraId="3CA66D2F" w14:textId="77777777" w:rsidTr="570570C2">
        <w:trPr>
          <w:cantSplit/>
        </w:trPr>
        <w:tc>
          <w:tcPr>
            <w:tcW w:w="1278" w:type="dxa"/>
          </w:tcPr>
          <w:p w14:paraId="4EA2A4F1"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509E829F" w14:textId="77777777" w:rsidR="00944BBB" w:rsidRPr="00EA728B" w:rsidRDefault="00130B3D" w:rsidP="00944BBB">
            <w:pPr>
              <w:pStyle w:val="standard"/>
              <w:spacing w:before="0" w:after="120" w:line="240" w:lineRule="atLeast"/>
              <w:rPr>
                <w:rFonts w:cs="Calibri Light"/>
                <w:sz w:val="20"/>
                <w:szCs w:val="20"/>
              </w:rPr>
            </w:pPr>
            <w:hyperlink w:anchor="Item308" w:history="1">
              <w:r w:rsidR="00944BBB" w:rsidRPr="00EA728B">
                <w:rPr>
                  <w:rStyle w:val="Hyperlink"/>
                  <w:rFonts w:cs="Calibri Light"/>
                  <w:sz w:val="20"/>
                  <w:szCs w:val="20"/>
                </w:rPr>
                <w:t>Internal Control over Financial Reporting</w:t>
              </w:r>
            </w:hyperlink>
          </w:p>
        </w:tc>
        <w:tc>
          <w:tcPr>
            <w:tcW w:w="1278" w:type="dxa"/>
          </w:tcPr>
          <w:p w14:paraId="6C05FC21" w14:textId="77777777"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308</w:t>
            </w:r>
          </w:p>
        </w:tc>
      </w:tr>
      <w:tr w:rsidR="00944BBB" w:rsidRPr="00EA728B" w14:paraId="370812F1" w14:textId="77777777" w:rsidTr="570570C2">
        <w:trPr>
          <w:cantSplit/>
        </w:trPr>
        <w:tc>
          <w:tcPr>
            <w:tcW w:w="1278" w:type="dxa"/>
          </w:tcPr>
          <w:p w14:paraId="57B76CD4" w14:textId="77777777" w:rsidR="00944BBB" w:rsidRPr="00EA728B" w:rsidRDefault="00944BBB" w:rsidP="00944BBB">
            <w:pPr>
              <w:pStyle w:val="standard"/>
              <w:spacing w:before="0" w:after="120" w:line="240" w:lineRule="atLeast"/>
              <w:rPr>
                <w:rFonts w:cs="Calibri Light"/>
                <w:sz w:val="20"/>
                <w:szCs w:val="20"/>
              </w:rPr>
            </w:pPr>
          </w:p>
        </w:tc>
        <w:tc>
          <w:tcPr>
            <w:tcW w:w="6282" w:type="dxa"/>
          </w:tcPr>
          <w:p w14:paraId="32D6E92B" w14:textId="77777777" w:rsidR="00944BBB" w:rsidRPr="00EA728B" w:rsidRDefault="00130B3D" w:rsidP="00944BBB">
            <w:pPr>
              <w:pStyle w:val="standard"/>
              <w:spacing w:before="0" w:after="120" w:line="240" w:lineRule="atLeast"/>
              <w:rPr>
                <w:rFonts w:cs="Calibri Light"/>
                <w:sz w:val="20"/>
                <w:szCs w:val="20"/>
              </w:rPr>
            </w:pPr>
            <w:hyperlink w:anchor="item402_exec_comp" w:history="1">
              <w:r w:rsidR="00944BBB" w:rsidRPr="00EA728B">
                <w:rPr>
                  <w:rStyle w:val="Hyperlink"/>
                  <w:rFonts w:cs="Calibri Light"/>
                  <w:sz w:val="20"/>
                  <w:szCs w:val="20"/>
                </w:rPr>
                <w:t>Executive Compensation</w:t>
              </w:r>
            </w:hyperlink>
          </w:p>
        </w:tc>
        <w:tc>
          <w:tcPr>
            <w:tcW w:w="1278" w:type="dxa"/>
          </w:tcPr>
          <w:p w14:paraId="79BBDC87" w14:textId="77777777"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402</w:t>
            </w:r>
          </w:p>
        </w:tc>
      </w:tr>
      <w:tr w:rsidR="00944BBB" w:rsidRPr="00EA728B" w14:paraId="0C6CB713" w14:textId="77777777" w:rsidTr="570570C2">
        <w:trPr>
          <w:cantSplit/>
        </w:trPr>
        <w:tc>
          <w:tcPr>
            <w:tcW w:w="1278" w:type="dxa"/>
            <w:tcBorders>
              <w:bottom w:val="single" w:sz="4" w:space="0" w:color="63666A"/>
            </w:tcBorders>
          </w:tcPr>
          <w:p w14:paraId="14B1517A" w14:textId="77777777" w:rsidR="00944BBB" w:rsidRPr="00EA728B" w:rsidRDefault="00944BBB" w:rsidP="00944BBB">
            <w:pPr>
              <w:pStyle w:val="standard"/>
              <w:spacing w:before="0" w:after="120" w:line="240" w:lineRule="atLeast"/>
              <w:rPr>
                <w:rFonts w:cs="Calibri Light"/>
                <w:sz w:val="20"/>
                <w:szCs w:val="20"/>
              </w:rPr>
            </w:pPr>
          </w:p>
        </w:tc>
        <w:tc>
          <w:tcPr>
            <w:tcW w:w="6282" w:type="dxa"/>
            <w:tcBorders>
              <w:bottom w:val="single" w:sz="4" w:space="0" w:color="63666A"/>
            </w:tcBorders>
          </w:tcPr>
          <w:p w14:paraId="1BC2A4B3" w14:textId="209D1F56" w:rsidR="00944BBB" w:rsidRPr="00EA728B" w:rsidRDefault="00130B3D" w:rsidP="008C24A4">
            <w:pPr>
              <w:pStyle w:val="standard"/>
              <w:spacing w:before="0" w:after="120" w:line="240" w:lineRule="atLeast"/>
              <w:rPr>
                <w:rFonts w:cs="Calibri Light"/>
                <w:sz w:val="20"/>
                <w:szCs w:val="20"/>
              </w:rPr>
            </w:pPr>
            <w:hyperlink w:anchor="_Item_601._" w:history="1">
              <w:r w:rsidR="00944BBB" w:rsidRPr="00EA728B">
                <w:rPr>
                  <w:rStyle w:val="Hyperlink"/>
                  <w:rFonts w:cs="Calibri Light"/>
                  <w:sz w:val="20"/>
                  <w:szCs w:val="20"/>
                </w:rPr>
                <w:t>Exhibits</w:t>
              </w:r>
            </w:hyperlink>
          </w:p>
        </w:tc>
        <w:tc>
          <w:tcPr>
            <w:tcW w:w="1278" w:type="dxa"/>
            <w:tcBorders>
              <w:bottom w:val="single" w:sz="4" w:space="0" w:color="63666A"/>
            </w:tcBorders>
          </w:tcPr>
          <w:p w14:paraId="26364E75" w14:textId="14AAF90A" w:rsidR="00944BBB" w:rsidRPr="00EA728B" w:rsidRDefault="00944BBB" w:rsidP="008C24A4">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601</w:t>
            </w:r>
          </w:p>
        </w:tc>
      </w:tr>
      <w:tr w:rsidR="00944BBB" w:rsidRPr="00EA728B" w14:paraId="65765E8F" w14:textId="77777777" w:rsidTr="570570C2">
        <w:trPr>
          <w:cantSplit/>
        </w:trPr>
        <w:tc>
          <w:tcPr>
            <w:tcW w:w="1278" w:type="dxa"/>
            <w:tcBorders>
              <w:bottom w:val="single" w:sz="4" w:space="0" w:color="63666A"/>
            </w:tcBorders>
          </w:tcPr>
          <w:p w14:paraId="50647AC3" w14:textId="77777777" w:rsidR="00944BBB" w:rsidRPr="00EA728B" w:rsidRDefault="00944BBB" w:rsidP="00944BBB">
            <w:pPr>
              <w:pStyle w:val="standard"/>
              <w:spacing w:before="0" w:after="120" w:line="240" w:lineRule="atLeast"/>
              <w:rPr>
                <w:rFonts w:cs="Calibri Light"/>
                <w:sz w:val="20"/>
                <w:szCs w:val="20"/>
              </w:rPr>
            </w:pPr>
          </w:p>
        </w:tc>
        <w:tc>
          <w:tcPr>
            <w:tcW w:w="6282" w:type="dxa"/>
            <w:tcBorders>
              <w:bottom w:val="single" w:sz="4" w:space="0" w:color="63666A"/>
            </w:tcBorders>
          </w:tcPr>
          <w:p w14:paraId="39C675C3" w14:textId="524B1A3E" w:rsidR="00944BBB" w:rsidRPr="004366D5" w:rsidRDefault="00130B3D" w:rsidP="00944BBB">
            <w:pPr>
              <w:pStyle w:val="standard"/>
              <w:spacing w:before="0" w:after="120" w:line="240" w:lineRule="atLeast"/>
              <w:rPr>
                <w:rFonts w:cs="Calibri Light"/>
                <w:sz w:val="20"/>
                <w:szCs w:val="20"/>
              </w:rPr>
            </w:pPr>
            <w:hyperlink w:anchor="item702" w:history="1">
              <w:r w:rsidR="00944BBB" w:rsidRPr="00EA728B">
                <w:rPr>
                  <w:rStyle w:val="Hyperlink"/>
                  <w:rFonts w:cs="Calibri Light"/>
                  <w:sz w:val="20"/>
                  <w:szCs w:val="20"/>
                </w:rPr>
                <w:t>Purchases of Equity Securities by the Issuer and Affiliated Purchasers</w:t>
              </w:r>
            </w:hyperlink>
          </w:p>
        </w:tc>
        <w:tc>
          <w:tcPr>
            <w:tcW w:w="1278" w:type="dxa"/>
            <w:tcBorders>
              <w:bottom w:val="single" w:sz="4" w:space="0" w:color="63666A"/>
            </w:tcBorders>
          </w:tcPr>
          <w:p w14:paraId="0DA09B66" w14:textId="4D3A04A2"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703</w:t>
            </w:r>
          </w:p>
        </w:tc>
      </w:tr>
      <w:tr w:rsidR="00944BBB" w:rsidRPr="00EA728B" w14:paraId="16E16075" w14:textId="77777777" w:rsidTr="570570C2">
        <w:trPr>
          <w:cantSplit/>
        </w:trPr>
        <w:tc>
          <w:tcPr>
            <w:tcW w:w="1278" w:type="dxa"/>
            <w:tcBorders>
              <w:bottom w:val="single" w:sz="4" w:space="0" w:color="63666A"/>
            </w:tcBorders>
          </w:tcPr>
          <w:p w14:paraId="0916913C" w14:textId="77777777" w:rsidR="00944BBB" w:rsidRPr="00EA728B" w:rsidRDefault="00944BBB" w:rsidP="00944BBB">
            <w:pPr>
              <w:pStyle w:val="standard"/>
              <w:spacing w:before="0" w:after="120" w:line="240" w:lineRule="atLeast"/>
              <w:rPr>
                <w:rFonts w:cs="Calibri Light"/>
                <w:sz w:val="20"/>
                <w:szCs w:val="20"/>
              </w:rPr>
            </w:pPr>
          </w:p>
        </w:tc>
        <w:tc>
          <w:tcPr>
            <w:tcW w:w="6282" w:type="dxa"/>
            <w:tcBorders>
              <w:bottom w:val="single" w:sz="4" w:space="0" w:color="63666A"/>
            </w:tcBorders>
          </w:tcPr>
          <w:p w14:paraId="41CE52E2" w14:textId="7F62A8ED" w:rsidR="00944BBB" w:rsidRPr="004366D5" w:rsidRDefault="00130B3D" w:rsidP="00944BBB">
            <w:pPr>
              <w:pStyle w:val="standard"/>
              <w:spacing w:before="0" w:after="120" w:line="240" w:lineRule="atLeast"/>
              <w:rPr>
                <w:rFonts w:cs="Calibri Light"/>
                <w:sz w:val="20"/>
                <w:szCs w:val="20"/>
              </w:rPr>
            </w:pPr>
            <w:hyperlink w:anchor="items801_and_802" w:history="1">
              <w:r w:rsidR="00944BBB" w:rsidRPr="00EA728B">
                <w:rPr>
                  <w:rStyle w:val="Hyperlink"/>
                  <w:rFonts w:cs="Calibri Light"/>
                  <w:sz w:val="20"/>
                  <w:szCs w:val="20"/>
                </w:rPr>
                <w:t>Industry Guides</w:t>
              </w:r>
            </w:hyperlink>
          </w:p>
        </w:tc>
        <w:tc>
          <w:tcPr>
            <w:tcW w:w="1278" w:type="dxa"/>
            <w:tcBorders>
              <w:bottom w:val="single" w:sz="4" w:space="0" w:color="63666A"/>
            </w:tcBorders>
          </w:tcPr>
          <w:p w14:paraId="234E88C3" w14:textId="2E6BB1CF"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801 and 802</w:t>
            </w:r>
          </w:p>
        </w:tc>
      </w:tr>
      <w:tr w:rsidR="00944BBB" w:rsidRPr="00EA728B" w14:paraId="739F05C0" w14:textId="77777777" w:rsidTr="570570C2">
        <w:trPr>
          <w:cantSplit/>
        </w:trPr>
        <w:tc>
          <w:tcPr>
            <w:tcW w:w="1278" w:type="dxa"/>
            <w:tcBorders>
              <w:bottom w:val="single" w:sz="4" w:space="0" w:color="63666A"/>
            </w:tcBorders>
          </w:tcPr>
          <w:p w14:paraId="5F3E2425" w14:textId="77777777" w:rsidR="00944BBB" w:rsidRPr="00EA728B" w:rsidRDefault="00944BBB" w:rsidP="00944BBB">
            <w:pPr>
              <w:pStyle w:val="standard"/>
              <w:spacing w:before="0" w:after="120" w:line="240" w:lineRule="atLeast"/>
              <w:rPr>
                <w:rFonts w:cs="Calibri Light"/>
                <w:sz w:val="20"/>
                <w:szCs w:val="20"/>
              </w:rPr>
            </w:pPr>
          </w:p>
        </w:tc>
        <w:tc>
          <w:tcPr>
            <w:tcW w:w="6282" w:type="dxa"/>
            <w:tcBorders>
              <w:bottom w:val="single" w:sz="4" w:space="0" w:color="63666A"/>
            </w:tcBorders>
          </w:tcPr>
          <w:p w14:paraId="6DFD8FC2" w14:textId="6782FC0D" w:rsidR="00944BBB" w:rsidRPr="004366D5" w:rsidRDefault="00944BBB" w:rsidP="00944BBB">
            <w:pPr>
              <w:pStyle w:val="standard"/>
              <w:spacing w:before="0" w:after="120" w:line="240" w:lineRule="atLeast"/>
              <w:rPr>
                <w:rFonts w:cs="Calibri Light"/>
                <w:sz w:val="20"/>
                <w:szCs w:val="20"/>
              </w:rPr>
            </w:pPr>
            <w:r w:rsidRPr="00720AE4">
              <w:rPr>
                <w:rFonts w:cs="Calibri Light"/>
                <w:sz w:val="20"/>
                <w:szCs w:val="20"/>
              </w:rPr>
              <w:t>Roll-Up Transactions</w:t>
            </w:r>
          </w:p>
        </w:tc>
        <w:tc>
          <w:tcPr>
            <w:tcW w:w="1278" w:type="dxa"/>
            <w:tcBorders>
              <w:bottom w:val="single" w:sz="4" w:space="0" w:color="63666A"/>
            </w:tcBorders>
          </w:tcPr>
          <w:p w14:paraId="3380EA08" w14:textId="06CF505A"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900</w:t>
            </w:r>
            <w:r>
              <w:rPr>
                <w:rStyle w:val="FootnoteReference"/>
                <w:rFonts w:cs="Calibri Light"/>
                <w:sz w:val="20"/>
                <w:szCs w:val="20"/>
              </w:rPr>
              <w:footnoteReference w:id="4"/>
            </w:r>
          </w:p>
        </w:tc>
      </w:tr>
      <w:tr w:rsidR="00944BBB" w:rsidRPr="00EA728B" w14:paraId="64A61122" w14:textId="77777777" w:rsidTr="570570C2">
        <w:trPr>
          <w:cantSplit/>
        </w:trPr>
        <w:tc>
          <w:tcPr>
            <w:tcW w:w="1278" w:type="dxa"/>
            <w:tcBorders>
              <w:bottom w:val="single" w:sz="4" w:space="0" w:color="63666A"/>
            </w:tcBorders>
          </w:tcPr>
          <w:p w14:paraId="36AC9694" w14:textId="77777777" w:rsidR="00944BBB" w:rsidRPr="00EA728B" w:rsidRDefault="00944BBB" w:rsidP="00944BBB">
            <w:pPr>
              <w:pStyle w:val="standard"/>
              <w:spacing w:before="0" w:after="120" w:line="240" w:lineRule="atLeast"/>
              <w:rPr>
                <w:rFonts w:cs="Calibri Light"/>
                <w:sz w:val="20"/>
                <w:szCs w:val="20"/>
              </w:rPr>
            </w:pPr>
          </w:p>
        </w:tc>
        <w:tc>
          <w:tcPr>
            <w:tcW w:w="6282" w:type="dxa"/>
            <w:tcBorders>
              <w:bottom w:val="single" w:sz="4" w:space="0" w:color="63666A"/>
            </w:tcBorders>
          </w:tcPr>
          <w:p w14:paraId="1619811D" w14:textId="22324104" w:rsidR="00944BBB" w:rsidRPr="008C24A4" w:rsidRDefault="00944BBB" w:rsidP="00944BBB">
            <w:pPr>
              <w:pStyle w:val="standard"/>
              <w:spacing w:before="0" w:after="120" w:line="240" w:lineRule="atLeast"/>
              <w:rPr>
                <w:sz w:val="20"/>
                <w:szCs w:val="20"/>
              </w:rPr>
            </w:pPr>
            <w:r w:rsidRPr="008C24A4">
              <w:rPr>
                <w:rFonts w:cs="Calibri Light"/>
                <w:sz w:val="20"/>
                <w:szCs w:val="20"/>
              </w:rPr>
              <w:t>Mergers and Acquisitions (Regulation M-A)</w:t>
            </w:r>
          </w:p>
        </w:tc>
        <w:tc>
          <w:tcPr>
            <w:tcW w:w="1278" w:type="dxa"/>
            <w:tcBorders>
              <w:bottom w:val="single" w:sz="4" w:space="0" w:color="63666A"/>
            </w:tcBorders>
          </w:tcPr>
          <w:p w14:paraId="6B7AE4BD" w14:textId="1F1F2DF2"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1000</w:t>
            </w:r>
            <w:r w:rsidRPr="004366D5">
              <w:rPr>
                <w:rFonts w:cs="Calibri Light"/>
                <w:sz w:val="20"/>
                <w:szCs w:val="20"/>
                <w:vertAlign w:val="superscript"/>
              </w:rPr>
              <w:t>2</w:t>
            </w:r>
          </w:p>
        </w:tc>
      </w:tr>
      <w:tr w:rsidR="00944BBB" w:rsidRPr="00EA728B" w14:paraId="28D54B65" w14:textId="77777777" w:rsidTr="570570C2">
        <w:trPr>
          <w:cantSplit/>
        </w:trPr>
        <w:tc>
          <w:tcPr>
            <w:tcW w:w="1278" w:type="dxa"/>
            <w:tcBorders>
              <w:bottom w:val="single" w:sz="4" w:space="0" w:color="63666A"/>
            </w:tcBorders>
          </w:tcPr>
          <w:p w14:paraId="51EC2389" w14:textId="77777777" w:rsidR="00944BBB" w:rsidRPr="00EA728B" w:rsidRDefault="00944BBB" w:rsidP="00944BBB">
            <w:pPr>
              <w:pStyle w:val="standard"/>
              <w:spacing w:before="0" w:after="120" w:line="240" w:lineRule="atLeast"/>
              <w:rPr>
                <w:rFonts w:cs="Calibri Light"/>
                <w:sz w:val="20"/>
                <w:szCs w:val="20"/>
              </w:rPr>
            </w:pPr>
          </w:p>
        </w:tc>
        <w:tc>
          <w:tcPr>
            <w:tcW w:w="6282" w:type="dxa"/>
            <w:tcBorders>
              <w:bottom w:val="single" w:sz="4" w:space="0" w:color="63666A"/>
            </w:tcBorders>
          </w:tcPr>
          <w:p w14:paraId="6B1C24F8" w14:textId="12442694" w:rsidR="00944BBB" w:rsidRPr="00E3039B" w:rsidRDefault="00944BBB" w:rsidP="00944BBB">
            <w:pPr>
              <w:pStyle w:val="standard"/>
              <w:spacing w:before="0" w:after="120" w:line="240" w:lineRule="atLeast"/>
              <w:rPr>
                <w:sz w:val="20"/>
                <w:szCs w:val="20"/>
              </w:rPr>
            </w:pPr>
            <w:r w:rsidRPr="00E3039B">
              <w:rPr>
                <w:sz w:val="20"/>
                <w:szCs w:val="20"/>
              </w:rPr>
              <w:t>Asset Backed Securities (Regulation AB)</w:t>
            </w:r>
          </w:p>
        </w:tc>
        <w:tc>
          <w:tcPr>
            <w:tcW w:w="1278" w:type="dxa"/>
            <w:tcBorders>
              <w:bottom w:val="single" w:sz="4" w:space="0" w:color="63666A"/>
            </w:tcBorders>
          </w:tcPr>
          <w:p w14:paraId="31C33502" w14:textId="2AA49DB7"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1100</w:t>
            </w:r>
            <w:r w:rsidRPr="0053404E">
              <w:rPr>
                <w:rFonts w:cs="Calibri Light"/>
                <w:sz w:val="20"/>
                <w:szCs w:val="20"/>
                <w:vertAlign w:val="superscript"/>
              </w:rPr>
              <w:t>2</w:t>
            </w:r>
          </w:p>
        </w:tc>
      </w:tr>
      <w:tr w:rsidR="00944BBB" w:rsidRPr="00EA728B" w14:paraId="699CE055" w14:textId="77777777" w:rsidTr="570570C2">
        <w:trPr>
          <w:cantSplit/>
        </w:trPr>
        <w:tc>
          <w:tcPr>
            <w:tcW w:w="1278" w:type="dxa"/>
            <w:tcBorders>
              <w:bottom w:val="single" w:sz="4" w:space="0" w:color="63666A"/>
            </w:tcBorders>
          </w:tcPr>
          <w:p w14:paraId="19BA27FA" w14:textId="77777777" w:rsidR="00944BBB" w:rsidRPr="00EA728B" w:rsidRDefault="00944BBB" w:rsidP="00944BBB">
            <w:pPr>
              <w:pStyle w:val="standard"/>
              <w:spacing w:before="0" w:after="120" w:line="240" w:lineRule="atLeast"/>
              <w:rPr>
                <w:rFonts w:cs="Calibri Light"/>
                <w:sz w:val="20"/>
                <w:szCs w:val="20"/>
              </w:rPr>
            </w:pPr>
          </w:p>
        </w:tc>
        <w:tc>
          <w:tcPr>
            <w:tcW w:w="6282" w:type="dxa"/>
            <w:tcBorders>
              <w:bottom w:val="single" w:sz="4" w:space="0" w:color="63666A"/>
            </w:tcBorders>
          </w:tcPr>
          <w:p w14:paraId="159C63D6" w14:textId="5B88A93F" w:rsidR="00944BBB" w:rsidRPr="00E3039B" w:rsidRDefault="00944BBB" w:rsidP="00944BBB">
            <w:pPr>
              <w:pStyle w:val="standard"/>
              <w:spacing w:before="0" w:after="120" w:line="240" w:lineRule="atLeast"/>
              <w:rPr>
                <w:sz w:val="20"/>
                <w:szCs w:val="20"/>
              </w:rPr>
            </w:pPr>
            <w:r w:rsidRPr="00E3039B">
              <w:rPr>
                <w:sz w:val="20"/>
                <w:szCs w:val="20"/>
              </w:rPr>
              <w:t>Oil and Gas Producing Activities</w:t>
            </w:r>
          </w:p>
        </w:tc>
        <w:tc>
          <w:tcPr>
            <w:tcW w:w="1278" w:type="dxa"/>
            <w:tcBorders>
              <w:bottom w:val="single" w:sz="4" w:space="0" w:color="63666A"/>
            </w:tcBorders>
          </w:tcPr>
          <w:p w14:paraId="2BAEBD32" w14:textId="084351CC"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sidRPr="00EA728B">
              <w:rPr>
                <w:rFonts w:cs="Calibri Light"/>
                <w:sz w:val="20"/>
                <w:szCs w:val="20"/>
              </w:rPr>
              <w:t>1200</w:t>
            </w:r>
            <w:r w:rsidRPr="0053404E">
              <w:rPr>
                <w:rFonts w:cs="Calibri Light"/>
                <w:sz w:val="20"/>
                <w:szCs w:val="20"/>
                <w:vertAlign w:val="superscript"/>
              </w:rPr>
              <w:t>2</w:t>
            </w:r>
          </w:p>
        </w:tc>
      </w:tr>
      <w:tr w:rsidR="00944BBB" w:rsidRPr="00EA728B" w14:paraId="78E293B2" w14:textId="77777777" w:rsidTr="570570C2">
        <w:trPr>
          <w:cantSplit/>
        </w:trPr>
        <w:tc>
          <w:tcPr>
            <w:tcW w:w="1278" w:type="dxa"/>
            <w:tcBorders>
              <w:bottom w:val="single" w:sz="4" w:space="0" w:color="63666A"/>
            </w:tcBorders>
          </w:tcPr>
          <w:p w14:paraId="161F2C5A" w14:textId="77777777" w:rsidR="00944BBB" w:rsidRPr="00EA728B" w:rsidRDefault="00944BBB" w:rsidP="00944BBB">
            <w:pPr>
              <w:pStyle w:val="standard"/>
              <w:spacing w:before="0" w:after="120" w:line="240" w:lineRule="atLeast"/>
              <w:rPr>
                <w:rFonts w:cs="Calibri Light"/>
                <w:sz w:val="20"/>
                <w:szCs w:val="20"/>
              </w:rPr>
            </w:pPr>
          </w:p>
        </w:tc>
        <w:tc>
          <w:tcPr>
            <w:tcW w:w="6282" w:type="dxa"/>
            <w:tcBorders>
              <w:bottom w:val="single" w:sz="4" w:space="0" w:color="63666A"/>
            </w:tcBorders>
          </w:tcPr>
          <w:p w14:paraId="44F54799" w14:textId="210E8FF6" w:rsidR="00944BBB" w:rsidRPr="00E3039B" w:rsidRDefault="00944BBB" w:rsidP="00944BBB">
            <w:pPr>
              <w:pStyle w:val="standard"/>
              <w:spacing w:before="0" w:after="120" w:line="240" w:lineRule="atLeast"/>
              <w:rPr>
                <w:sz w:val="20"/>
                <w:szCs w:val="20"/>
              </w:rPr>
            </w:pPr>
            <w:r w:rsidRPr="00E3039B">
              <w:rPr>
                <w:sz w:val="20"/>
                <w:szCs w:val="20"/>
              </w:rPr>
              <w:t>Disclosure by Registrants Engaged in Mining Operations</w:t>
            </w:r>
          </w:p>
        </w:tc>
        <w:tc>
          <w:tcPr>
            <w:tcW w:w="1278" w:type="dxa"/>
            <w:tcBorders>
              <w:bottom w:val="single" w:sz="4" w:space="0" w:color="63666A"/>
            </w:tcBorders>
          </w:tcPr>
          <w:p w14:paraId="10C88D54" w14:textId="276FE5A5"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Pr>
                <w:rFonts w:cs="Calibri Light"/>
                <w:sz w:val="20"/>
                <w:szCs w:val="20"/>
              </w:rPr>
              <w:t>1300</w:t>
            </w:r>
            <w:r w:rsidRPr="0053404E">
              <w:rPr>
                <w:rFonts w:cs="Calibri Light"/>
                <w:sz w:val="20"/>
                <w:szCs w:val="20"/>
                <w:vertAlign w:val="superscript"/>
              </w:rPr>
              <w:t>2</w:t>
            </w:r>
          </w:p>
        </w:tc>
      </w:tr>
      <w:tr w:rsidR="00944BBB" w:rsidRPr="00EA728B" w14:paraId="5717773E" w14:textId="77777777" w:rsidTr="570570C2">
        <w:trPr>
          <w:cantSplit/>
        </w:trPr>
        <w:tc>
          <w:tcPr>
            <w:tcW w:w="1278" w:type="dxa"/>
            <w:tcBorders>
              <w:bottom w:val="single" w:sz="4" w:space="0" w:color="63666A"/>
            </w:tcBorders>
          </w:tcPr>
          <w:p w14:paraId="27491F1C" w14:textId="77777777" w:rsidR="00944BBB" w:rsidRPr="00EA728B" w:rsidRDefault="00944BBB" w:rsidP="00944BBB">
            <w:pPr>
              <w:pStyle w:val="standard"/>
              <w:spacing w:before="0" w:after="120" w:line="240" w:lineRule="atLeast"/>
              <w:rPr>
                <w:rFonts w:cs="Calibri Light"/>
                <w:sz w:val="20"/>
                <w:szCs w:val="20"/>
              </w:rPr>
            </w:pPr>
          </w:p>
        </w:tc>
        <w:tc>
          <w:tcPr>
            <w:tcW w:w="6282" w:type="dxa"/>
            <w:tcBorders>
              <w:bottom w:val="single" w:sz="4" w:space="0" w:color="63666A"/>
            </w:tcBorders>
          </w:tcPr>
          <w:p w14:paraId="3B3B29FF" w14:textId="46B5A33D" w:rsidR="00944BBB" w:rsidRPr="008C24A4" w:rsidRDefault="00944BBB" w:rsidP="00944BBB">
            <w:pPr>
              <w:pStyle w:val="standard"/>
              <w:spacing w:before="0" w:after="120" w:line="240" w:lineRule="atLeast"/>
              <w:rPr>
                <w:sz w:val="20"/>
                <w:szCs w:val="20"/>
              </w:rPr>
            </w:pPr>
            <w:r w:rsidRPr="008C24A4">
              <w:rPr>
                <w:sz w:val="20"/>
                <w:szCs w:val="20"/>
              </w:rPr>
              <w:t>Disclosure by Bank and Savings and Loan Registrants</w:t>
            </w:r>
          </w:p>
        </w:tc>
        <w:tc>
          <w:tcPr>
            <w:tcW w:w="1278" w:type="dxa"/>
            <w:tcBorders>
              <w:bottom w:val="single" w:sz="4" w:space="0" w:color="63666A"/>
            </w:tcBorders>
          </w:tcPr>
          <w:p w14:paraId="67C6F7A6" w14:textId="16F23836" w:rsidR="00944BBB" w:rsidRPr="00EA728B" w:rsidRDefault="00944BBB" w:rsidP="00944BBB">
            <w:pPr>
              <w:pStyle w:val="standard"/>
              <w:tabs>
                <w:tab w:val="clear" w:pos="576"/>
                <w:tab w:val="clear" w:pos="1152"/>
                <w:tab w:val="decimal" w:pos="1062"/>
              </w:tabs>
              <w:spacing w:before="0" w:after="120" w:line="240" w:lineRule="atLeast"/>
              <w:ind w:left="-18" w:right="162"/>
              <w:jc w:val="right"/>
              <w:rPr>
                <w:rFonts w:cs="Calibri Light"/>
                <w:sz w:val="20"/>
                <w:szCs w:val="20"/>
              </w:rPr>
            </w:pPr>
            <w:r>
              <w:rPr>
                <w:rFonts w:cs="Calibri Light"/>
                <w:sz w:val="20"/>
                <w:szCs w:val="20"/>
              </w:rPr>
              <w:t>1400</w:t>
            </w:r>
            <w:r w:rsidRPr="0053404E">
              <w:rPr>
                <w:rFonts w:cs="Calibri Light"/>
                <w:sz w:val="20"/>
                <w:szCs w:val="20"/>
                <w:vertAlign w:val="superscript"/>
              </w:rPr>
              <w:t>2</w:t>
            </w:r>
          </w:p>
        </w:tc>
      </w:tr>
      <w:tr w:rsidR="00944BBB" w:rsidRPr="00EA728B" w14:paraId="0993E946" w14:textId="77777777" w:rsidTr="570570C2">
        <w:trPr>
          <w:cantSplit/>
        </w:trPr>
        <w:tc>
          <w:tcPr>
            <w:tcW w:w="1278" w:type="dxa"/>
            <w:tcBorders>
              <w:top w:val="single" w:sz="4" w:space="0" w:color="63666A"/>
              <w:bottom w:val="single" w:sz="4" w:space="0" w:color="63666A"/>
            </w:tcBorders>
          </w:tcPr>
          <w:p w14:paraId="41B7FBD7" w14:textId="77777777" w:rsidR="00944BBB" w:rsidRPr="00EA728B" w:rsidRDefault="00944BBB" w:rsidP="00944BBB">
            <w:pPr>
              <w:pStyle w:val="standard"/>
              <w:spacing w:before="0" w:after="120" w:line="240" w:lineRule="atLeast"/>
              <w:rPr>
                <w:rFonts w:cs="Calibri Light"/>
                <w:sz w:val="20"/>
                <w:szCs w:val="20"/>
              </w:rPr>
            </w:pPr>
          </w:p>
        </w:tc>
        <w:tc>
          <w:tcPr>
            <w:tcW w:w="6282" w:type="dxa"/>
            <w:tcBorders>
              <w:top w:val="single" w:sz="4" w:space="0" w:color="63666A"/>
              <w:bottom w:val="single" w:sz="4" w:space="0" w:color="63666A"/>
            </w:tcBorders>
          </w:tcPr>
          <w:p w14:paraId="4A4539D3" w14:textId="77777777" w:rsidR="00944BBB" w:rsidRPr="008C24A4" w:rsidRDefault="00944BBB" w:rsidP="00944BBB">
            <w:pPr>
              <w:pStyle w:val="standard"/>
              <w:spacing w:before="0" w:after="120" w:line="240" w:lineRule="atLeast"/>
              <w:rPr>
                <w:rFonts w:cs="Calibri Light"/>
                <w:sz w:val="20"/>
                <w:szCs w:val="20"/>
              </w:rPr>
            </w:pPr>
            <w:r w:rsidRPr="008C24A4">
              <w:rPr>
                <w:rFonts w:cs="Calibri Light"/>
                <w:sz w:val="20"/>
                <w:szCs w:val="20"/>
              </w:rPr>
              <w:t>NOTE: Plain English Rule — See SEC Staff Legal Bulletin 7 regarding requirements for companies filing registration statements under the Securities Act of 1933 to use “Plain English” in the forefront of these filings (Rule 421(d)).  In addition, amended Rule 421(b) requires that other sections of the registration statement be written in a clear, understandable manner.</w:t>
            </w:r>
          </w:p>
        </w:tc>
        <w:tc>
          <w:tcPr>
            <w:tcW w:w="1278" w:type="dxa"/>
            <w:tcBorders>
              <w:top w:val="single" w:sz="4" w:space="0" w:color="63666A"/>
              <w:bottom w:val="single" w:sz="4" w:space="0" w:color="63666A"/>
            </w:tcBorders>
          </w:tcPr>
          <w:p w14:paraId="5CC841DF" w14:textId="77777777" w:rsidR="00944BBB" w:rsidRPr="00EA728B" w:rsidRDefault="00944BBB" w:rsidP="00944BBB">
            <w:pPr>
              <w:pStyle w:val="standard"/>
              <w:spacing w:before="0" w:after="120" w:line="240" w:lineRule="atLeast"/>
              <w:ind w:left="576"/>
              <w:jc w:val="right"/>
              <w:rPr>
                <w:rFonts w:cs="Calibri Light"/>
                <w:sz w:val="20"/>
                <w:szCs w:val="20"/>
              </w:rPr>
            </w:pPr>
          </w:p>
        </w:tc>
      </w:tr>
    </w:tbl>
    <w:p w14:paraId="484738E6" w14:textId="77777777" w:rsidR="001F5308" w:rsidRPr="00425921" w:rsidRDefault="001F5308" w:rsidP="00EA728B">
      <w:pPr>
        <w:spacing w:after="120" w:line="240" w:lineRule="atLeast"/>
        <w:rPr>
          <w:sz w:val="18"/>
          <w:szCs w:val="18"/>
        </w:rPr>
      </w:pPr>
    </w:p>
    <w:p w14:paraId="6F5EB096" w14:textId="77777777" w:rsidR="00F20E8A" w:rsidRPr="00425921" w:rsidRDefault="00F20E8A" w:rsidP="00425921">
      <w:pPr>
        <w:spacing w:before="120" w:after="120" w:line="240" w:lineRule="atLeast"/>
        <w:rPr>
          <w:sz w:val="18"/>
          <w:szCs w:val="18"/>
        </w:rPr>
        <w:sectPr w:rsidR="00F20E8A" w:rsidRPr="00425921" w:rsidSect="00425921">
          <w:headerReference w:type="even" r:id="rId32"/>
          <w:headerReference w:type="default" r:id="rId33"/>
          <w:footerReference w:type="even" r:id="rId34"/>
          <w:footerReference w:type="default" r:id="rId35"/>
          <w:headerReference w:type="first" r:id="rId36"/>
          <w:footerReference w:type="first" r:id="rId37"/>
          <w:footnotePr>
            <w:numRestart w:val="eachSect"/>
          </w:footnotePr>
          <w:endnotePr>
            <w:numFmt w:val="decimal"/>
          </w:endnotePr>
          <w:pgSz w:w="12240" w:h="15840" w:code="1"/>
          <w:pgMar w:top="1440" w:right="1440" w:bottom="1440" w:left="1440" w:header="576" w:footer="576" w:gutter="0"/>
          <w:cols w:space="720"/>
          <w:titlePg/>
          <w:docGrid w:linePitch="272"/>
        </w:sectPr>
      </w:pPr>
    </w:p>
    <w:tbl>
      <w:tblPr>
        <w:tblW w:w="10126" w:type="dxa"/>
        <w:tblLayout w:type="fixed"/>
        <w:tblLook w:val="0000" w:firstRow="0" w:lastRow="0" w:firstColumn="0" w:lastColumn="0" w:noHBand="0" w:noVBand="0"/>
      </w:tblPr>
      <w:tblGrid>
        <w:gridCol w:w="17"/>
        <w:gridCol w:w="7453"/>
        <w:gridCol w:w="30"/>
        <w:gridCol w:w="1140"/>
        <w:gridCol w:w="69"/>
        <w:gridCol w:w="167"/>
        <w:gridCol w:w="34"/>
        <w:gridCol w:w="35"/>
        <w:gridCol w:w="1135"/>
        <w:gridCol w:w="46"/>
      </w:tblGrid>
      <w:tr w:rsidR="001F5308" w:rsidRPr="004005A4" w14:paraId="283660AD" w14:textId="77777777" w:rsidTr="00CC36C1">
        <w:trPr>
          <w:gridBefore w:val="1"/>
          <w:wBefore w:w="17" w:type="dxa"/>
          <w:tblHeader/>
        </w:trPr>
        <w:tc>
          <w:tcPr>
            <w:tcW w:w="7483" w:type="dxa"/>
            <w:gridSpan w:val="2"/>
          </w:tcPr>
          <w:p w14:paraId="5FF9D3D4" w14:textId="77777777" w:rsidR="001F5308" w:rsidRPr="004005A4" w:rsidRDefault="001F5308" w:rsidP="004005A4">
            <w:pPr>
              <w:pStyle w:val="Heading1"/>
              <w:spacing w:before="120" w:after="120" w:line="240" w:lineRule="atLeast"/>
              <w:jc w:val="center"/>
              <w:rPr>
                <w:rFonts w:cs="Calibri Light"/>
                <w:sz w:val="20"/>
                <w:szCs w:val="20"/>
              </w:rPr>
            </w:pPr>
          </w:p>
        </w:tc>
        <w:tc>
          <w:tcPr>
            <w:tcW w:w="1209" w:type="dxa"/>
            <w:gridSpan w:val="2"/>
            <w:tcBorders>
              <w:bottom w:val="single" w:sz="6" w:space="0" w:color="auto"/>
            </w:tcBorders>
            <w:vAlign w:val="bottom"/>
          </w:tcPr>
          <w:p w14:paraId="0E4045C8" w14:textId="6D8832F4" w:rsidR="001F5308" w:rsidRPr="004005A4" w:rsidRDefault="001F5308" w:rsidP="004005A4">
            <w:pPr>
              <w:spacing w:before="120" w:after="120" w:line="240" w:lineRule="atLeast"/>
              <w:jc w:val="center"/>
              <w:rPr>
                <w:rFonts w:cs="Calibri Light"/>
                <w:b/>
                <w:sz w:val="20"/>
                <w:szCs w:val="20"/>
              </w:rPr>
            </w:pPr>
            <w:r w:rsidRPr="004005A4">
              <w:rPr>
                <w:rFonts w:cs="Calibri Light"/>
                <w:b/>
                <w:sz w:val="20"/>
                <w:szCs w:val="20"/>
              </w:rPr>
              <w:t xml:space="preserve">Complied </w:t>
            </w:r>
            <w:r w:rsidR="00863815">
              <w:rPr>
                <w:rFonts w:cs="Calibri Light"/>
                <w:b/>
                <w:sz w:val="20"/>
                <w:szCs w:val="20"/>
              </w:rPr>
              <w:t>W</w:t>
            </w:r>
            <w:r w:rsidR="00863815" w:rsidRPr="004005A4">
              <w:rPr>
                <w:rFonts w:cs="Calibri Light"/>
                <w:b/>
                <w:sz w:val="20"/>
                <w:szCs w:val="20"/>
              </w:rPr>
              <w:t>ith</w:t>
            </w:r>
          </w:p>
        </w:tc>
        <w:tc>
          <w:tcPr>
            <w:tcW w:w="236" w:type="dxa"/>
            <w:gridSpan w:val="3"/>
          </w:tcPr>
          <w:p w14:paraId="52C1D45C" w14:textId="77777777" w:rsidR="001F5308" w:rsidRPr="004005A4" w:rsidRDefault="001F5308" w:rsidP="004005A4">
            <w:pPr>
              <w:spacing w:before="120" w:after="120" w:line="240" w:lineRule="atLeast"/>
              <w:jc w:val="center"/>
              <w:rPr>
                <w:rFonts w:cs="Calibri Light"/>
                <w:b/>
                <w:sz w:val="20"/>
                <w:szCs w:val="20"/>
              </w:rPr>
            </w:pPr>
          </w:p>
        </w:tc>
        <w:tc>
          <w:tcPr>
            <w:tcW w:w="1181" w:type="dxa"/>
            <w:gridSpan w:val="2"/>
            <w:tcBorders>
              <w:bottom w:val="single" w:sz="6" w:space="0" w:color="auto"/>
            </w:tcBorders>
          </w:tcPr>
          <w:p w14:paraId="70FCAAEE" w14:textId="77777777" w:rsidR="001F5308" w:rsidRPr="004005A4" w:rsidRDefault="001F5308" w:rsidP="004005A4">
            <w:pPr>
              <w:spacing w:before="120" w:after="120" w:line="240" w:lineRule="atLeast"/>
              <w:jc w:val="center"/>
              <w:rPr>
                <w:rFonts w:cs="Calibri Light"/>
                <w:b/>
                <w:sz w:val="20"/>
                <w:szCs w:val="20"/>
              </w:rPr>
            </w:pPr>
            <w:r w:rsidRPr="004005A4">
              <w:rPr>
                <w:rFonts w:cs="Calibri Light"/>
                <w:b/>
                <w:sz w:val="20"/>
                <w:szCs w:val="20"/>
              </w:rPr>
              <w:t>Where Disclosed or Reason Omitted</w:t>
            </w:r>
          </w:p>
        </w:tc>
      </w:tr>
      <w:tr w:rsidR="001F5308" w:rsidRPr="004005A4" w14:paraId="5BCE6CB9" w14:textId="77777777" w:rsidTr="00CC36C1">
        <w:trPr>
          <w:gridBefore w:val="1"/>
          <w:wBefore w:w="17" w:type="dxa"/>
        </w:trPr>
        <w:tc>
          <w:tcPr>
            <w:tcW w:w="7483" w:type="dxa"/>
            <w:gridSpan w:val="2"/>
          </w:tcPr>
          <w:p w14:paraId="49279C32" w14:textId="77777777" w:rsidR="001F5308" w:rsidRPr="004005A4" w:rsidRDefault="001F5308" w:rsidP="004005A4">
            <w:pPr>
              <w:pStyle w:val="FormTableHeaderRow"/>
              <w:rPr>
                <w:rFonts w:cs="Calibri Light"/>
                <w:sz w:val="20"/>
                <w:szCs w:val="20"/>
              </w:rPr>
            </w:pPr>
            <w:r w:rsidRPr="004005A4">
              <w:rPr>
                <w:rFonts w:cs="Calibri Light"/>
                <w:sz w:val="20"/>
                <w:szCs w:val="20"/>
              </w:rPr>
              <w:t>PART I.</w:t>
            </w:r>
            <w:r w:rsidRPr="004005A4">
              <w:rPr>
                <w:rFonts w:cs="Calibri Light"/>
                <w:sz w:val="20"/>
                <w:szCs w:val="20"/>
              </w:rPr>
              <w:tab/>
              <w:t>REGULATION S-X</w:t>
            </w:r>
          </w:p>
        </w:tc>
        <w:tc>
          <w:tcPr>
            <w:tcW w:w="1209" w:type="dxa"/>
            <w:gridSpan w:val="2"/>
          </w:tcPr>
          <w:p w14:paraId="0FA011B8" w14:textId="77777777" w:rsidR="001F5308" w:rsidRPr="004005A4" w:rsidRDefault="001F5308" w:rsidP="004005A4">
            <w:pPr>
              <w:pStyle w:val="FormTableHeaderRow"/>
              <w:rPr>
                <w:rFonts w:cs="Calibri Light"/>
                <w:sz w:val="20"/>
                <w:szCs w:val="20"/>
              </w:rPr>
            </w:pPr>
          </w:p>
        </w:tc>
        <w:tc>
          <w:tcPr>
            <w:tcW w:w="236" w:type="dxa"/>
            <w:gridSpan w:val="3"/>
          </w:tcPr>
          <w:p w14:paraId="0AD4745F" w14:textId="77777777" w:rsidR="001F5308" w:rsidRPr="004005A4" w:rsidRDefault="001F5308" w:rsidP="004005A4">
            <w:pPr>
              <w:pStyle w:val="FormTableHeaderRow"/>
              <w:rPr>
                <w:rFonts w:cs="Calibri Light"/>
                <w:sz w:val="20"/>
                <w:szCs w:val="20"/>
              </w:rPr>
            </w:pPr>
          </w:p>
        </w:tc>
        <w:tc>
          <w:tcPr>
            <w:tcW w:w="1181" w:type="dxa"/>
            <w:gridSpan w:val="2"/>
          </w:tcPr>
          <w:p w14:paraId="138120A7" w14:textId="77777777" w:rsidR="001F5308" w:rsidRPr="004005A4" w:rsidRDefault="001F5308" w:rsidP="004005A4">
            <w:pPr>
              <w:pStyle w:val="FormTableHeaderRow"/>
              <w:rPr>
                <w:rFonts w:cs="Calibri Light"/>
                <w:sz w:val="20"/>
                <w:szCs w:val="20"/>
              </w:rPr>
            </w:pPr>
          </w:p>
        </w:tc>
      </w:tr>
      <w:tr w:rsidR="001F5308" w:rsidRPr="004005A4" w14:paraId="32CF660F" w14:textId="77777777" w:rsidTr="00CC36C1">
        <w:trPr>
          <w:gridBefore w:val="1"/>
          <w:wBefore w:w="17" w:type="dxa"/>
        </w:trPr>
        <w:tc>
          <w:tcPr>
            <w:tcW w:w="7483" w:type="dxa"/>
            <w:gridSpan w:val="2"/>
          </w:tcPr>
          <w:p w14:paraId="192DEF0B" w14:textId="77777777" w:rsidR="001F5308" w:rsidRPr="004005A4" w:rsidRDefault="001F5308" w:rsidP="004005A4">
            <w:pPr>
              <w:pStyle w:val="FormTableHeaderRow"/>
              <w:rPr>
                <w:rFonts w:cs="Calibri Light"/>
                <w:sz w:val="20"/>
                <w:szCs w:val="20"/>
              </w:rPr>
            </w:pPr>
            <w:bookmarkStart w:id="10" w:name="_ARTICLE_1._APPLICATION"/>
            <w:bookmarkEnd w:id="10"/>
            <w:r w:rsidRPr="004005A4">
              <w:rPr>
                <w:rFonts w:cs="Calibri Light"/>
                <w:sz w:val="20"/>
                <w:szCs w:val="20"/>
              </w:rPr>
              <w:t>ARTICLE 1. APPLICATION OF REGULATION S-X</w:t>
            </w:r>
          </w:p>
        </w:tc>
        <w:tc>
          <w:tcPr>
            <w:tcW w:w="1209" w:type="dxa"/>
            <w:gridSpan w:val="2"/>
          </w:tcPr>
          <w:p w14:paraId="123839D0" w14:textId="77777777" w:rsidR="001F5308" w:rsidRPr="004005A4" w:rsidRDefault="001F5308" w:rsidP="004005A4">
            <w:pPr>
              <w:pStyle w:val="FormTableHeaderRow"/>
              <w:rPr>
                <w:rFonts w:cs="Calibri Light"/>
                <w:sz w:val="20"/>
                <w:szCs w:val="20"/>
              </w:rPr>
            </w:pPr>
          </w:p>
        </w:tc>
        <w:tc>
          <w:tcPr>
            <w:tcW w:w="236" w:type="dxa"/>
            <w:gridSpan w:val="3"/>
          </w:tcPr>
          <w:p w14:paraId="120E989D" w14:textId="77777777" w:rsidR="001F5308" w:rsidRPr="004005A4" w:rsidRDefault="001F5308" w:rsidP="004005A4">
            <w:pPr>
              <w:pStyle w:val="FormTableHeaderRow"/>
              <w:rPr>
                <w:rFonts w:cs="Calibri Light"/>
                <w:sz w:val="20"/>
                <w:szCs w:val="20"/>
              </w:rPr>
            </w:pPr>
          </w:p>
        </w:tc>
        <w:tc>
          <w:tcPr>
            <w:tcW w:w="1181" w:type="dxa"/>
            <w:gridSpan w:val="2"/>
          </w:tcPr>
          <w:p w14:paraId="55016D6A" w14:textId="77777777" w:rsidR="001F5308" w:rsidRPr="004005A4" w:rsidRDefault="001F5308" w:rsidP="004005A4">
            <w:pPr>
              <w:pStyle w:val="FormTableHeaderRow"/>
              <w:rPr>
                <w:rFonts w:cs="Calibri Light"/>
                <w:sz w:val="20"/>
                <w:szCs w:val="20"/>
              </w:rPr>
            </w:pPr>
          </w:p>
        </w:tc>
      </w:tr>
      <w:tr w:rsidR="001F5308" w:rsidRPr="004005A4" w14:paraId="568D9C89" w14:textId="77777777" w:rsidTr="00CC36C1">
        <w:trPr>
          <w:gridBefore w:val="1"/>
          <w:wBefore w:w="17" w:type="dxa"/>
        </w:trPr>
        <w:tc>
          <w:tcPr>
            <w:tcW w:w="7483" w:type="dxa"/>
            <w:gridSpan w:val="2"/>
          </w:tcPr>
          <w:p w14:paraId="598B0C2A" w14:textId="77777777" w:rsidR="001F5308" w:rsidRPr="004005A4" w:rsidRDefault="001F5308" w:rsidP="004005A4">
            <w:pPr>
              <w:pStyle w:val="standard"/>
              <w:spacing w:before="120" w:after="120" w:line="240" w:lineRule="atLeast"/>
              <w:rPr>
                <w:rFonts w:cs="Calibri Light"/>
                <w:sz w:val="20"/>
                <w:szCs w:val="20"/>
              </w:rPr>
            </w:pPr>
            <w:r w:rsidRPr="004005A4">
              <w:rPr>
                <w:rFonts w:cs="Calibri Light"/>
                <w:b/>
                <w:sz w:val="20"/>
                <w:szCs w:val="20"/>
              </w:rPr>
              <w:t>Rule 1-01</w:t>
            </w:r>
            <w:r w:rsidR="00832808" w:rsidRPr="004005A4">
              <w:rPr>
                <w:rFonts w:cs="Calibri Light"/>
                <w:b/>
                <w:sz w:val="20"/>
                <w:szCs w:val="20"/>
              </w:rPr>
              <w:t xml:space="preserve"> </w:t>
            </w:r>
            <w:r w:rsidRPr="004005A4">
              <w:rPr>
                <w:rFonts w:cs="Calibri Light"/>
                <w:b/>
                <w:sz w:val="20"/>
                <w:szCs w:val="20"/>
              </w:rPr>
              <w:t>—</w:t>
            </w:r>
            <w:r w:rsidR="00832808" w:rsidRPr="004005A4">
              <w:rPr>
                <w:rFonts w:cs="Calibri Light"/>
                <w:b/>
                <w:sz w:val="20"/>
                <w:szCs w:val="20"/>
              </w:rPr>
              <w:t xml:space="preserve"> </w:t>
            </w:r>
            <w:r w:rsidRPr="004005A4">
              <w:rPr>
                <w:rFonts w:cs="Calibri Light"/>
                <w:b/>
                <w:sz w:val="20"/>
                <w:szCs w:val="20"/>
              </w:rPr>
              <w:t xml:space="preserve">Financial statements </w:t>
            </w:r>
            <w:r w:rsidRPr="004005A4">
              <w:rPr>
                <w:rFonts w:cs="Calibri Light"/>
                <w:sz w:val="20"/>
                <w:szCs w:val="20"/>
              </w:rPr>
              <w:t xml:space="preserve">filed as a part of a registration statement, annual or periodic report, proxy statement (including an annual report to shareholders furnished therewith), etc., under the Securities Act of 1933 (the </w:t>
            </w:r>
            <w:r w:rsidR="00AF34D5" w:rsidRPr="004005A4">
              <w:rPr>
                <w:rFonts w:cs="Calibri Light"/>
                <w:sz w:val="20"/>
                <w:szCs w:val="20"/>
              </w:rPr>
              <w:t>“</w:t>
            </w:r>
            <w:r w:rsidRPr="004005A4">
              <w:rPr>
                <w:rFonts w:cs="Calibri Light"/>
                <w:sz w:val="20"/>
                <w:szCs w:val="20"/>
              </w:rPr>
              <w:t>Securities Act</w:t>
            </w:r>
            <w:r w:rsidR="00AF34D5" w:rsidRPr="004005A4">
              <w:rPr>
                <w:rFonts w:cs="Calibri Light"/>
                <w:sz w:val="20"/>
                <w:szCs w:val="20"/>
              </w:rPr>
              <w:t>”</w:t>
            </w:r>
            <w:r w:rsidRPr="004005A4">
              <w:rPr>
                <w:rFonts w:cs="Calibri Light"/>
                <w:sz w:val="20"/>
                <w:szCs w:val="20"/>
              </w:rPr>
              <w:t xml:space="preserve">), Securities Exchange Act of 1934 (the </w:t>
            </w:r>
            <w:r w:rsidR="00AF34D5" w:rsidRPr="004005A4">
              <w:rPr>
                <w:rFonts w:cs="Calibri Light"/>
                <w:sz w:val="20"/>
                <w:szCs w:val="20"/>
              </w:rPr>
              <w:t>“</w:t>
            </w:r>
            <w:r w:rsidRPr="004005A4">
              <w:rPr>
                <w:rFonts w:cs="Calibri Light"/>
                <w:sz w:val="20"/>
                <w:szCs w:val="20"/>
              </w:rPr>
              <w:t>Exchange Act</w:t>
            </w:r>
            <w:r w:rsidR="00AF34D5" w:rsidRPr="004005A4">
              <w:rPr>
                <w:rFonts w:cs="Calibri Light"/>
                <w:sz w:val="20"/>
                <w:szCs w:val="20"/>
              </w:rPr>
              <w:t>”</w:t>
            </w:r>
            <w:r w:rsidRPr="004005A4">
              <w:rPr>
                <w:rFonts w:cs="Calibri Light"/>
                <w:sz w:val="20"/>
                <w:szCs w:val="20"/>
              </w:rPr>
              <w:t xml:space="preserve">), </w:t>
            </w:r>
            <w:r w:rsidR="00874147" w:rsidRPr="004005A4">
              <w:rPr>
                <w:rFonts w:cs="Calibri Light"/>
                <w:sz w:val="20"/>
                <w:szCs w:val="20"/>
              </w:rPr>
              <w:t xml:space="preserve">the Investment Company Act of 1940 (except as specifically provided), </w:t>
            </w:r>
            <w:r w:rsidRPr="004005A4">
              <w:rPr>
                <w:rFonts w:cs="Calibri Light"/>
                <w:sz w:val="20"/>
                <w:szCs w:val="20"/>
              </w:rPr>
              <w:t xml:space="preserve">and Public Utility Holding Company Act of 1935 are to comply as to form and content as set forth in S-X. </w:t>
            </w:r>
            <w:r w:rsidR="00AF34D5" w:rsidRPr="004005A4">
              <w:rPr>
                <w:rFonts w:cs="Calibri Light"/>
                <w:sz w:val="20"/>
                <w:szCs w:val="20"/>
              </w:rPr>
              <w:t>“</w:t>
            </w:r>
            <w:r w:rsidRPr="004005A4">
              <w:rPr>
                <w:rFonts w:cs="Calibri Light"/>
                <w:sz w:val="20"/>
                <w:szCs w:val="20"/>
              </w:rPr>
              <w:t>Financial statement</w:t>
            </w:r>
            <w:r w:rsidR="00AF34D5" w:rsidRPr="004005A4">
              <w:rPr>
                <w:rFonts w:cs="Calibri Light"/>
                <w:sz w:val="20"/>
                <w:szCs w:val="20"/>
              </w:rPr>
              <w:t>”</w:t>
            </w:r>
            <w:r w:rsidRPr="004005A4">
              <w:rPr>
                <w:rFonts w:cs="Calibri Light"/>
                <w:sz w:val="20"/>
                <w:szCs w:val="20"/>
              </w:rPr>
              <w:t xml:space="preserve"> is defined to include all notes to the statements and all related schedules.</w:t>
            </w:r>
          </w:p>
        </w:tc>
        <w:tc>
          <w:tcPr>
            <w:tcW w:w="1209" w:type="dxa"/>
            <w:gridSpan w:val="2"/>
            <w:tcBorders>
              <w:bottom w:val="single" w:sz="4" w:space="0" w:color="auto"/>
            </w:tcBorders>
            <w:vAlign w:val="bottom"/>
          </w:tcPr>
          <w:p w14:paraId="465E825F" w14:textId="77777777" w:rsidR="001F5308" w:rsidRPr="004005A4" w:rsidRDefault="001F5308" w:rsidP="004005A4">
            <w:pPr>
              <w:spacing w:before="120" w:after="120" w:line="240" w:lineRule="atLeast"/>
              <w:jc w:val="center"/>
              <w:rPr>
                <w:rFonts w:cs="Calibri Light"/>
                <w:b/>
                <w:sz w:val="20"/>
                <w:szCs w:val="20"/>
              </w:rPr>
            </w:pPr>
          </w:p>
        </w:tc>
        <w:tc>
          <w:tcPr>
            <w:tcW w:w="236" w:type="dxa"/>
            <w:gridSpan w:val="3"/>
            <w:vAlign w:val="bottom"/>
          </w:tcPr>
          <w:p w14:paraId="32BC4B8E" w14:textId="77777777" w:rsidR="001F5308" w:rsidRPr="004005A4" w:rsidRDefault="001F5308"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7CAB66A4" w14:textId="77777777" w:rsidR="001F5308" w:rsidRPr="004005A4" w:rsidRDefault="001F5308" w:rsidP="004005A4">
            <w:pPr>
              <w:spacing w:before="120" w:after="120" w:line="240" w:lineRule="atLeast"/>
              <w:jc w:val="center"/>
              <w:rPr>
                <w:rFonts w:cs="Calibri Light"/>
                <w:b/>
                <w:sz w:val="20"/>
                <w:szCs w:val="20"/>
              </w:rPr>
            </w:pPr>
          </w:p>
        </w:tc>
      </w:tr>
      <w:tr w:rsidR="001F5308" w:rsidRPr="004005A4" w14:paraId="79E4273A" w14:textId="77777777" w:rsidTr="00CC36C1">
        <w:trPr>
          <w:gridBefore w:val="1"/>
          <w:wBefore w:w="17" w:type="dxa"/>
        </w:trPr>
        <w:tc>
          <w:tcPr>
            <w:tcW w:w="7483" w:type="dxa"/>
            <w:gridSpan w:val="2"/>
          </w:tcPr>
          <w:p w14:paraId="11BB1075" w14:textId="77777777" w:rsidR="001F5308" w:rsidRPr="004005A4" w:rsidRDefault="001F5308" w:rsidP="004005A4">
            <w:pPr>
              <w:pStyle w:val="standard"/>
              <w:spacing w:before="120" w:after="120" w:line="240" w:lineRule="atLeast"/>
              <w:rPr>
                <w:rFonts w:cs="Calibri Light"/>
                <w:sz w:val="20"/>
                <w:szCs w:val="20"/>
              </w:rPr>
            </w:pPr>
            <w:r w:rsidRPr="004005A4">
              <w:rPr>
                <w:rFonts w:cs="Calibri Light"/>
                <w:b/>
                <w:sz w:val="20"/>
                <w:szCs w:val="20"/>
              </w:rPr>
              <w:t>Rule 1-02</w:t>
            </w:r>
            <w:r w:rsidR="00832808" w:rsidRPr="004005A4">
              <w:rPr>
                <w:rFonts w:cs="Calibri Light"/>
                <w:b/>
                <w:sz w:val="20"/>
                <w:szCs w:val="20"/>
              </w:rPr>
              <w:t xml:space="preserve"> </w:t>
            </w:r>
            <w:r w:rsidRPr="004005A4">
              <w:rPr>
                <w:rFonts w:cs="Calibri Light"/>
                <w:b/>
                <w:sz w:val="20"/>
                <w:szCs w:val="20"/>
              </w:rPr>
              <w:t>—</w:t>
            </w:r>
            <w:r w:rsidR="00832808" w:rsidRPr="004005A4">
              <w:rPr>
                <w:rFonts w:cs="Calibri Light"/>
                <w:b/>
                <w:sz w:val="20"/>
                <w:szCs w:val="20"/>
              </w:rPr>
              <w:t xml:space="preserve"> </w:t>
            </w:r>
            <w:r w:rsidRPr="004005A4">
              <w:rPr>
                <w:rFonts w:cs="Calibri Light"/>
                <w:b/>
                <w:sz w:val="20"/>
                <w:szCs w:val="20"/>
              </w:rPr>
              <w:t xml:space="preserve">Various terms used in S-X are defined in this rule.  </w:t>
            </w:r>
            <w:r w:rsidRPr="004005A4">
              <w:rPr>
                <w:rFonts w:cs="Calibri Light"/>
                <w:sz w:val="20"/>
                <w:szCs w:val="20"/>
              </w:rPr>
              <w:t xml:space="preserve">A full understanding of all </w:t>
            </w:r>
            <w:r w:rsidR="00B43DF9" w:rsidRPr="004005A4">
              <w:rPr>
                <w:rFonts w:cs="Calibri Light"/>
                <w:sz w:val="20"/>
                <w:szCs w:val="20"/>
              </w:rPr>
              <w:t xml:space="preserve">defined </w:t>
            </w:r>
            <w:r w:rsidRPr="004005A4">
              <w:rPr>
                <w:rFonts w:cs="Calibri Light"/>
                <w:sz w:val="20"/>
                <w:szCs w:val="20"/>
              </w:rPr>
              <w:t>terms is necessary for the proper application of S-X.</w:t>
            </w:r>
            <w:r w:rsidR="002927E7" w:rsidRPr="004005A4">
              <w:rPr>
                <w:rFonts w:cs="Calibri Light"/>
                <w:sz w:val="20"/>
                <w:szCs w:val="20"/>
              </w:rPr>
              <w:t xml:space="preserve">  See </w:t>
            </w:r>
            <w:r w:rsidR="008A2D28" w:rsidRPr="004005A4">
              <w:rPr>
                <w:rFonts w:cs="Calibri Light"/>
                <w:sz w:val="20"/>
                <w:szCs w:val="20"/>
              </w:rPr>
              <w:t xml:space="preserve">Rule </w:t>
            </w:r>
            <w:r w:rsidR="002927E7" w:rsidRPr="004005A4">
              <w:rPr>
                <w:rFonts w:cs="Calibri Light"/>
                <w:sz w:val="20"/>
                <w:szCs w:val="20"/>
              </w:rPr>
              <w:t>1-02 for definition of various terms.</w:t>
            </w:r>
          </w:p>
        </w:tc>
        <w:tc>
          <w:tcPr>
            <w:tcW w:w="1209" w:type="dxa"/>
            <w:gridSpan w:val="2"/>
            <w:tcBorders>
              <w:top w:val="single" w:sz="4" w:space="0" w:color="auto"/>
              <w:bottom w:val="single" w:sz="4" w:space="0" w:color="auto"/>
            </w:tcBorders>
            <w:vAlign w:val="bottom"/>
          </w:tcPr>
          <w:p w14:paraId="5073266E" w14:textId="77777777" w:rsidR="001F5308" w:rsidRPr="004005A4" w:rsidRDefault="001F5308" w:rsidP="004005A4">
            <w:pPr>
              <w:spacing w:before="120" w:after="120" w:line="240" w:lineRule="atLeast"/>
              <w:jc w:val="center"/>
              <w:rPr>
                <w:rFonts w:cs="Calibri Light"/>
                <w:b/>
                <w:sz w:val="20"/>
                <w:szCs w:val="20"/>
              </w:rPr>
            </w:pPr>
          </w:p>
        </w:tc>
        <w:tc>
          <w:tcPr>
            <w:tcW w:w="236" w:type="dxa"/>
            <w:gridSpan w:val="3"/>
            <w:vAlign w:val="bottom"/>
          </w:tcPr>
          <w:p w14:paraId="6C962033" w14:textId="77777777" w:rsidR="001F5308" w:rsidRPr="004005A4" w:rsidRDefault="001F5308" w:rsidP="004005A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65E475A" w14:textId="77777777" w:rsidR="001F5308" w:rsidRPr="004005A4" w:rsidRDefault="001F5308" w:rsidP="004005A4">
            <w:pPr>
              <w:spacing w:before="120" w:after="120" w:line="240" w:lineRule="atLeast"/>
              <w:jc w:val="center"/>
              <w:rPr>
                <w:rFonts w:cs="Calibri Light"/>
                <w:b/>
                <w:sz w:val="20"/>
                <w:szCs w:val="20"/>
              </w:rPr>
            </w:pPr>
          </w:p>
        </w:tc>
      </w:tr>
      <w:tr w:rsidR="00B47999" w:rsidRPr="004005A4" w14:paraId="34E2E3D2" w14:textId="77777777" w:rsidTr="00CC36C1">
        <w:trPr>
          <w:gridBefore w:val="1"/>
          <w:wBefore w:w="17" w:type="dxa"/>
        </w:trPr>
        <w:tc>
          <w:tcPr>
            <w:tcW w:w="7483" w:type="dxa"/>
            <w:gridSpan w:val="2"/>
          </w:tcPr>
          <w:p w14:paraId="6FC65650" w14:textId="3EC098C8" w:rsidR="00B47999" w:rsidRPr="004005A4" w:rsidRDefault="00A77818" w:rsidP="00170774">
            <w:pPr>
              <w:pStyle w:val="FormTableHeaderRow"/>
              <w:keepNext/>
              <w:rPr>
                <w:rFonts w:cs="Calibri Light"/>
                <w:sz w:val="20"/>
                <w:szCs w:val="20"/>
              </w:rPr>
            </w:pPr>
            <w:bookmarkStart w:id="11" w:name="_ARTICLE_2._QUALIFICATIONS"/>
            <w:bookmarkStart w:id="12" w:name="_ARTICLE_3._GENERAL"/>
            <w:bookmarkEnd w:id="11"/>
            <w:bookmarkEnd w:id="12"/>
            <w:r w:rsidRPr="548CA69B">
              <w:rPr>
                <w:rFonts w:cs="Calibri Light"/>
                <w:sz w:val="20"/>
                <w:szCs w:val="20"/>
              </w:rPr>
              <w:t>ARTICLE 3. GENERAL INSTRUCTIONS AS TO FINANCIAL STATEMENTS</w:t>
            </w:r>
          </w:p>
        </w:tc>
        <w:tc>
          <w:tcPr>
            <w:tcW w:w="1209" w:type="dxa"/>
            <w:gridSpan w:val="2"/>
            <w:vAlign w:val="bottom"/>
          </w:tcPr>
          <w:p w14:paraId="26EA2E01"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00F3A86B"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vAlign w:val="bottom"/>
          </w:tcPr>
          <w:p w14:paraId="1E90D25C"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3CC183AB" w14:textId="77777777" w:rsidTr="00CC36C1">
        <w:trPr>
          <w:gridBefore w:val="1"/>
          <w:wBefore w:w="17" w:type="dxa"/>
        </w:trPr>
        <w:tc>
          <w:tcPr>
            <w:tcW w:w="7483" w:type="dxa"/>
            <w:gridSpan w:val="2"/>
          </w:tcPr>
          <w:p w14:paraId="7F4AD0CE" w14:textId="77777777" w:rsidR="00B47999" w:rsidRPr="004005A4" w:rsidRDefault="00B47999" w:rsidP="00170774">
            <w:pPr>
              <w:pStyle w:val="standard"/>
              <w:keepNext/>
              <w:spacing w:before="120" w:after="120" w:line="240" w:lineRule="atLeast"/>
              <w:rPr>
                <w:rFonts w:cs="Calibri Light"/>
                <w:sz w:val="20"/>
                <w:szCs w:val="20"/>
              </w:rPr>
            </w:pPr>
            <w:r w:rsidRPr="004005A4">
              <w:rPr>
                <w:rFonts w:cs="Calibri Light"/>
                <w:b/>
                <w:sz w:val="20"/>
                <w:szCs w:val="20"/>
              </w:rPr>
              <w:t>Rule 3-01 — Consolidated balance sheets.</w:t>
            </w:r>
          </w:p>
        </w:tc>
        <w:tc>
          <w:tcPr>
            <w:tcW w:w="1209" w:type="dxa"/>
            <w:gridSpan w:val="2"/>
            <w:vAlign w:val="bottom"/>
          </w:tcPr>
          <w:p w14:paraId="74396B67"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59DA3AB0"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vAlign w:val="bottom"/>
          </w:tcPr>
          <w:p w14:paraId="240A5DE9"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21C58EE2" w14:textId="77777777" w:rsidTr="00CC36C1">
        <w:trPr>
          <w:gridBefore w:val="1"/>
          <w:wBefore w:w="17" w:type="dxa"/>
        </w:trPr>
        <w:tc>
          <w:tcPr>
            <w:tcW w:w="7483" w:type="dxa"/>
            <w:gridSpan w:val="2"/>
          </w:tcPr>
          <w:p w14:paraId="66E510A9" w14:textId="33C0E749" w:rsidR="00340656" w:rsidRPr="004005A4" w:rsidRDefault="00B47999" w:rsidP="00170774">
            <w:pPr>
              <w:pStyle w:val="level1"/>
              <w:numPr>
                <w:ilvl w:val="0"/>
                <w:numId w:val="89"/>
              </w:numPr>
              <w:tabs>
                <w:tab w:val="clear" w:pos="576"/>
              </w:tabs>
              <w:spacing w:after="120" w:line="240" w:lineRule="atLeast"/>
              <w:ind w:left="230" w:hanging="230"/>
              <w:rPr>
                <w:rFonts w:cs="Calibri Light"/>
                <w:sz w:val="20"/>
                <w:szCs w:val="20"/>
              </w:rPr>
            </w:pPr>
            <w:r w:rsidRPr="004005A4">
              <w:rPr>
                <w:rFonts w:cs="Calibri Light"/>
                <w:sz w:val="20"/>
                <w:szCs w:val="20"/>
              </w:rPr>
              <w:t>File audited consolidated balance sheets as of the end of each of the two most recent fiscal years.</w:t>
            </w:r>
          </w:p>
          <w:p w14:paraId="7CBCFF8E" w14:textId="463B184E" w:rsidR="00340656" w:rsidRPr="004005A4" w:rsidRDefault="00340656" w:rsidP="008323EE">
            <w:pPr>
              <w:pStyle w:val="level1"/>
              <w:tabs>
                <w:tab w:val="clear" w:pos="576"/>
              </w:tabs>
              <w:spacing w:after="120" w:line="240" w:lineRule="atLeast"/>
              <w:ind w:left="230" w:firstLine="0"/>
              <w:rPr>
                <w:rFonts w:cs="Calibri Light"/>
                <w:sz w:val="20"/>
                <w:szCs w:val="20"/>
              </w:rPr>
            </w:pPr>
            <w:r w:rsidRPr="004005A4">
              <w:rPr>
                <w:rFonts w:cs="Calibri Light"/>
                <w:sz w:val="20"/>
                <w:szCs w:val="20"/>
              </w:rPr>
              <w:t xml:space="preserve">NOTE: </w:t>
            </w:r>
            <w:r w:rsidR="00B47999" w:rsidRPr="004005A4">
              <w:rPr>
                <w:rFonts w:cs="Calibri Light"/>
                <w:sz w:val="20"/>
                <w:szCs w:val="20"/>
              </w:rPr>
              <w:t>If the registrant has been in existence for less than one fiscal year, an audited balance sheet as of a date within 135 days of the date of filing the registration statement should be filed.</w:t>
            </w:r>
          </w:p>
        </w:tc>
        <w:tc>
          <w:tcPr>
            <w:tcW w:w="1209" w:type="dxa"/>
            <w:gridSpan w:val="2"/>
            <w:tcBorders>
              <w:bottom w:val="single" w:sz="4" w:space="0" w:color="auto"/>
            </w:tcBorders>
            <w:vAlign w:val="bottom"/>
          </w:tcPr>
          <w:p w14:paraId="79A4D475"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43777FAB"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5A69A401" w14:textId="77777777" w:rsidR="00B47999" w:rsidRPr="004005A4" w:rsidRDefault="00B47999" w:rsidP="004005A4">
            <w:pPr>
              <w:spacing w:before="120" w:after="120" w:line="240" w:lineRule="atLeast"/>
              <w:jc w:val="center"/>
              <w:rPr>
                <w:rFonts w:cs="Calibri Light"/>
                <w:b/>
                <w:sz w:val="20"/>
                <w:szCs w:val="20"/>
              </w:rPr>
            </w:pPr>
          </w:p>
        </w:tc>
      </w:tr>
      <w:tr w:rsidR="00340656" w:rsidRPr="004005A4" w14:paraId="1517CACA" w14:textId="77777777" w:rsidTr="00CC36C1">
        <w:trPr>
          <w:gridBefore w:val="1"/>
          <w:wBefore w:w="17" w:type="dxa"/>
        </w:trPr>
        <w:tc>
          <w:tcPr>
            <w:tcW w:w="7483" w:type="dxa"/>
            <w:gridSpan w:val="2"/>
          </w:tcPr>
          <w:p w14:paraId="330749BF" w14:textId="30A77263" w:rsidR="00340656" w:rsidRPr="004005A4" w:rsidRDefault="293F8283" w:rsidP="00170774">
            <w:pPr>
              <w:pStyle w:val="level1"/>
              <w:numPr>
                <w:ilvl w:val="0"/>
                <w:numId w:val="89"/>
              </w:numPr>
              <w:tabs>
                <w:tab w:val="clear" w:pos="576"/>
              </w:tabs>
              <w:spacing w:after="120" w:line="240" w:lineRule="atLeast"/>
              <w:ind w:left="230" w:hanging="230"/>
              <w:rPr>
                <w:rFonts w:cs="Calibri Light"/>
                <w:sz w:val="20"/>
                <w:szCs w:val="20"/>
              </w:rPr>
            </w:pPr>
            <w:r w:rsidRPr="548EBB82">
              <w:rPr>
                <w:rFonts w:cs="Calibri Light"/>
                <w:sz w:val="20"/>
                <w:szCs w:val="20"/>
              </w:rPr>
              <w:t xml:space="preserve">If the filing (other than on Form 10-K or Form 10) is made within 45 days after the end of the year, and audited statements for the latest year are not available, the balance sheets may be as of the end of each of the two preceding years.  An additional interim balance sheet at least as current as the end of the third quarter of the latest completed </w:t>
            </w:r>
            <w:r w:rsidR="0A79EBF9" w:rsidRPr="548EBB82">
              <w:rPr>
                <w:rFonts w:cs="Calibri Light"/>
                <w:sz w:val="20"/>
                <w:szCs w:val="20"/>
              </w:rPr>
              <w:t xml:space="preserve">fiscal </w:t>
            </w:r>
            <w:r w:rsidRPr="548EBB82">
              <w:rPr>
                <w:rFonts w:cs="Calibri Light"/>
                <w:sz w:val="20"/>
                <w:szCs w:val="20"/>
              </w:rPr>
              <w:t>year</w:t>
            </w:r>
            <w:r w:rsidR="56DDE4D7" w:rsidRPr="548EBB82">
              <w:rPr>
                <w:rFonts w:cs="Calibri Light"/>
                <w:sz w:val="20"/>
                <w:szCs w:val="20"/>
              </w:rPr>
              <w:t xml:space="preserve"> is </w:t>
            </w:r>
            <w:r w:rsidR="00EE3CEF">
              <w:rPr>
                <w:rFonts w:cs="Calibri Light"/>
                <w:sz w:val="20"/>
                <w:szCs w:val="20"/>
              </w:rPr>
              <w:t xml:space="preserve">also </w:t>
            </w:r>
            <w:r w:rsidR="56DDE4D7" w:rsidRPr="548EBB82">
              <w:rPr>
                <w:rFonts w:cs="Calibri Light"/>
                <w:sz w:val="20"/>
                <w:szCs w:val="20"/>
              </w:rPr>
              <w:t>required</w:t>
            </w:r>
            <w:r w:rsidR="0D10E121" w:rsidRPr="548EBB82">
              <w:rPr>
                <w:rFonts w:cs="Calibri Light"/>
                <w:sz w:val="20"/>
                <w:szCs w:val="20"/>
              </w:rPr>
              <w:t>.</w:t>
            </w:r>
          </w:p>
        </w:tc>
        <w:tc>
          <w:tcPr>
            <w:tcW w:w="1209" w:type="dxa"/>
            <w:gridSpan w:val="2"/>
            <w:tcBorders>
              <w:bottom w:val="single" w:sz="4" w:space="0" w:color="auto"/>
            </w:tcBorders>
            <w:vAlign w:val="bottom"/>
          </w:tcPr>
          <w:p w14:paraId="39A4EF77" w14:textId="77777777" w:rsidR="00340656" w:rsidRPr="004005A4" w:rsidRDefault="00340656" w:rsidP="004005A4">
            <w:pPr>
              <w:spacing w:before="120" w:after="120" w:line="240" w:lineRule="atLeast"/>
              <w:jc w:val="center"/>
              <w:rPr>
                <w:rFonts w:cs="Calibri Light"/>
                <w:b/>
                <w:sz w:val="20"/>
                <w:szCs w:val="20"/>
              </w:rPr>
            </w:pPr>
          </w:p>
        </w:tc>
        <w:tc>
          <w:tcPr>
            <w:tcW w:w="236" w:type="dxa"/>
            <w:gridSpan w:val="3"/>
            <w:vAlign w:val="bottom"/>
          </w:tcPr>
          <w:p w14:paraId="07838239" w14:textId="77777777" w:rsidR="00340656" w:rsidRPr="004005A4" w:rsidRDefault="00340656"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5B277DF3" w14:textId="77777777" w:rsidR="00340656" w:rsidRPr="004005A4" w:rsidRDefault="00340656" w:rsidP="004005A4">
            <w:pPr>
              <w:spacing w:before="120" w:after="120" w:line="240" w:lineRule="atLeast"/>
              <w:jc w:val="center"/>
              <w:rPr>
                <w:rFonts w:cs="Calibri Light"/>
                <w:b/>
                <w:sz w:val="20"/>
                <w:szCs w:val="20"/>
              </w:rPr>
            </w:pPr>
          </w:p>
        </w:tc>
      </w:tr>
      <w:tr w:rsidR="000B042B" w:rsidRPr="004005A4" w14:paraId="7CE2CFF4" w14:textId="77777777" w:rsidTr="00CC36C1">
        <w:trPr>
          <w:gridBefore w:val="1"/>
          <w:wBefore w:w="17" w:type="dxa"/>
        </w:trPr>
        <w:tc>
          <w:tcPr>
            <w:tcW w:w="7483" w:type="dxa"/>
            <w:gridSpan w:val="2"/>
          </w:tcPr>
          <w:p w14:paraId="4CCB765B" w14:textId="43590460" w:rsidR="000B042B" w:rsidRPr="004005A4" w:rsidRDefault="000B042B" w:rsidP="008323EE">
            <w:pPr>
              <w:pStyle w:val="level1"/>
              <w:numPr>
                <w:ilvl w:val="0"/>
                <w:numId w:val="89"/>
              </w:numPr>
              <w:tabs>
                <w:tab w:val="clear" w:pos="576"/>
              </w:tabs>
              <w:spacing w:after="120" w:line="240" w:lineRule="atLeast"/>
              <w:ind w:left="237" w:hanging="237"/>
              <w:rPr>
                <w:rFonts w:cs="Calibri Light"/>
                <w:sz w:val="20"/>
                <w:szCs w:val="20"/>
              </w:rPr>
            </w:pPr>
            <w:r w:rsidRPr="004005A4">
              <w:rPr>
                <w:rFonts w:cs="Calibri Light"/>
                <w:sz w:val="20"/>
                <w:szCs w:val="20"/>
              </w:rPr>
              <w:t>The instruction in paragraph (b) of this section is also applicable to filings, other than on Form 10-K or Form 10, made after 45 days but within the number of days of the end of the registrant's fiscal year specified in paragraph (i) of this section</w:t>
            </w:r>
            <w:r w:rsidR="002A71B7" w:rsidRPr="004005A4">
              <w:rPr>
                <w:rFonts w:cs="Calibri Light"/>
                <w:sz w:val="20"/>
                <w:szCs w:val="20"/>
              </w:rPr>
              <w:t xml:space="preserve">, </w:t>
            </w:r>
            <w:r w:rsidR="002A71B7" w:rsidRPr="004005A4">
              <w:rPr>
                <w:rFonts w:cs="Calibri Light"/>
                <w:i/>
                <w:iCs/>
                <w:sz w:val="20"/>
                <w:szCs w:val="20"/>
              </w:rPr>
              <w:t>provided</w:t>
            </w:r>
            <w:r w:rsidRPr="004005A4">
              <w:rPr>
                <w:rFonts w:cs="Calibri Light"/>
                <w:sz w:val="20"/>
                <w:szCs w:val="20"/>
              </w:rPr>
              <w:t xml:space="preserve"> that the following conditions are met:</w:t>
            </w:r>
          </w:p>
          <w:p w14:paraId="34886C22" w14:textId="701FA59B" w:rsidR="000B042B" w:rsidRPr="004005A4" w:rsidRDefault="000B042B" w:rsidP="00170774">
            <w:pPr>
              <w:pStyle w:val="level2"/>
              <w:numPr>
                <w:ilvl w:val="0"/>
                <w:numId w:val="90"/>
              </w:numPr>
              <w:tabs>
                <w:tab w:val="clear" w:pos="576"/>
                <w:tab w:val="clear" w:pos="1152"/>
              </w:tabs>
              <w:spacing w:after="120" w:line="240" w:lineRule="atLeast"/>
              <w:rPr>
                <w:rFonts w:cs="Calibri Light"/>
                <w:sz w:val="20"/>
                <w:szCs w:val="20"/>
              </w:rPr>
            </w:pPr>
            <w:r w:rsidRPr="004005A4">
              <w:rPr>
                <w:rFonts w:cs="Calibri Light"/>
                <w:sz w:val="20"/>
                <w:szCs w:val="20"/>
              </w:rPr>
              <w:t>The registrant files annual, quarterly and other reports pursuant to section 13 or 15(d) of the Securities Exchange Act of 1934 and all reports due have been filed</w:t>
            </w:r>
            <w:r w:rsidR="005343F3" w:rsidRPr="004005A4">
              <w:rPr>
                <w:rFonts w:cs="Calibri Light"/>
                <w:sz w:val="20"/>
                <w:szCs w:val="20"/>
              </w:rPr>
              <w:t>.</w:t>
            </w:r>
          </w:p>
          <w:p w14:paraId="70A91D7B" w14:textId="130542EE" w:rsidR="000B042B" w:rsidRPr="004005A4" w:rsidRDefault="000B042B" w:rsidP="00170774">
            <w:pPr>
              <w:pStyle w:val="level2"/>
              <w:numPr>
                <w:ilvl w:val="0"/>
                <w:numId w:val="90"/>
              </w:numPr>
              <w:tabs>
                <w:tab w:val="clear" w:pos="576"/>
                <w:tab w:val="clear" w:pos="1152"/>
              </w:tabs>
              <w:spacing w:after="120" w:line="240" w:lineRule="atLeast"/>
              <w:rPr>
                <w:rFonts w:cs="Calibri Light"/>
                <w:sz w:val="20"/>
                <w:szCs w:val="20"/>
              </w:rPr>
            </w:pPr>
            <w:r w:rsidRPr="004005A4">
              <w:rPr>
                <w:rFonts w:cs="Calibri Light"/>
                <w:sz w:val="20"/>
                <w:szCs w:val="20"/>
              </w:rPr>
              <w:t>For the most recent fiscal year for which audited financial statements are not yet available</w:t>
            </w:r>
            <w:r w:rsidR="00BE0384" w:rsidRPr="004005A4">
              <w:rPr>
                <w:rFonts w:cs="Calibri Light"/>
                <w:sz w:val="20"/>
                <w:szCs w:val="20"/>
              </w:rPr>
              <w:t>,</w:t>
            </w:r>
            <w:r w:rsidRPr="004005A4">
              <w:rPr>
                <w:rFonts w:cs="Calibri Light"/>
                <w:sz w:val="20"/>
                <w:szCs w:val="20"/>
              </w:rPr>
              <w:t xml:space="preserve"> the registrant reasonably and in good faith expects to report income attributable to the registrant after taxes</w:t>
            </w:r>
            <w:r w:rsidR="005343F3" w:rsidRPr="004005A4">
              <w:rPr>
                <w:rFonts w:cs="Calibri Light"/>
                <w:sz w:val="20"/>
                <w:szCs w:val="20"/>
              </w:rPr>
              <w:t>.</w:t>
            </w:r>
          </w:p>
          <w:p w14:paraId="0DFCC0CF" w14:textId="43537EE3" w:rsidR="00A42E99" w:rsidRPr="004005A4" w:rsidRDefault="000B042B" w:rsidP="0003090F">
            <w:pPr>
              <w:pStyle w:val="level2"/>
              <w:numPr>
                <w:ilvl w:val="0"/>
                <w:numId w:val="90"/>
              </w:numPr>
              <w:tabs>
                <w:tab w:val="clear" w:pos="576"/>
                <w:tab w:val="clear" w:pos="1152"/>
              </w:tabs>
              <w:spacing w:after="120" w:line="240" w:lineRule="atLeast"/>
              <w:rPr>
                <w:rFonts w:cs="Calibri Light"/>
                <w:sz w:val="20"/>
                <w:szCs w:val="20"/>
              </w:rPr>
            </w:pPr>
            <w:r w:rsidRPr="004005A4">
              <w:rPr>
                <w:rFonts w:cs="Calibri Light"/>
                <w:sz w:val="20"/>
                <w:szCs w:val="20"/>
              </w:rPr>
              <w:t>For at least one of the two fiscal years immediately preceding the most recent fiscal year</w:t>
            </w:r>
            <w:r w:rsidR="00BE0384" w:rsidRPr="004005A4">
              <w:rPr>
                <w:rFonts w:cs="Calibri Light"/>
                <w:sz w:val="20"/>
                <w:szCs w:val="20"/>
              </w:rPr>
              <w:t>,</w:t>
            </w:r>
            <w:r w:rsidRPr="004005A4">
              <w:rPr>
                <w:rFonts w:cs="Calibri Light"/>
                <w:sz w:val="20"/>
                <w:szCs w:val="20"/>
              </w:rPr>
              <w:t xml:space="preserve"> the registrant reported income attributable to the registrant after taxes</w:t>
            </w:r>
            <w:r w:rsidR="0067558C" w:rsidRPr="004005A4">
              <w:rPr>
                <w:rFonts w:cs="Calibri Light"/>
                <w:sz w:val="20"/>
                <w:szCs w:val="20"/>
              </w:rPr>
              <w:t>.</w:t>
            </w:r>
          </w:p>
        </w:tc>
        <w:tc>
          <w:tcPr>
            <w:tcW w:w="1209" w:type="dxa"/>
            <w:gridSpan w:val="2"/>
            <w:tcBorders>
              <w:bottom w:val="single" w:sz="4" w:space="0" w:color="auto"/>
            </w:tcBorders>
            <w:vAlign w:val="bottom"/>
          </w:tcPr>
          <w:p w14:paraId="347D6D36" w14:textId="77777777" w:rsidR="000B042B" w:rsidRPr="004005A4" w:rsidRDefault="000B042B" w:rsidP="004005A4">
            <w:pPr>
              <w:spacing w:before="120" w:after="120" w:line="240" w:lineRule="atLeast"/>
              <w:jc w:val="center"/>
              <w:rPr>
                <w:rFonts w:cs="Calibri Light"/>
                <w:b/>
                <w:sz w:val="20"/>
                <w:szCs w:val="20"/>
              </w:rPr>
            </w:pPr>
          </w:p>
        </w:tc>
        <w:tc>
          <w:tcPr>
            <w:tcW w:w="236" w:type="dxa"/>
            <w:gridSpan w:val="3"/>
            <w:vAlign w:val="bottom"/>
          </w:tcPr>
          <w:p w14:paraId="4AD38A4E" w14:textId="77777777" w:rsidR="000B042B" w:rsidRPr="004005A4" w:rsidRDefault="000B042B"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306DBC70" w14:textId="77777777" w:rsidR="000B042B" w:rsidRPr="004005A4" w:rsidRDefault="000B042B" w:rsidP="004005A4">
            <w:pPr>
              <w:spacing w:before="120" w:after="120" w:line="240" w:lineRule="atLeast"/>
              <w:jc w:val="center"/>
              <w:rPr>
                <w:rFonts w:cs="Calibri Light"/>
                <w:b/>
                <w:sz w:val="20"/>
                <w:szCs w:val="20"/>
              </w:rPr>
            </w:pPr>
          </w:p>
        </w:tc>
      </w:tr>
      <w:tr w:rsidR="00B47999" w:rsidRPr="004005A4" w14:paraId="241C7327" w14:textId="77777777" w:rsidTr="00CC36C1">
        <w:trPr>
          <w:gridBefore w:val="1"/>
          <w:wBefore w:w="17" w:type="dxa"/>
        </w:trPr>
        <w:tc>
          <w:tcPr>
            <w:tcW w:w="7483" w:type="dxa"/>
            <w:gridSpan w:val="2"/>
          </w:tcPr>
          <w:p w14:paraId="2450B77B" w14:textId="1D179CCD" w:rsidR="00B47999" w:rsidRPr="004005A4" w:rsidRDefault="532B6134" w:rsidP="00170774">
            <w:pPr>
              <w:pStyle w:val="level1"/>
              <w:numPr>
                <w:ilvl w:val="0"/>
                <w:numId w:val="89"/>
              </w:numPr>
              <w:tabs>
                <w:tab w:val="clear" w:pos="576"/>
              </w:tabs>
              <w:spacing w:after="120" w:line="240" w:lineRule="atLeast"/>
              <w:ind w:left="230" w:hanging="230"/>
              <w:rPr>
                <w:rFonts w:cs="Calibri Light"/>
                <w:sz w:val="20"/>
                <w:szCs w:val="20"/>
              </w:rPr>
            </w:pPr>
            <w:bookmarkStart w:id="13" w:name="subdoc29"/>
            <w:bookmarkStart w:id="14" w:name="subdoc33"/>
            <w:bookmarkStart w:id="15" w:name="subdoc37"/>
            <w:bookmarkEnd w:id="13"/>
            <w:bookmarkEnd w:id="14"/>
            <w:bookmarkEnd w:id="15"/>
            <w:r w:rsidRPr="548EBB82">
              <w:rPr>
                <w:rFonts w:cs="Calibri Light"/>
                <w:sz w:val="20"/>
                <w:szCs w:val="20"/>
              </w:rPr>
              <w:lastRenderedPageBreak/>
              <w:t xml:space="preserve">If the </w:t>
            </w:r>
            <w:r w:rsidR="002F2572">
              <w:rPr>
                <w:rFonts w:cs="Calibri Light"/>
                <w:sz w:val="20"/>
                <w:szCs w:val="20"/>
              </w:rPr>
              <w:t>conditions</w:t>
            </w:r>
            <w:r w:rsidR="002F2572" w:rsidRPr="548EBB82">
              <w:rPr>
                <w:rFonts w:cs="Calibri Light"/>
                <w:sz w:val="20"/>
                <w:szCs w:val="20"/>
              </w:rPr>
              <w:t xml:space="preserve"> </w:t>
            </w:r>
            <w:r w:rsidR="7649179A" w:rsidRPr="548EBB82">
              <w:rPr>
                <w:rFonts w:cs="Calibri Light"/>
                <w:sz w:val="20"/>
                <w:szCs w:val="20"/>
              </w:rPr>
              <w:t xml:space="preserve">set forth in paragraph </w:t>
            </w:r>
            <w:r w:rsidR="0695BF4D" w:rsidRPr="548EBB82">
              <w:rPr>
                <w:rFonts w:cs="Calibri Light"/>
                <w:sz w:val="20"/>
                <w:szCs w:val="20"/>
              </w:rPr>
              <w:t>(</w:t>
            </w:r>
            <w:r w:rsidR="7649179A" w:rsidRPr="548EBB82">
              <w:rPr>
                <w:rFonts w:cs="Calibri Light"/>
                <w:sz w:val="20"/>
                <w:szCs w:val="20"/>
              </w:rPr>
              <w:t>c</w:t>
            </w:r>
            <w:r w:rsidR="0695BF4D" w:rsidRPr="548EBB82">
              <w:rPr>
                <w:rFonts w:cs="Calibri Light"/>
                <w:sz w:val="20"/>
                <w:szCs w:val="20"/>
              </w:rPr>
              <w:t>)</w:t>
            </w:r>
            <w:r w:rsidR="7649179A" w:rsidRPr="548EBB82">
              <w:rPr>
                <w:rFonts w:cs="Calibri Light"/>
                <w:sz w:val="20"/>
                <w:szCs w:val="20"/>
              </w:rPr>
              <w:t xml:space="preserve"> </w:t>
            </w:r>
            <w:r w:rsidRPr="548EBB82">
              <w:rPr>
                <w:rFonts w:cs="Calibri Light"/>
                <w:sz w:val="20"/>
                <w:szCs w:val="20"/>
              </w:rPr>
              <w:t xml:space="preserve">are not met, the filing must include the audited balance sheets called for in paragraph </w:t>
            </w:r>
            <w:r w:rsidR="0695BF4D" w:rsidRPr="548EBB82">
              <w:rPr>
                <w:rFonts w:cs="Calibri Light"/>
                <w:sz w:val="20"/>
                <w:szCs w:val="20"/>
              </w:rPr>
              <w:t>(</w:t>
            </w:r>
            <w:r w:rsidRPr="548EBB82">
              <w:rPr>
                <w:rFonts w:cs="Calibri Light"/>
                <w:sz w:val="20"/>
                <w:szCs w:val="20"/>
              </w:rPr>
              <w:t>a</w:t>
            </w:r>
            <w:r w:rsidR="0695BF4D" w:rsidRPr="548EBB82">
              <w:rPr>
                <w:rFonts w:cs="Calibri Light"/>
                <w:sz w:val="20"/>
                <w:szCs w:val="20"/>
              </w:rPr>
              <w:t>)</w:t>
            </w:r>
            <w:r w:rsidRPr="548EBB82">
              <w:rPr>
                <w:rFonts w:cs="Calibri Light"/>
                <w:sz w:val="20"/>
                <w:szCs w:val="20"/>
              </w:rPr>
              <w:t xml:space="preserve"> above.</w:t>
            </w:r>
            <w:r w:rsidR="51F3180F" w:rsidRPr="548EBB82">
              <w:rPr>
                <w:rFonts w:cs="Calibri Light"/>
                <w:sz w:val="20"/>
                <w:szCs w:val="20"/>
              </w:rPr>
              <w:t xml:space="preserve"> </w:t>
            </w:r>
          </w:p>
        </w:tc>
        <w:tc>
          <w:tcPr>
            <w:tcW w:w="1209" w:type="dxa"/>
            <w:gridSpan w:val="2"/>
            <w:tcBorders>
              <w:top w:val="single" w:sz="4" w:space="0" w:color="auto"/>
              <w:bottom w:val="single" w:sz="4" w:space="0" w:color="auto"/>
            </w:tcBorders>
            <w:vAlign w:val="bottom"/>
          </w:tcPr>
          <w:p w14:paraId="3CA04940" w14:textId="77777777" w:rsidR="00340656" w:rsidRPr="004005A4" w:rsidRDefault="00340656" w:rsidP="004005A4">
            <w:pPr>
              <w:spacing w:before="120" w:after="120" w:line="240" w:lineRule="atLeast"/>
              <w:jc w:val="center"/>
              <w:rPr>
                <w:rFonts w:cs="Calibri Light"/>
                <w:b/>
                <w:sz w:val="20"/>
                <w:szCs w:val="20"/>
              </w:rPr>
            </w:pPr>
          </w:p>
        </w:tc>
        <w:tc>
          <w:tcPr>
            <w:tcW w:w="236" w:type="dxa"/>
            <w:gridSpan w:val="3"/>
            <w:vAlign w:val="bottom"/>
          </w:tcPr>
          <w:p w14:paraId="6C26F124"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CFDEA90" w14:textId="77777777" w:rsidR="00B47999" w:rsidRPr="004005A4" w:rsidRDefault="00B47999" w:rsidP="004005A4">
            <w:pPr>
              <w:spacing w:before="120" w:after="120" w:line="240" w:lineRule="atLeast"/>
              <w:jc w:val="center"/>
              <w:rPr>
                <w:rFonts w:cs="Calibri Light"/>
                <w:b/>
                <w:sz w:val="20"/>
                <w:szCs w:val="20"/>
              </w:rPr>
            </w:pPr>
          </w:p>
        </w:tc>
      </w:tr>
      <w:tr w:rsidR="000B042B" w:rsidRPr="004005A4" w14:paraId="70075FC5" w14:textId="77777777" w:rsidTr="00CC36C1">
        <w:trPr>
          <w:gridBefore w:val="1"/>
          <w:wBefore w:w="17" w:type="dxa"/>
        </w:trPr>
        <w:tc>
          <w:tcPr>
            <w:tcW w:w="7483" w:type="dxa"/>
            <w:gridSpan w:val="2"/>
          </w:tcPr>
          <w:p w14:paraId="727A54AA" w14:textId="54B5D395" w:rsidR="000B042B" w:rsidRPr="004005A4" w:rsidRDefault="293F8283" w:rsidP="00170774">
            <w:pPr>
              <w:pStyle w:val="level1"/>
              <w:numPr>
                <w:ilvl w:val="0"/>
                <w:numId w:val="89"/>
              </w:numPr>
              <w:tabs>
                <w:tab w:val="clear" w:pos="576"/>
              </w:tabs>
              <w:spacing w:after="120" w:line="240" w:lineRule="atLeast"/>
              <w:ind w:left="230" w:hanging="230"/>
              <w:rPr>
                <w:rFonts w:cs="Calibri Light"/>
                <w:sz w:val="20"/>
                <w:szCs w:val="20"/>
              </w:rPr>
            </w:pPr>
            <w:r w:rsidRPr="548EBB82">
              <w:rPr>
                <w:rFonts w:cs="Calibri Light"/>
                <w:sz w:val="20"/>
                <w:szCs w:val="20"/>
              </w:rPr>
              <w:t>For filings made after the number of days specified in paragraph (i)(2) below, the filing must also include a balance sheet at an interim date within the following number of days of the date of the filing:</w:t>
            </w:r>
          </w:p>
          <w:p w14:paraId="5A0EF21F" w14:textId="405C5CE7" w:rsidR="000B042B" w:rsidRPr="004005A4" w:rsidRDefault="000B042B" w:rsidP="00170774">
            <w:pPr>
              <w:pStyle w:val="level2"/>
              <w:numPr>
                <w:ilvl w:val="0"/>
                <w:numId w:val="91"/>
              </w:numPr>
              <w:tabs>
                <w:tab w:val="clear" w:pos="576"/>
                <w:tab w:val="clear" w:pos="1152"/>
              </w:tabs>
              <w:spacing w:after="120" w:line="240" w:lineRule="atLeast"/>
              <w:rPr>
                <w:rFonts w:cs="Calibri Light"/>
                <w:sz w:val="20"/>
                <w:szCs w:val="20"/>
              </w:rPr>
            </w:pPr>
            <w:r w:rsidRPr="004005A4">
              <w:rPr>
                <w:rFonts w:cs="Calibri Light"/>
                <w:sz w:val="20"/>
                <w:szCs w:val="20"/>
              </w:rPr>
              <w:t>130 days for accelerated and large accelerated filers</w:t>
            </w:r>
          </w:p>
          <w:p w14:paraId="5630162B" w14:textId="3264F152" w:rsidR="000B042B" w:rsidRPr="004005A4" w:rsidDel="000B042B" w:rsidRDefault="000B042B" w:rsidP="00170774">
            <w:pPr>
              <w:pStyle w:val="level2"/>
              <w:numPr>
                <w:ilvl w:val="0"/>
                <w:numId w:val="91"/>
              </w:numPr>
              <w:tabs>
                <w:tab w:val="clear" w:pos="576"/>
                <w:tab w:val="clear" w:pos="1152"/>
              </w:tabs>
              <w:spacing w:after="120" w:line="240" w:lineRule="atLeast"/>
              <w:rPr>
                <w:rFonts w:cs="Calibri Light"/>
                <w:sz w:val="20"/>
                <w:szCs w:val="20"/>
              </w:rPr>
            </w:pPr>
            <w:r w:rsidRPr="004005A4">
              <w:rPr>
                <w:rFonts w:cs="Calibri Light"/>
                <w:sz w:val="20"/>
                <w:szCs w:val="20"/>
              </w:rPr>
              <w:t xml:space="preserve">135 days for all other registrants. </w:t>
            </w:r>
          </w:p>
        </w:tc>
        <w:tc>
          <w:tcPr>
            <w:tcW w:w="1209" w:type="dxa"/>
            <w:gridSpan w:val="2"/>
            <w:tcBorders>
              <w:top w:val="single" w:sz="4" w:space="0" w:color="auto"/>
              <w:bottom w:val="single" w:sz="4" w:space="0" w:color="auto"/>
            </w:tcBorders>
            <w:vAlign w:val="bottom"/>
          </w:tcPr>
          <w:p w14:paraId="0DCF4B43" w14:textId="77777777" w:rsidR="000B042B" w:rsidRPr="004005A4" w:rsidRDefault="000B042B" w:rsidP="004005A4">
            <w:pPr>
              <w:spacing w:before="120" w:after="120" w:line="240" w:lineRule="atLeast"/>
              <w:jc w:val="center"/>
              <w:rPr>
                <w:rFonts w:cs="Calibri Light"/>
                <w:b/>
                <w:sz w:val="20"/>
                <w:szCs w:val="20"/>
              </w:rPr>
            </w:pPr>
          </w:p>
        </w:tc>
        <w:tc>
          <w:tcPr>
            <w:tcW w:w="236" w:type="dxa"/>
            <w:gridSpan w:val="3"/>
            <w:vAlign w:val="bottom"/>
          </w:tcPr>
          <w:p w14:paraId="6487026F" w14:textId="77777777" w:rsidR="000B042B" w:rsidRPr="004005A4" w:rsidRDefault="000B042B" w:rsidP="004005A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A7545E6" w14:textId="77777777" w:rsidR="000B042B" w:rsidRPr="004005A4" w:rsidRDefault="000B042B" w:rsidP="004005A4">
            <w:pPr>
              <w:spacing w:before="120" w:after="120" w:line="240" w:lineRule="atLeast"/>
              <w:jc w:val="center"/>
              <w:rPr>
                <w:rFonts w:cs="Calibri Light"/>
                <w:b/>
                <w:sz w:val="20"/>
                <w:szCs w:val="20"/>
              </w:rPr>
            </w:pPr>
          </w:p>
        </w:tc>
      </w:tr>
      <w:tr w:rsidR="00FF5C56" w:rsidRPr="004005A4" w14:paraId="4F8E20A5" w14:textId="77777777" w:rsidTr="00CC36C1">
        <w:trPr>
          <w:gridBefore w:val="1"/>
          <w:wBefore w:w="17" w:type="dxa"/>
        </w:trPr>
        <w:tc>
          <w:tcPr>
            <w:tcW w:w="7483" w:type="dxa"/>
            <w:gridSpan w:val="2"/>
          </w:tcPr>
          <w:p w14:paraId="65F1F2E3" w14:textId="77777777" w:rsidR="00FF5C56" w:rsidRPr="004005A4" w:rsidRDefault="00FF5C56" w:rsidP="00170774">
            <w:pPr>
              <w:pStyle w:val="level2"/>
              <w:tabs>
                <w:tab w:val="clear" w:pos="576"/>
              </w:tabs>
              <w:spacing w:after="120" w:line="240" w:lineRule="atLeast"/>
              <w:ind w:left="230" w:firstLine="0"/>
              <w:rPr>
                <w:rFonts w:cs="Calibri Light"/>
                <w:sz w:val="20"/>
                <w:szCs w:val="20"/>
              </w:rPr>
            </w:pPr>
            <w:r w:rsidRPr="004005A4">
              <w:rPr>
                <w:rFonts w:cs="Calibri Light"/>
                <w:b/>
                <w:sz w:val="20"/>
                <w:szCs w:val="20"/>
                <w:u w:val="single"/>
              </w:rPr>
              <w:t>Definitions:</w:t>
            </w:r>
          </w:p>
          <w:p w14:paraId="0DFFE514" w14:textId="77777777" w:rsidR="00FF5C56" w:rsidRPr="004005A4" w:rsidRDefault="00FF5C56" w:rsidP="00170774">
            <w:pPr>
              <w:pStyle w:val="level1"/>
              <w:tabs>
                <w:tab w:val="clear" w:pos="576"/>
              </w:tabs>
              <w:spacing w:after="120" w:line="240" w:lineRule="atLeast"/>
              <w:ind w:left="230" w:firstLine="0"/>
              <w:rPr>
                <w:rFonts w:cs="Calibri Light"/>
                <w:sz w:val="20"/>
                <w:szCs w:val="20"/>
              </w:rPr>
            </w:pPr>
            <w:r w:rsidRPr="004005A4">
              <w:rPr>
                <w:rFonts w:cs="Calibri Light"/>
                <w:i/>
                <w:iCs/>
                <w:sz w:val="20"/>
                <w:szCs w:val="20"/>
                <w:u w:val="single"/>
              </w:rPr>
              <w:t>Accelerated filer.</w:t>
            </w:r>
            <w:r w:rsidRPr="004005A4">
              <w:rPr>
                <w:rFonts w:cs="Calibri Light"/>
                <w:sz w:val="20"/>
                <w:szCs w:val="20"/>
              </w:rPr>
              <w:t xml:space="preserve"> The term </w:t>
            </w:r>
            <w:r w:rsidRPr="004005A4">
              <w:rPr>
                <w:rFonts w:cs="Calibri Light"/>
                <w:i/>
                <w:sz w:val="20"/>
                <w:szCs w:val="20"/>
              </w:rPr>
              <w:t>accelerated filer</w:t>
            </w:r>
            <w:r w:rsidRPr="004005A4">
              <w:rPr>
                <w:rFonts w:cs="Calibri Light"/>
                <w:sz w:val="20"/>
                <w:szCs w:val="20"/>
              </w:rPr>
              <w:t xml:space="preserve"> means an issuer after it first meets the following conditions as of the end of its fiscal year:</w:t>
            </w:r>
          </w:p>
          <w:p w14:paraId="2D03F859" w14:textId="77777777" w:rsidR="00FF5C56" w:rsidRPr="004005A4" w:rsidRDefault="00FF5C56" w:rsidP="00170774">
            <w:pPr>
              <w:pStyle w:val="level3"/>
              <w:tabs>
                <w:tab w:val="clear" w:pos="576"/>
                <w:tab w:val="clear" w:pos="1152"/>
              </w:tabs>
              <w:spacing w:after="120" w:line="240" w:lineRule="atLeast"/>
              <w:ind w:left="950" w:hanging="374"/>
              <w:rPr>
                <w:rFonts w:cs="Calibri Light"/>
                <w:sz w:val="20"/>
                <w:szCs w:val="20"/>
              </w:rPr>
            </w:pPr>
            <w:r w:rsidRPr="004005A4">
              <w:rPr>
                <w:rFonts w:cs="Calibri Light"/>
                <w:sz w:val="20"/>
                <w:szCs w:val="20"/>
              </w:rPr>
              <w:t>(i)</w:t>
            </w:r>
            <w:r w:rsidRPr="004005A4">
              <w:rPr>
                <w:rFonts w:cs="Calibri Light"/>
                <w:sz w:val="20"/>
                <w:szCs w:val="20"/>
              </w:rPr>
              <w:tab/>
              <w:t>The issuer had an aggregate worldwide market value of the voting and nonvoting common equity held by its nonaffiliates of $75 million or more, but less than $700 million, as of the last business day of the issuer’s most recently completed second fiscal quarter</w:t>
            </w:r>
          </w:p>
          <w:p w14:paraId="0C5B3E22" w14:textId="77777777" w:rsidR="00FF5C56" w:rsidRPr="004005A4" w:rsidRDefault="00FF5C56" w:rsidP="00170774">
            <w:pPr>
              <w:pStyle w:val="level3"/>
              <w:tabs>
                <w:tab w:val="clear" w:pos="576"/>
                <w:tab w:val="clear" w:pos="1152"/>
              </w:tabs>
              <w:spacing w:after="120" w:line="240" w:lineRule="atLeast"/>
              <w:ind w:left="950" w:hanging="374"/>
              <w:rPr>
                <w:rFonts w:cs="Calibri Light"/>
                <w:sz w:val="20"/>
                <w:szCs w:val="20"/>
              </w:rPr>
            </w:pPr>
            <w:r w:rsidRPr="004005A4">
              <w:rPr>
                <w:rFonts w:cs="Calibri Light"/>
                <w:sz w:val="20"/>
                <w:szCs w:val="20"/>
              </w:rPr>
              <w:t xml:space="preserve">(ii) </w:t>
            </w:r>
            <w:r w:rsidRPr="004005A4">
              <w:rPr>
                <w:rFonts w:cs="Calibri Light"/>
                <w:sz w:val="20"/>
                <w:szCs w:val="20"/>
              </w:rPr>
              <w:tab/>
              <w:t>The issuer has been subject to the requirements of section 13(a) or 15(d) of the Exchange Act (15 U.S.C. 78m or 78o(d)) for a period of at least 12 calendar months</w:t>
            </w:r>
          </w:p>
          <w:p w14:paraId="236B62FD" w14:textId="77777777" w:rsidR="00FF5C56" w:rsidRPr="004005A4" w:rsidRDefault="00FF5C56" w:rsidP="00170774">
            <w:pPr>
              <w:pStyle w:val="level3"/>
              <w:tabs>
                <w:tab w:val="clear" w:pos="576"/>
                <w:tab w:val="clear" w:pos="1152"/>
              </w:tabs>
              <w:spacing w:after="120" w:line="240" w:lineRule="atLeast"/>
              <w:ind w:left="950" w:hanging="374"/>
              <w:rPr>
                <w:rFonts w:cs="Calibri Light"/>
                <w:sz w:val="20"/>
                <w:szCs w:val="20"/>
              </w:rPr>
            </w:pPr>
            <w:r w:rsidRPr="004005A4">
              <w:rPr>
                <w:rFonts w:cs="Calibri Light"/>
                <w:sz w:val="20"/>
                <w:szCs w:val="20"/>
              </w:rPr>
              <w:t>(iii)</w:t>
            </w:r>
            <w:r w:rsidRPr="004005A4">
              <w:rPr>
                <w:rFonts w:cs="Calibri Light"/>
                <w:sz w:val="20"/>
                <w:szCs w:val="20"/>
              </w:rPr>
              <w:tab/>
              <w:t>The issuer has filed at least one annual report pursuant to section 13(a) or 15(d) of the Exchange Act</w:t>
            </w:r>
          </w:p>
          <w:p w14:paraId="69C14612" w14:textId="05BE513D" w:rsidR="00FF5C56" w:rsidRPr="004005A4" w:rsidRDefault="00FF5C56" w:rsidP="00170774">
            <w:pPr>
              <w:pStyle w:val="level3"/>
              <w:tabs>
                <w:tab w:val="clear" w:pos="576"/>
                <w:tab w:val="clear" w:pos="1152"/>
              </w:tabs>
              <w:spacing w:after="120" w:line="240" w:lineRule="atLeast"/>
              <w:ind w:left="950" w:hanging="374"/>
              <w:rPr>
                <w:rFonts w:cs="Calibri Light"/>
                <w:sz w:val="20"/>
                <w:szCs w:val="20"/>
              </w:rPr>
            </w:pPr>
            <w:r w:rsidRPr="004005A4">
              <w:rPr>
                <w:rFonts w:cs="Calibri Light"/>
                <w:sz w:val="20"/>
                <w:szCs w:val="20"/>
              </w:rPr>
              <w:t>(iv)</w:t>
            </w:r>
            <w:r w:rsidRPr="004005A4">
              <w:rPr>
                <w:rFonts w:cs="Calibri Light"/>
                <w:sz w:val="20"/>
                <w:szCs w:val="20"/>
              </w:rPr>
              <w:tab/>
              <w:t>The issuer is not</w:t>
            </w:r>
            <w:r w:rsidR="00F643FC" w:rsidRPr="004005A4">
              <w:rPr>
                <w:rFonts w:cs="Calibri Light"/>
                <w:sz w:val="20"/>
                <w:szCs w:val="20"/>
              </w:rPr>
              <w:t xml:space="preserve"> </w:t>
            </w:r>
            <w:r w:rsidR="000D14B7" w:rsidRPr="004005A4">
              <w:rPr>
                <w:rFonts w:cs="Calibri Light"/>
                <w:sz w:val="20"/>
                <w:szCs w:val="20"/>
              </w:rPr>
              <w:t>3-13</w:t>
            </w:r>
            <w:r w:rsidRPr="004005A4">
              <w:rPr>
                <w:rFonts w:cs="Calibri Light"/>
                <w:sz w:val="20"/>
                <w:szCs w:val="20"/>
              </w:rPr>
              <w:t xml:space="preserve"> eligible to use the requirements for smaller reporting companies in Regulation S-K for its annual and quarterly reports.</w:t>
            </w:r>
          </w:p>
          <w:p w14:paraId="36AA094A" w14:textId="77777777" w:rsidR="000B042B" w:rsidRPr="004005A4" w:rsidRDefault="000B042B" w:rsidP="00170774">
            <w:pPr>
              <w:pStyle w:val="level1"/>
              <w:tabs>
                <w:tab w:val="clear" w:pos="576"/>
              </w:tabs>
              <w:spacing w:after="120" w:line="240" w:lineRule="atLeast"/>
              <w:ind w:left="230" w:firstLine="0"/>
              <w:rPr>
                <w:rFonts w:cs="Calibri Light"/>
                <w:sz w:val="20"/>
                <w:szCs w:val="20"/>
              </w:rPr>
            </w:pPr>
            <w:r w:rsidRPr="004005A4">
              <w:rPr>
                <w:rFonts w:cs="Calibri Light"/>
                <w:i/>
                <w:iCs/>
                <w:sz w:val="20"/>
                <w:szCs w:val="20"/>
                <w:u w:val="single"/>
              </w:rPr>
              <w:t>Large accelerated filer</w:t>
            </w:r>
            <w:r w:rsidRPr="004005A4">
              <w:rPr>
                <w:rFonts w:cs="Calibri Light"/>
                <w:sz w:val="20"/>
                <w:szCs w:val="20"/>
                <w:u w:val="single"/>
              </w:rPr>
              <w:t>.</w:t>
            </w:r>
            <w:r w:rsidRPr="004005A4">
              <w:rPr>
                <w:rFonts w:cs="Calibri Light"/>
                <w:sz w:val="20"/>
                <w:szCs w:val="20"/>
              </w:rPr>
              <w:t xml:space="preserve"> The term </w:t>
            </w:r>
            <w:r w:rsidRPr="004005A4">
              <w:rPr>
                <w:rFonts w:cs="Calibri Light"/>
                <w:i/>
                <w:iCs/>
                <w:sz w:val="20"/>
                <w:szCs w:val="20"/>
              </w:rPr>
              <w:t xml:space="preserve">large accelerated filer </w:t>
            </w:r>
            <w:r w:rsidRPr="004005A4">
              <w:rPr>
                <w:rFonts w:cs="Calibri Light"/>
                <w:sz w:val="20"/>
                <w:szCs w:val="20"/>
              </w:rPr>
              <w:t>means an issuer after it first meets the following conditions as of the end of its fiscal year:</w:t>
            </w:r>
          </w:p>
          <w:p w14:paraId="3433332D" w14:textId="77777777" w:rsidR="000B042B" w:rsidRPr="004005A4" w:rsidRDefault="000B042B" w:rsidP="00170774">
            <w:pPr>
              <w:pStyle w:val="level3"/>
              <w:tabs>
                <w:tab w:val="clear" w:pos="576"/>
                <w:tab w:val="clear" w:pos="1152"/>
              </w:tabs>
              <w:spacing w:after="120" w:line="240" w:lineRule="atLeast"/>
              <w:ind w:left="950" w:hanging="374"/>
              <w:rPr>
                <w:rFonts w:cs="Calibri Light"/>
                <w:sz w:val="20"/>
                <w:szCs w:val="20"/>
              </w:rPr>
            </w:pPr>
            <w:r w:rsidRPr="004005A4">
              <w:rPr>
                <w:rFonts w:cs="Calibri Light"/>
                <w:sz w:val="20"/>
                <w:szCs w:val="20"/>
              </w:rPr>
              <w:t>(i)</w:t>
            </w:r>
            <w:r w:rsidRPr="004005A4">
              <w:rPr>
                <w:rFonts w:cs="Calibri Light"/>
                <w:sz w:val="20"/>
                <w:szCs w:val="20"/>
              </w:rPr>
              <w:tab/>
              <w:t>The issuer had an aggregate worldwide market value of the voting and nonvoting common equity held by its nonaffiliates of $700 million or more, as of the last business day of the issuer’s most recently completed second fiscal quarter</w:t>
            </w:r>
          </w:p>
          <w:p w14:paraId="2B3F1047" w14:textId="77777777" w:rsidR="000B042B" w:rsidRPr="004005A4" w:rsidRDefault="000B042B" w:rsidP="00170774">
            <w:pPr>
              <w:pStyle w:val="level3"/>
              <w:tabs>
                <w:tab w:val="clear" w:pos="576"/>
                <w:tab w:val="clear" w:pos="1152"/>
              </w:tabs>
              <w:spacing w:after="120" w:line="240" w:lineRule="atLeast"/>
              <w:ind w:left="950" w:hanging="374"/>
              <w:rPr>
                <w:rFonts w:cs="Calibri Light"/>
                <w:sz w:val="20"/>
                <w:szCs w:val="20"/>
              </w:rPr>
            </w:pPr>
            <w:r w:rsidRPr="004005A4">
              <w:rPr>
                <w:rFonts w:cs="Calibri Light"/>
                <w:sz w:val="20"/>
                <w:szCs w:val="20"/>
              </w:rPr>
              <w:t>(ii)</w:t>
            </w:r>
            <w:r w:rsidRPr="004005A4">
              <w:rPr>
                <w:rFonts w:cs="Calibri Light"/>
                <w:sz w:val="20"/>
                <w:szCs w:val="20"/>
              </w:rPr>
              <w:tab/>
              <w:t>The issuer has been subject to the requirements of section 13(a) or 15(d) of the Exchange Act for a period of at least 12 calendar months</w:t>
            </w:r>
          </w:p>
          <w:p w14:paraId="2D603FD9" w14:textId="77777777" w:rsidR="000B042B" w:rsidRPr="004005A4" w:rsidRDefault="000B042B" w:rsidP="00170774">
            <w:pPr>
              <w:pStyle w:val="level3"/>
              <w:tabs>
                <w:tab w:val="clear" w:pos="576"/>
                <w:tab w:val="clear" w:pos="1152"/>
              </w:tabs>
              <w:spacing w:after="120" w:line="240" w:lineRule="atLeast"/>
              <w:ind w:left="950" w:hanging="374"/>
              <w:rPr>
                <w:rFonts w:cs="Calibri Light"/>
                <w:sz w:val="20"/>
                <w:szCs w:val="20"/>
              </w:rPr>
            </w:pPr>
            <w:r w:rsidRPr="004005A4">
              <w:rPr>
                <w:rFonts w:cs="Calibri Light"/>
                <w:sz w:val="20"/>
                <w:szCs w:val="20"/>
              </w:rPr>
              <w:t>(iii)</w:t>
            </w:r>
            <w:r w:rsidRPr="004005A4">
              <w:rPr>
                <w:rFonts w:cs="Calibri Light"/>
                <w:sz w:val="20"/>
                <w:szCs w:val="20"/>
              </w:rPr>
              <w:tab/>
              <w:t>The issuer has filed at least one annual report pursuant to section 13(a) or 15(d) of the Exchange Act</w:t>
            </w:r>
          </w:p>
          <w:p w14:paraId="607E2951" w14:textId="77777777" w:rsidR="000B042B" w:rsidRPr="004005A4" w:rsidRDefault="000B042B" w:rsidP="00170774">
            <w:pPr>
              <w:pStyle w:val="level3"/>
              <w:tabs>
                <w:tab w:val="clear" w:pos="576"/>
                <w:tab w:val="clear" w:pos="1152"/>
              </w:tabs>
              <w:spacing w:after="120" w:line="240" w:lineRule="atLeast"/>
              <w:ind w:left="950" w:hanging="374"/>
              <w:rPr>
                <w:rFonts w:cs="Calibri Light"/>
                <w:sz w:val="20"/>
                <w:szCs w:val="20"/>
              </w:rPr>
            </w:pPr>
            <w:r w:rsidRPr="004005A4">
              <w:rPr>
                <w:rFonts w:cs="Calibri Light"/>
                <w:sz w:val="20"/>
                <w:szCs w:val="20"/>
              </w:rPr>
              <w:t>(iv)</w:t>
            </w:r>
            <w:r w:rsidRPr="004005A4">
              <w:rPr>
                <w:rFonts w:cs="Calibri Light"/>
                <w:sz w:val="20"/>
                <w:szCs w:val="20"/>
              </w:rPr>
              <w:tab/>
              <w:t>The issuer is not eligible to use the requirements for smaller reporting companies in Regulation S-K for its annual and quarterly reports.</w:t>
            </w:r>
          </w:p>
          <w:p w14:paraId="6303FF2F" w14:textId="53FDF7AE" w:rsidR="000B042B" w:rsidRPr="004005A4" w:rsidRDefault="000B042B" w:rsidP="004005A4">
            <w:pPr>
              <w:pStyle w:val="level3"/>
              <w:spacing w:after="120" w:line="240" w:lineRule="atLeast"/>
              <w:ind w:left="558"/>
              <w:rPr>
                <w:rFonts w:cs="Calibri Light"/>
                <w:sz w:val="20"/>
                <w:szCs w:val="20"/>
              </w:rPr>
            </w:pPr>
            <w:r w:rsidRPr="004005A4">
              <w:rPr>
                <w:rFonts w:cs="Calibri Light"/>
                <w:sz w:val="20"/>
                <w:szCs w:val="20"/>
              </w:rPr>
              <w:tab/>
            </w:r>
            <w:r w:rsidRPr="004005A4">
              <w:rPr>
                <w:rFonts w:cs="Calibri Light"/>
                <w:iCs/>
                <w:sz w:val="20"/>
                <w:szCs w:val="20"/>
              </w:rPr>
              <w:t>Note</w:t>
            </w:r>
            <w:r w:rsidRPr="004005A4">
              <w:rPr>
                <w:rFonts w:cs="Calibri Light"/>
                <w:sz w:val="20"/>
                <w:szCs w:val="20"/>
              </w:rPr>
              <w:t>: The aggregate worldwide market value of the issuer’s outstanding voting and nonvoting common equity shall be computed by use of the price at which the common equity was last sold, or the average of the bid and asked prices of such common equity, in the principal market for such common equity.</w:t>
            </w:r>
            <w:r w:rsidR="00411D8B" w:rsidRPr="004005A4">
              <w:rPr>
                <w:rFonts w:cs="Calibri Light"/>
                <w:sz w:val="20"/>
                <w:szCs w:val="20"/>
              </w:rPr>
              <w:t xml:space="preserve"> </w:t>
            </w:r>
            <w:r w:rsidR="007D6F40">
              <w:rPr>
                <w:rFonts w:cs="Calibri Light"/>
                <w:sz w:val="20"/>
                <w:szCs w:val="20"/>
              </w:rPr>
              <w:t>An</w:t>
            </w:r>
            <w:r w:rsidR="00411D8B" w:rsidRPr="004005A4">
              <w:rPr>
                <w:rFonts w:cs="Calibri Light"/>
                <w:sz w:val="20"/>
                <w:szCs w:val="20"/>
              </w:rPr>
              <w:t xml:space="preserve"> “accelerated </w:t>
            </w:r>
            <w:r w:rsidR="00411D8B" w:rsidRPr="004005A4">
              <w:rPr>
                <w:rFonts w:cs="Calibri Light"/>
                <w:sz w:val="20"/>
                <w:szCs w:val="20"/>
              </w:rPr>
              <w:lastRenderedPageBreak/>
              <w:t xml:space="preserve">filer” and “large accelerated filer” to exclude any issuer with both annual revenues of less than $100 million and public float of less than $700 million. </w:t>
            </w:r>
          </w:p>
        </w:tc>
        <w:tc>
          <w:tcPr>
            <w:tcW w:w="1209" w:type="dxa"/>
            <w:gridSpan w:val="2"/>
            <w:tcBorders>
              <w:top w:val="single" w:sz="4" w:space="0" w:color="auto"/>
            </w:tcBorders>
            <w:vAlign w:val="bottom"/>
          </w:tcPr>
          <w:p w14:paraId="2B61AA75" w14:textId="77777777" w:rsidR="00FF5C56" w:rsidRPr="004005A4" w:rsidRDefault="00FF5C56" w:rsidP="004005A4">
            <w:pPr>
              <w:spacing w:before="120" w:after="120" w:line="240" w:lineRule="atLeast"/>
              <w:jc w:val="center"/>
              <w:rPr>
                <w:rFonts w:cs="Calibri Light"/>
                <w:b/>
                <w:sz w:val="20"/>
                <w:szCs w:val="20"/>
              </w:rPr>
            </w:pPr>
          </w:p>
        </w:tc>
        <w:tc>
          <w:tcPr>
            <w:tcW w:w="236" w:type="dxa"/>
            <w:gridSpan w:val="3"/>
            <w:vAlign w:val="bottom"/>
          </w:tcPr>
          <w:p w14:paraId="5CD5120F" w14:textId="77777777" w:rsidR="00FF5C56" w:rsidRPr="004005A4" w:rsidRDefault="00FF5C56"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522B531" w14:textId="77777777" w:rsidR="00FF5C56" w:rsidRPr="004005A4" w:rsidRDefault="00FF5C56" w:rsidP="004005A4">
            <w:pPr>
              <w:spacing w:before="120" w:after="120" w:line="240" w:lineRule="atLeast"/>
              <w:jc w:val="center"/>
              <w:rPr>
                <w:rFonts w:cs="Calibri Light"/>
                <w:b/>
                <w:sz w:val="20"/>
                <w:szCs w:val="20"/>
              </w:rPr>
            </w:pPr>
          </w:p>
        </w:tc>
      </w:tr>
      <w:tr w:rsidR="00B47999" w:rsidRPr="004005A4" w14:paraId="7D5356C1" w14:textId="77777777" w:rsidTr="00CC36C1">
        <w:trPr>
          <w:gridBefore w:val="1"/>
          <w:wBefore w:w="17" w:type="dxa"/>
        </w:trPr>
        <w:tc>
          <w:tcPr>
            <w:tcW w:w="7483" w:type="dxa"/>
            <w:gridSpan w:val="2"/>
          </w:tcPr>
          <w:p w14:paraId="1A873FEC" w14:textId="2B986DAC" w:rsidR="00B47999" w:rsidRPr="004005A4" w:rsidRDefault="532B6134" w:rsidP="00170774">
            <w:pPr>
              <w:pStyle w:val="level1"/>
              <w:numPr>
                <w:ilvl w:val="0"/>
                <w:numId w:val="89"/>
              </w:numPr>
              <w:tabs>
                <w:tab w:val="clear" w:pos="576"/>
              </w:tabs>
              <w:spacing w:after="120" w:line="240" w:lineRule="atLeast"/>
              <w:ind w:left="230" w:hanging="230"/>
              <w:rPr>
                <w:rFonts w:cs="Calibri Light"/>
                <w:sz w:val="20"/>
                <w:szCs w:val="20"/>
              </w:rPr>
            </w:pPr>
            <w:r w:rsidRPr="548EBB82">
              <w:rPr>
                <w:rFonts w:cs="Calibri Light"/>
                <w:sz w:val="20"/>
                <w:szCs w:val="20"/>
              </w:rPr>
              <w:t>Any interim balance sheet may be unaudited and need not be presented in greater detail than is required by S</w:t>
            </w:r>
            <w:r w:rsidR="7649179A" w:rsidRPr="548EBB82">
              <w:rPr>
                <w:rFonts w:cs="Calibri Light"/>
                <w:sz w:val="20"/>
                <w:szCs w:val="20"/>
              </w:rPr>
              <w:t>-</w:t>
            </w:r>
            <w:r w:rsidRPr="548EBB82">
              <w:rPr>
                <w:rFonts w:cs="Calibri Light"/>
                <w:sz w:val="20"/>
                <w:szCs w:val="20"/>
              </w:rPr>
              <w:t xml:space="preserve">X Rule 10-01 </w:t>
            </w:r>
            <w:r w:rsidR="6D935959" w:rsidRPr="548EBB82">
              <w:rPr>
                <w:rFonts w:cs="Calibri Light"/>
                <w:sz w:val="20"/>
                <w:szCs w:val="20"/>
              </w:rPr>
              <w:t xml:space="preserve">(see </w:t>
            </w:r>
            <w:r w:rsidRPr="548EBB82">
              <w:rPr>
                <w:rFonts w:cs="Calibri Light"/>
                <w:i/>
                <w:iCs/>
                <w:sz w:val="20"/>
                <w:szCs w:val="20"/>
              </w:rPr>
              <w:t>Checklist for Quarterly Report on Form 10-Q</w:t>
            </w:r>
            <w:r w:rsidR="6D935959" w:rsidRPr="548EBB82">
              <w:rPr>
                <w:rFonts w:cs="Calibri Light"/>
                <w:sz w:val="20"/>
                <w:szCs w:val="20"/>
              </w:rPr>
              <w:t>)</w:t>
            </w:r>
            <w:r w:rsidRPr="548EBB82">
              <w:rPr>
                <w:rFonts w:cs="Calibri Light"/>
                <w:sz w:val="20"/>
                <w:szCs w:val="20"/>
              </w:rPr>
              <w:t>.  The latest interim balance sheet must be at least as current as the most recent balance sheet filed on Form 10-Q.</w:t>
            </w:r>
          </w:p>
        </w:tc>
        <w:tc>
          <w:tcPr>
            <w:tcW w:w="1209" w:type="dxa"/>
            <w:gridSpan w:val="2"/>
            <w:tcBorders>
              <w:bottom w:val="single" w:sz="4" w:space="0" w:color="auto"/>
            </w:tcBorders>
            <w:vAlign w:val="bottom"/>
          </w:tcPr>
          <w:p w14:paraId="51ABFC60"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4DFDDF31"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1F683F5B"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33488E90" w14:textId="77777777" w:rsidTr="00CC36C1">
        <w:trPr>
          <w:gridBefore w:val="1"/>
          <w:wBefore w:w="17" w:type="dxa"/>
        </w:trPr>
        <w:tc>
          <w:tcPr>
            <w:tcW w:w="7483" w:type="dxa"/>
            <w:gridSpan w:val="2"/>
          </w:tcPr>
          <w:p w14:paraId="01341C02" w14:textId="0CC3B7E7" w:rsidR="00B47999" w:rsidRPr="004005A4" w:rsidRDefault="532B6134" w:rsidP="00170774">
            <w:pPr>
              <w:pStyle w:val="level1"/>
              <w:numPr>
                <w:ilvl w:val="0"/>
                <w:numId w:val="89"/>
              </w:numPr>
              <w:tabs>
                <w:tab w:val="clear" w:pos="576"/>
              </w:tabs>
              <w:spacing w:after="120" w:line="240" w:lineRule="atLeast"/>
              <w:ind w:left="230" w:hanging="230"/>
              <w:rPr>
                <w:rFonts w:cs="Calibri Light"/>
                <w:sz w:val="20"/>
                <w:szCs w:val="20"/>
              </w:rPr>
            </w:pPr>
            <w:r w:rsidRPr="548EBB82">
              <w:rPr>
                <w:rFonts w:cs="Calibri Light"/>
                <w:sz w:val="20"/>
                <w:szCs w:val="20"/>
              </w:rPr>
              <w:t>Registered management investment companies, see S</w:t>
            </w:r>
            <w:r w:rsidR="7649179A" w:rsidRPr="548EBB82">
              <w:rPr>
                <w:rFonts w:cs="Calibri Light"/>
                <w:sz w:val="20"/>
                <w:szCs w:val="20"/>
              </w:rPr>
              <w:t>-</w:t>
            </w:r>
            <w:r w:rsidRPr="548EBB82">
              <w:rPr>
                <w:rFonts w:cs="Calibri Light"/>
                <w:sz w:val="20"/>
                <w:szCs w:val="20"/>
              </w:rPr>
              <w:t xml:space="preserve">X Rule 3-18 in lieu of this section. </w:t>
            </w:r>
          </w:p>
        </w:tc>
        <w:tc>
          <w:tcPr>
            <w:tcW w:w="1209" w:type="dxa"/>
            <w:gridSpan w:val="2"/>
            <w:tcBorders>
              <w:top w:val="single" w:sz="4" w:space="0" w:color="auto"/>
              <w:bottom w:val="single" w:sz="4" w:space="0" w:color="auto"/>
            </w:tcBorders>
            <w:vAlign w:val="bottom"/>
          </w:tcPr>
          <w:p w14:paraId="47232FCC"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2BED925C"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4148BEB"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6B6FC364" w14:textId="77777777" w:rsidTr="00CC36C1">
        <w:trPr>
          <w:gridBefore w:val="1"/>
          <w:wBefore w:w="17" w:type="dxa"/>
        </w:trPr>
        <w:tc>
          <w:tcPr>
            <w:tcW w:w="7483" w:type="dxa"/>
            <w:gridSpan w:val="2"/>
          </w:tcPr>
          <w:p w14:paraId="0191FC23" w14:textId="10BE71D8" w:rsidR="00C54F44" w:rsidRPr="004005A4" w:rsidRDefault="532B6134" w:rsidP="00170774">
            <w:pPr>
              <w:pStyle w:val="level1"/>
              <w:numPr>
                <w:ilvl w:val="0"/>
                <w:numId w:val="89"/>
              </w:numPr>
              <w:tabs>
                <w:tab w:val="clear" w:pos="576"/>
              </w:tabs>
              <w:spacing w:after="120" w:line="240" w:lineRule="atLeast"/>
              <w:ind w:left="230" w:hanging="230"/>
              <w:rPr>
                <w:rFonts w:cs="Calibri Light"/>
                <w:sz w:val="20"/>
                <w:szCs w:val="20"/>
              </w:rPr>
            </w:pPr>
            <w:r w:rsidRPr="548EBB82">
              <w:rPr>
                <w:rFonts w:cs="Calibri Light"/>
                <w:sz w:val="20"/>
                <w:szCs w:val="20"/>
              </w:rPr>
              <w:t xml:space="preserve">Foreign private issuers, other than a registered management investment company or an employee plan, may file statements required by Item 8A of Form 20-F in lieu of the financial statements specified in this rule. </w:t>
            </w:r>
            <w:r w:rsidR="00B47999">
              <w:br/>
            </w:r>
            <w:r w:rsidR="23711E7E" w:rsidRPr="548EBB82">
              <w:rPr>
                <w:rFonts w:cs="Calibri Light"/>
                <w:sz w:val="20"/>
                <w:szCs w:val="20"/>
              </w:rPr>
              <w:t>[</w:t>
            </w:r>
            <w:r w:rsidR="504B3DF9" w:rsidRPr="548EBB82">
              <w:rPr>
                <w:rFonts w:cs="Calibri Light"/>
                <w:sz w:val="20"/>
                <w:szCs w:val="20"/>
              </w:rPr>
              <w:t>Note: SEC Release 33-8879 footnote 136 states that foreign private issuers that file financial statements prepared in accordance with IFRS as issued by the IASB will comply with IASB requirements for form and content within the financial statements, rather than with the specific presentation and disclosure provisions in Articles 4, 5, 6, 7, 9, and 10 of Regulation S-X.</w:t>
            </w:r>
          </w:p>
          <w:p w14:paraId="58828BAD" w14:textId="70F50989" w:rsidR="00B47999" w:rsidRPr="004005A4" w:rsidRDefault="00C54F44" w:rsidP="00CC36C1">
            <w:pPr>
              <w:pStyle w:val="level1"/>
              <w:tabs>
                <w:tab w:val="clear" w:pos="576"/>
              </w:tabs>
              <w:spacing w:after="120" w:line="240" w:lineRule="atLeast"/>
              <w:ind w:left="235" w:firstLine="0"/>
              <w:rPr>
                <w:rFonts w:cs="Calibri Light"/>
                <w:sz w:val="20"/>
                <w:szCs w:val="20"/>
              </w:rPr>
            </w:pPr>
            <w:r w:rsidRPr="004005A4">
              <w:rPr>
                <w:rFonts w:cs="Calibri Light"/>
                <w:sz w:val="20"/>
                <w:szCs w:val="20"/>
              </w:rPr>
              <w:t>Note that under Rules 3-05, 3-09, 3-10, 3-14</w:t>
            </w:r>
            <w:r w:rsidR="00FC731E" w:rsidRPr="004005A4">
              <w:rPr>
                <w:rFonts w:cs="Calibri Light"/>
                <w:sz w:val="20"/>
                <w:szCs w:val="20"/>
              </w:rPr>
              <w:t>, and 3-16</w:t>
            </w:r>
            <w:r w:rsidRPr="004005A4">
              <w:rPr>
                <w:rFonts w:cs="Calibri Light"/>
                <w:sz w:val="20"/>
                <w:szCs w:val="20"/>
              </w:rPr>
              <w:t xml:space="preserve"> of Regulation S-X, the company also may have to provide financial statements or financial information for entities other than the issuer. In some cases, the company may have to provide financial statements for a predecessor. See the definition of “predecessor” in Exchange Act Rule 12b-2 and Securities Act Rule 405. See additional guidance under Topic 2 of the SEC Financial Reporting Manual relating to financial statements or financial information under Rule 3-05, 3-09, 3-10, and 3-14 of Regulation S-X for entities other than the issuer.</w:t>
            </w:r>
          </w:p>
        </w:tc>
        <w:tc>
          <w:tcPr>
            <w:tcW w:w="1209" w:type="dxa"/>
            <w:gridSpan w:val="2"/>
            <w:tcBorders>
              <w:top w:val="single" w:sz="4" w:space="0" w:color="auto"/>
              <w:bottom w:val="single" w:sz="4" w:space="0" w:color="auto"/>
            </w:tcBorders>
            <w:vAlign w:val="bottom"/>
          </w:tcPr>
          <w:p w14:paraId="23355832"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50854E21"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5132B45"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04C219DF" w14:textId="77777777" w:rsidTr="00CC36C1">
        <w:trPr>
          <w:gridBefore w:val="1"/>
          <w:wBefore w:w="17" w:type="dxa"/>
        </w:trPr>
        <w:tc>
          <w:tcPr>
            <w:tcW w:w="7483" w:type="dxa"/>
            <w:gridSpan w:val="2"/>
          </w:tcPr>
          <w:p w14:paraId="39A7BE8D" w14:textId="0961868C" w:rsidR="00B47999" w:rsidRPr="004005A4" w:rsidRDefault="00D605EB" w:rsidP="00D605EB">
            <w:pPr>
              <w:pStyle w:val="level1"/>
              <w:numPr>
                <w:ilvl w:val="0"/>
                <w:numId w:val="89"/>
              </w:numPr>
              <w:tabs>
                <w:tab w:val="clear" w:pos="576"/>
                <w:tab w:val="clear" w:pos="1152"/>
                <w:tab w:val="left" w:pos="590"/>
              </w:tabs>
              <w:spacing w:after="120" w:line="240" w:lineRule="atLeast"/>
              <w:ind w:left="230" w:hanging="230"/>
              <w:rPr>
                <w:rFonts w:cs="Calibri Light"/>
                <w:sz w:val="20"/>
                <w:szCs w:val="20"/>
              </w:rPr>
            </w:pPr>
            <w:r>
              <w:br/>
            </w:r>
            <w:r w:rsidR="532B6134" w:rsidRPr="548EBB82">
              <w:rPr>
                <w:rFonts w:cs="Calibri Light"/>
                <w:sz w:val="20"/>
                <w:szCs w:val="20"/>
              </w:rPr>
              <w:t>(1)</w:t>
            </w:r>
            <w:r>
              <w:tab/>
            </w:r>
            <w:r w:rsidR="532B6134" w:rsidRPr="548EBB82">
              <w:rPr>
                <w:rFonts w:cs="Calibri Light"/>
                <w:sz w:val="20"/>
                <w:szCs w:val="20"/>
              </w:rPr>
              <w:t xml:space="preserve">For purposes of paragraph </w:t>
            </w:r>
            <w:r w:rsidR="7A9B2425" w:rsidRPr="548EBB82">
              <w:rPr>
                <w:rFonts w:cs="Calibri Light"/>
                <w:sz w:val="20"/>
                <w:szCs w:val="20"/>
              </w:rPr>
              <w:t>c</w:t>
            </w:r>
            <w:r w:rsidR="6C826D7B" w:rsidRPr="548EBB82">
              <w:rPr>
                <w:rFonts w:cs="Calibri Light"/>
                <w:sz w:val="20"/>
                <w:szCs w:val="20"/>
              </w:rPr>
              <w:t>.</w:t>
            </w:r>
            <w:r w:rsidR="7A9B2425" w:rsidRPr="548EBB82">
              <w:rPr>
                <w:rFonts w:cs="Calibri Light"/>
                <w:sz w:val="20"/>
                <w:szCs w:val="20"/>
              </w:rPr>
              <w:t xml:space="preserve"> and d</w:t>
            </w:r>
            <w:r w:rsidR="6C826D7B" w:rsidRPr="548EBB82">
              <w:rPr>
                <w:rFonts w:cs="Calibri Light"/>
                <w:sz w:val="20"/>
                <w:szCs w:val="20"/>
              </w:rPr>
              <w:t>.</w:t>
            </w:r>
            <w:r w:rsidR="532B6134" w:rsidRPr="548EBB82">
              <w:rPr>
                <w:rFonts w:cs="Calibri Light"/>
                <w:sz w:val="20"/>
                <w:szCs w:val="20"/>
              </w:rPr>
              <w:t xml:space="preserve"> of this section, the number of days shall be: </w:t>
            </w:r>
          </w:p>
          <w:p w14:paraId="7345FE5D" w14:textId="0C386CA7" w:rsidR="00B47999" w:rsidRPr="004005A4" w:rsidRDefault="00B47999" w:rsidP="00D605EB">
            <w:pPr>
              <w:pStyle w:val="level4"/>
              <w:tabs>
                <w:tab w:val="clear" w:pos="576"/>
                <w:tab w:val="clear" w:pos="1152"/>
                <w:tab w:val="clear" w:pos="1728"/>
              </w:tabs>
              <w:spacing w:after="120" w:line="240" w:lineRule="atLeast"/>
              <w:ind w:left="860" w:hanging="270"/>
              <w:rPr>
                <w:rFonts w:cs="Calibri Light"/>
                <w:sz w:val="20"/>
                <w:szCs w:val="20"/>
              </w:rPr>
            </w:pPr>
            <w:r w:rsidRPr="004005A4">
              <w:rPr>
                <w:rFonts w:cs="Calibri Light"/>
                <w:sz w:val="20"/>
                <w:szCs w:val="20"/>
              </w:rPr>
              <w:t>(a)</w:t>
            </w:r>
            <w:r w:rsidRPr="004005A4">
              <w:rPr>
                <w:rFonts w:cs="Calibri Light"/>
                <w:sz w:val="20"/>
                <w:szCs w:val="20"/>
              </w:rPr>
              <w:tab/>
              <w:t>60 days for large accelerated filers</w:t>
            </w:r>
          </w:p>
          <w:p w14:paraId="5F3C1923" w14:textId="77777777" w:rsidR="00B47999" w:rsidRPr="004005A4" w:rsidRDefault="00B47999" w:rsidP="00D605EB">
            <w:pPr>
              <w:pStyle w:val="level4"/>
              <w:tabs>
                <w:tab w:val="clear" w:pos="576"/>
                <w:tab w:val="clear" w:pos="1152"/>
                <w:tab w:val="clear" w:pos="1728"/>
              </w:tabs>
              <w:spacing w:after="120" w:line="240" w:lineRule="atLeast"/>
              <w:ind w:left="860" w:hanging="270"/>
              <w:rPr>
                <w:rFonts w:cs="Calibri Light"/>
                <w:sz w:val="20"/>
                <w:szCs w:val="20"/>
              </w:rPr>
            </w:pPr>
            <w:r w:rsidRPr="004005A4">
              <w:rPr>
                <w:rFonts w:cs="Calibri Light"/>
                <w:sz w:val="20"/>
                <w:szCs w:val="20"/>
              </w:rPr>
              <w:t>(b)</w:t>
            </w:r>
            <w:r w:rsidRPr="004005A4">
              <w:rPr>
                <w:rFonts w:cs="Calibri Light"/>
                <w:sz w:val="20"/>
                <w:szCs w:val="20"/>
              </w:rPr>
              <w:tab/>
              <w:t xml:space="preserve">75 days for accelerated filers </w:t>
            </w:r>
          </w:p>
          <w:p w14:paraId="1F9D4E86" w14:textId="77777777" w:rsidR="00B47999" w:rsidRPr="004005A4" w:rsidRDefault="00B47999" w:rsidP="00D605EB">
            <w:pPr>
              <w:pStyle w:val="level4"/>
              <w:tabs>
                <w:tab w:val="clear" w:pos="576"/>
                <w:tab w:val="clear" w:pos="1152"/>
                <w:tab w:val="clear" w:pos="1728"/>
              </w:tabs>
              <w:spacing w:after="120" w:line="240" w:lineRule="atLeast"/>
              <w:ind w:left="860" w:hanging="270"/>
              <w:rPr>
                <w:rFonts w:cs="Calibri Light"/>
                <w:sz w:val="20"/>
                <w:szCs w:val="20"/>
              </w:rPr>
            </w:pPr>
            <w:r w:rsidRPr="004005A4">
              <w:rPr>
                <w:rFonts w:cs="Calibri Light"/>
                <w:sz w:val="20"/>
                <w:szCs w:val="20"/>
              </w:rPr>
              <w:t>(</w:t>
            </w:r>
            <w:r w:rsidR="004B3C2B" w:rsidRPr="004005A4">
              <w:rPr>
                <w:rFonts w:cs="Calibri Light"/>
                <w:sz w:val="20"/>
                <w:szCs w:val="20"/>
              </w:rPr>
              <w:t>c</w:t>
            </w:r>
            <w:r w:rsidRPr="004005A4">
              <w:rPr>
                <w:rFonts w:cs="Calibri Light"/>
                <w:sz w:val="20"/>
                <w:szCs w:val="20"/>
              </w:rPr>
              <w:t>)</w:t>
            </w:r>
            <w:r w:rsidRPr="004005A4">
              <w:rPr>
                <w:rFonts w:cs="Calibri Light"/>
                <w:sz w:val="20"/>
                <w:szCs w:val="20"/>
              </w:rPr>
              <w:tab/>
              <w:t xml:space="preserve">90 days for all other registrants. </w:t>
            </w:r>
          </w:p>
          <w:p w14:paraId="70DA395A" w14:textId="77777777" w:rsidR="00B47999" w:rsidRPr="004005A4" w:rsidRDefault="00B47999" w:rsidP="00D605EB">
            <w:pPr>
              <w:pStyle w:val="level2"/>
              <w:tabs>
                <w:tab w:val="clear" w:pos="576"/>
                <w:tab w:val="clear" w:pos="1152"/>
              </w:tabs>
              <w:spacing w:after="120" w:line="240" w:lineRule="atLeast"/>
              <w:ind w:left="590" w:hanging="360"/>
              <w:rPr>
                <w:rFonts w:cs="Calibri Light"/>
                <w:sz w:val="20"/>
                <w:szCs w:val="20"/>
              </w:rPr>
            </w:pPr>
            <w:r w:rsidRPr="004005A4">
              <w:rPr>
                <w:rFonts w:cs="Calibri Light"/>
                <w:sz w:val="20"/>
                <w:szCs w:val="20"/>
              </w:rPr>
              <w:t>(2)</w:t>
            </w:r>
            <w:r w:rsidRPr="004005A4">
              <w:rPr>
                <w:rFonts w:cs="Calibri Light"/>
                <w:sz w:val="20"/>
                <w:szCs w:val="20"/>
              </w:rPr>
              <w:tab/>
              <w:t xml:space="preserve">For purposes of paragraph </w:t>
            </w:r>
            <w:r w:rsidR="00E81C16" w:rsidRPr="004005A4">
              <w:rPr>
                <w:rFonts w:cs="Calibri Light"/>
                <w:sz w:val="20"/>
                <w:szCs w:val="20"/>
              </w:rPr>
              <w:t>e</w:t>
            </w:r>
            <w:r w:rsidR="000958D0" w:rsidRPr="004005A4">
              <w:rPr>
                <w:rFonts w:cs="Calibri Light"/>
                <w:sz w:val="20"/>
                <w:szCs w:val="20"/>
              </w:rPr>
              <w:t>.</w:t>
            </w:r>
            <w:r w:rsidRPr="004005A4">
              <w:rPr>
                <w:rFonts w:cs="Calibri Light"/>
                <w:sz w:val="20"/>
                <w:szCs w:val="20"/>
              </w:rPr>
              <w:t xml:space="preserve"> of this section, the number of days shall be: </w:t>
            </w:r>
          </w:p>
          <w:p w14:paraId="7ED72741" w14:textId="77777777" w:rsidR="00B47999" w:rsidRPr="004005A4" w:rsidRDefault="00B47999" w:rsidP="00D605EB">
            <w:pPr>
              <w:pStyle w:val="level4"/>
              <w:tabs>
                <w:tab w:val="clear" w:pos="576"/>
                <w:tab w:val="clear" w:pos="1152"/>
                <w:tab w:val="clear" w:pos="1728"/>
              </w:tabs>
              <w:spacing w:after="120" w:line="240" w:lineRule="atLeast"/>
              <w:ind w:left="860" w:hanging="270"/>
              <w:rPr>
                <w:rFonts w:cs="Calibri Light"/>
                <w:sz w:val="20"/>
                <w:szCs w:val="20"/>
              </w:rPr>
            </w:pPr>
            <w:r w:rsidRPr="004005A4">
              <w:rPr>
                <w:rFonts w:cs="Calibri Light"/>
                <w:sz w:val="20"/>
                <w:szCs w:val="20"/>
              </w:rPr>
              <w:t>(a)</w:t>
            </w:r>
            <w:r w:rsidRPr="004005A4">
              <w:rPr>
                <w:rFonts w:cs="Calibri Light"/>
                <w:sz w:val="20"/>
                <w:szCs w:val="20"/>
              </w:rPr>
              <w:tab/>
              <w:t xml:space="preserve">129 days subsequent to the end of the registrant’s most recent fiscal year for accelerated and large accelerated filers; </w:t>
            </w:r>
          </w:p>
          <w:p w14:paraId="1F09E8AB" w14:textId="77777777" w:rsidR="00B47999" w:rsidRPr="004005A4" w:rsidRDefault="00B47999" w:rsidP="00D605EB">
            <w:pPr>
              <w:pStyle w:val="level4"/>
              <w:tabs>
                <w:tab w:val="clear" w:pos="576"/>
                <w:tab w:val="clear" w:pos="1152"/>
                <w:tab w:val="clear" w:pos="1728"/>
              </w:tabs>
              <w:spacing w:after="120" w:line="240" w:lineRule="atLeast"/>
              <w:ind w:left="860" w:hanging="270"/>
              <w:rPr>
                <w:rFonts w:cs="Calibri Light"/>
                <w:sz w:val="20"/>
                <w:szCs w:val="20"/>
              </w:rPr>
            </w:pPr>
            <w:r w:rsidRPr="004005A4">
              <w:rPr>
                <w:rFonts w:cs="Calibri Light"/>
                <w:sz w:val="20"/>
                <w:szCs w:val="20"/>
              </w:rPr>
              <w:t>(b)</w:t>
            </w:r>
            <w:r w:rsidRPr="004005A4">
              <w:rPr>
                <w:rFonts w:cs="Calibri Light"/>
                <w:sz w:val="20"/>
                <w:szCs w:val="20"/>
              </w:rPr>
              <w:tab/>
              <w:t xml:space="preserve">134 days subsequent to the end of the registrant’s most recent fiscal year for all other registrants.  </w:t>
            </w:r>
          </w:p>
        </w:tc>
        <w:tc>
          <w:tcPr>
            <w:tcW w:w="1209" w:type="dxa"/>
            <w:gridSpan w:val="2"/>
            <w:tcBorders>
              <w:top w:val="single" w:sz="4" w:space="0" w:color="auto"/>
            </w:tcBorders>
            <w:vAlign w:val="bottom"/>
          </w:tcPr>
          <w:p w14:paraId="5A2FABEE"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71E3B20F"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732D92B"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77F7C17B" w14:textId="77777777" w:rsidTr="00CC36C1">
        <w:trPr>
          <w:gridBefore w:val="1"/>
          <w:wBefore w:w="17" w:type="dxa"/>
        </w:trPr>
        <w:tc>
          <w:tcPr>
            <w:tcW w:w="7483" w:type="dxa"/>
            <w:gridSpan w:val="2"/>
          </w:tcPr>
          <w:p w14:paraId="25672BEC" w14:textId="517A1ACF" w:rsidR="00B47999" w:rsidRPr="004005A4" w:rsidRDefault="00B47999" w:rsidP="00C911E0">
            <w:pPr>
              <w:pStyle w:val="standard"/>
              <w:keepNext/>
              <w:spacing w:before="120" w:after="120" w:line="240" w:lineRule="atLeast"/>
              <w:rPr>
                <w:rFonts w:cs="Calibri Light"/>
                <w:sz w:val="20"/>
                <w:szCs w:val="20"/>
              </w:rPr>
            </w:pPr>
            <w:r w:rsidRPr="004005A4">
              <w:rPr>
                <w:rFonts w:cs="Calibri Light"/>
                <w:b/>
                <w:sz w:val="20"/>
                <w:szCs w:val="20"/>
              </w:rPr>
              <w:t xml:space="preserve">Rule 3-02 — Consolidated statements of </w:t>
            </w:r>
            <w:r w:rsidR="00C87347" w:rsidRPr="004005A4">
              <w:rPr>
                <w:rFonts w:cs="Calibri Light"/>
                <w:b/>
                <w:sz w:val="20"/>
                <w:szCs w:val="20"/>
              </w:rPr>
              <w:t>comprehensive income</w:t>
            </w:r>
            <w:r w:rsidR="000460F0" w:rsidRPr="004005A4">
              <w:rPr>
                <w:rFonts w:cs="Calibri Light"/>
                <w:b/>
                <w:sz w:val="20"/>
                <w:szCs w:val="20"/>
              </w:rPr>
              <w:t xml:space="preserve"> </w:t>
            </w:r>
            <w:r w:rsidR="00C87347" w:rsidRPr="004005A4">
              <w:rPr>
                <w:rFonts w:cs="Calibri Light"/>
                <w:b/>
                <w:sz w:val="20"/>
                <w:szCs w:val="20"/>
              </w:rPr>
              <w:t>and cash flows</w:t>
            </w:r>
            <w:r w:rsidRPr="004005A4">
              <w:rPr>
                <w:rFonts w:cs="Calibri Light"/>
                <w:b/>
                <w:sz w:val="20"/>
                <w:szCs w:val="20"/>
              </w:rPr>
              <w:t>.</w:t>
            </w:r>
          </w:p>
        </w:tc>
        <w:tc>
          <w:tcPr>
            <w:tcW w:w="1209" w:type="dxa"/>
            <w:gridSpan w:val="2"/>
            <w:vAlign w:val="bottom"/>
          </w:tcPr>
          <w:p w14:paraId="020CC126"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3E5A7C10"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vAlign w:val="bottom"/>
          </w:tcPr>
          <w:p w14:paraId="30564091"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3CFBB21B" w14:textId="77777777" w:rsidTr="00CC36C1">
        <w:trPr>
          <w:gridBefore w:val="1"/>
          <w:wBefore w:w="17" w:type="dxa"/>
        </w:trPr>
        <w:tc>
          <w:tcPr>
            <w:tcW w:w="7483" w:type="dxa"/>
            <w:gridSpan w:val="2"/>
          </w:tcPr>
          <w:p w14:paraId="76C67E79" w14:textId="5734B1A2" w:rsidR="00C837A3" w:rsidRPr="004005A4" w:rsidRDefault="00B47999" w:rsidP="00D605EB">
            <w:pPr>
              <w:pStyle w:val="level1"/>
              <w:numPr>
                <w:ilvl w:val="0"/>
                <w:numId w:val="92"/>
              </w:numPr>
              <w:tabs>
                <w:tab w:val="clear" w:pos="576"/>
              </w:tabs>
              <w:spacing w:after="120" w:line="240" w:lineRule="atLeast"/>
              <w:ind w:left="230" w:hanging="230"/>
              <w:rPr>
                <w:rFonts w:cs="Calibri Light"/>
                <w:sz w:val="20"/>
                <w:szCs w:val="20"/>
              </w:rPr>
            </w:pPr>
            <w:r w:rsidRPr="004005A4">
              <w:rPr>
                <w:rFonts w:cs="Calibri Light"/>
                <w:sz w:val="20"/>
                <w:szCs w:val="20"/>
              </w:rPr>
              <w:t>File audited consolidated statements of</w:t>
            </w:r>
            <w:r w:rsidR="00C87347" w:rsidRPr="004005A4">
              <w:rPr>
                <w:rFonts w:cs="Calibri Light"/>
                <w:sz w:val="20"/>
                <w:szCs w:val="20"/>
              </w:rPr>
              <w:t xml:space="preserve"> comprehensive</w:t>
            </w:r>
            <w:r w:rsidRPr="004005A4">
              <w:rPr>
                <w:rFonts w:cs="Calibri Light"/>
                <w:sz w:val="20"/>
                <w:szCs w:val="20"/>
              </w:rPr>
              <w:t xml:space="preserve"> income and cash flows for the registrant and its consolidated subsidiaries and for its predecessors for each of the </w:t>
            </w:r>
            <w:r w:rsidRPr="004005A4">
              <w:rPr>
                <w:rFonts w:cs="Calibri Light"/>
                <w:sz w:val="20"/>
                <w:szCs w:val="20"/>
              </w:rPr>
              <w:lastRenderedPageBreak/>
              <w:t>three fiscal years preceding the date of the latest audited balance sheet presented or for such shorter period as the registrant (including predecessors) has been in existence.</w:t>
            </w:r>
          </w:p>
          <w:p w14:paraId="1537BF88" w14:textId="73069259" w:rsidR="00B47999" w:rsidRDefault="00C837A3" w:rsidP="00D605EB">
            <w:pPr>
              <w:pStyle w:val="level1"/>
              <w:tabs>
                <w:tab w:val="clear" w:pos="576"/>
                <w:tab w:val="clear" w:pos="1152"/>
                <w:tab w:val="clear" w:pos="1728"/>
                <w:tab w:val="clear" w:pos="2304"/>
                <w:tab w:val="clear" w:pos="2880"/>
              </w:tabs>
              <w:spacing w:after="120" w:line="240" w:lineRule="atLeast"/>
              <w:ind w:left="230" w:firstLine="0"/>
              <w:rPr>
                <w:rFonts w:cs="Calibri Light"/>
                <w:sz w:val="20"/>
                <w:szCs w:val="20"/>
              </w:rPr>
            </w:pPr>
            <w:r w:rsidRPr="004005A4">
              <w:rPr>
                <w:rFonts w:cs="Calibri Light"/>
                <w:sz w:val="20"/>
                <w:szCs w:val="20"/>
              </w:rPr>
              <w:t>[</w:t>
            </w:r>
            <w:r w:rsidR="00B03533" w:rsidRPr="004005A4">
              <w:rPr>
                <w:rFonts w:cs="Calibri Light"/>
                <w:sz w:val="20"/>
                <w:szCs w:val="20"/>
              </w:rPr>
              <w:t>Note: EGC</w:t>
            </w:r>
            <w:r w:rsidR="00E471AB" w:rsidRPr="004005A4">
              <w:rPr>
                <w:rFonts w:cs="Calibri Light"/>
                <w:sz w:val="20"/>
                <w:szCs w:val="20"/>
              </w:rPr>
              <w:t>s are required to present two years of audited financial statements</w:t>
            </w:r>
            <w:r w:rsidR="00B03533" w:rsidRPr="004005A4">
              <w:rPr>
                <w:rFonts w:cs="Calibri Light"/>
                <w:sz w:val="20"/>
                <w:szCs w:val="20"/>
              </w:rPr>
              <w:t xml:space="preserve"> in its IPO registration statement</w:t>
            </w:r>
            <w:r w:rsidR="00E23BBE">
              <w:rPr>
                <w:rFonts w:cs="Calibri Light"/>
                <w:sz w:val="20"/>
                <w:szCs w:val="20"/>
              </w:rPr>
              <w:t xml:space="preserve"> of common equity</w:t>
            </w:r>
            <w:r w:rsidR="00B03533" w:rsidRPr="004005A4">
              <w:rPr>
                <w:rFonts w:cs="Calibri Light"/>
                <w:sz w:val="20"/>
                <w:szCs w:val="20"/>
              </w:rPr>
              <w:t>.</w:t>
            </w:r>
            <w:r w:rsidR="008E08C2" w:rsidRPr="004005A4">
              <w:rPr>
                <w:rFonts w:cs="Calibri Light"/>
                <w:sz w:val="20"/>
                <w:szCs w:val="20"/>
              </w:rPr>
              <w:t xml:space="preserve"> SRCs are only required two years of audited financial statements in IPO</w:t>
            </w:r>
            <w:r w:rsidR="00E32BEE">
              <w:rPr>
                <w:rFonts w:cs="Calibri Light"/>
                <w:sz w:val="20"/>
                <w:szCs w:val="20"/>
              </w:rPr>
              <w:t>s</w:t>
            </w:r>
            <w:r w:rsidR="008E08C2" w:rsidRPr="004005A4">
              <w:rPr>
                <w:rFonts w:cs="Calibri Light"/>
                <w:sz w:val="20"/>
                <w:szCs w:val="20"/>
              </w:rPr>
              <w:t xml:space="preserve"> and annual reporting.</w:t>
            </w:r>
            <w:r w:rsidRPr="004005A4">
              <w:rPr>
                <w:rFonts w:cs="Calibri Light"/>
                <w:sz w:val="20"/>
                <w:szCs w:val="20"/>
              </w:rPr>
              <w:t>]</w:t>
            </w:r>
          </w:p>
          <w:p w14:paraId="37EECC49" w14:textId="3AE9F274" w:rsidR="0096504F" w:rsidRPr="004005A4" w:rsidRDefault="0024057E" w:rsidP="00D605EB">
            <w:pPr>
              <w:pStyle w:val="level1"/>
              <w:tabs>
                <w:tab w:val="clear" w:pos="576"/>
                <w:tab w:val="clear" w:pos="1152"/>
                <w:tab w:val="clear" w:pos="1728"/>
                <w:tab w:val="clear" w:pos="2304"/>
                <w:tab w:val="clear" w:pos="2880"/>
              </w:tabs>
              <w:spacing w:after="120" w:line="240" w:lineRule="atLeast"/>
              <w:ind w:left="230" w:firstLine="0"/>
              <w:rPr>
                <w:rFonts w:cs="Calibri Light"/>
                <w:sz w:val="20"/>
                <w:szCs w:val="20"/>
              </w:rPr>
            </w:pPr>
            <w:r>
              <w:rPr>
                <w:rFonts w:cs="Calibri Light"/>
                <w:sz w:val="20"/>
                <w:szCs w:val="20"/>
              </w:rPr>
              <w:t xml:space="preserve">See </w:t>
            </w:r>
            <w:r w:rsidR="005C61A4">
              <w:rPr>
                <w:rFonts w:cs="Calibri Light"/>
                <w:sz w:val="20"/>
                <w:szCs w:val="20"/>
              </w:rPr>
              <w:t>sections</w:t>
            </w:r>
            <w:r w:rsidR="0096504F">
              <w:rPr>
                <w:rFonts w:cs="Calibri Light"/>
                <w:sz w:val="20"/>
                <w:szCs w:val="20"/>
              </w:rPr>
              <w:t xml:space="preserve"> </w:t>
            </w:r>
            <w:r w:rsidR="001479B5">
              <w:rPr>
                <w:rFonts w:cs="Calibri Light"/>
                <w:sz w:val="20"/>
                <w:szCs w:val="20"/>
              </w:rPr>
              <w:t xml:space="preserve">1.7 and </w:t>
            </w:r>
            <w:r w:rsidR="0096504F">
              <w:rPr>
                <w:rFonts w:cs="Calibri Light"/>
                <w:sz w:val="20"/>
                <w:szCs w:val="20"/>
              </w:rPr>
              <w:t xml:space="preserve">2.4.3 of </w:t>
            </w:r>
            <w:r w:rsidR="009C7699">
              <w:rPr>
                <w:rFonts w:cs="Calibri Light"/>
                <w:sz w:val="20"/>
                <w:szCs w:val="20"/>
              </w:rPr>
              <w:t>Deloitte’s</w:t>
            </w:r>
            <w:r w:rsidR="0096504F">
              <w:rPr>
                <w:rFonts w:cs="Calibri Light"/>
                <w:sz w:val="20"/>
                <w:szCs w:val="20"/>
              </w:rPr>
              <w:t xml:space="preserve"> </w:t>
            </w:r>
            <w:hyperlink r:id="rId38" w:history="1">
              <w:r w:rsidR="0096504F" w:rsidRPr="00820A3B">
                <w:rPr>
                  <w:rStyle w:val="Hyperlink"/>
                  <w:rFonts w:cs="Calibri Light"/>
                  <w:sz w:val="20"/>
                  <w:szCs w:val="20"/>
                </w:rPr>
                <w:t>Initial Public Offerings</w:t>
              </w:r>
            </w:hyperlink>
            <w:r w:rsidR="0096504F">
              <w:rPr>
                <w:rFonts w:cs="Calibri Light"/>
                <w:sz w:val="20"/>
                <w:szCs w:val="20"/>
              </w:rPr>
              <w:t xml:space="preserve"> </w:t>
            </w:r>
            <w:r w:rsidR="00820A3B">
              <w:rPr>
                <w:rFonts w:cs="Calibri Light"/>
                <w:sz w:val="20"/>
                <w:szCs w:val="20"/>
              </w:rPr>
              <w:t>R</w:t>
            </w:r>
            <w:r w:rsidR="0096504F">
              <w:rPr>
                <w:rFonts w:cs="Calibri Light"/>
                <w:sz w:val="20"/>
                <w:szCs w:val="20"/>
              </w:rPr>
              <w:t xml:space="preserve">oadmap for special accommodations for IPOs and </w:t>
            </w:r>
            <w:r w:rsidR="00BE7C05">
              <w:rPr>
                <w:rFonts w:cs="Calibri Light"/>
                <w:sz w:val="20"/>
                <w:szCs w:val="20"/>
              </w:rPr>
              <w:t>SPACs,</w:t>
            </w:r>
            <w:r w:rsidR="0096504F">
              <w:rPr>
                <w:rFonts w:cs="Calibri Light"/>
                <w:sz w:val="20"/>
                <w:szCs w:val="20"/>
              </w:rPr>
              <w:t xml:space="preserve"> respectively.</w:t>
            </w:r>
          </w:p>
        </w:tc>
        <w:tc>
          <w:tcPr>
            <w:tcW w:w="1209" w:type="dxa"/>
            <w:gridSpan w:val="2"/>
            <w:vAlign w:val="bottom"/>
          </w:tcPr>
          <w:p w14:paraId="5F1FEEC0"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67171A9B"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vAlign w:val="bottom"/>
          </w:tcPr>
          <w:p w14:paraId="7C64AADC"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56DC4EBC" w14:textId="77777777" w:rsidTr="00CC36C1">
        <w:trPr>
          <w:gridBefore w:val="1"/>
          <w:wBefore w:w="17" w:type="dxa"/>
        </w:trPr>
        <w:tc>
          <w:tcPr>
            <w:tcW w:w="7483" w:type="dxa"/>
            <w:gridSpan w:val="2"/>
          </w:tcPr>
          <w:p w14:paraId="1EEC9D23" w14:textId="151608EF" w:rsidR="00C837A3" w:rsidRPr="004005A4" w:rsidRDefault="00B47999" w:rsidP="00D605EB">
            <w:pPr>
              <w:pStyle w:val="level1"/>
              <w:numPr>
                <w:ilvl w:val="0"/>
                <w:numId w:val="92"/>
              </w:numPr>
              <w:tabs>
                <w:tab w:val="clear" w:pos="576"/>
              </w:tabs>
              <w:spacing w:after="120" w:line="240" w:lineRule="atLeast"/>
              <w:ind w:left="230" w:hanging="230"/>
              <w:rPr>
                <w:rFonts w:cs="Calibri Light"/>
                <w:sz w:val="20"/>
                <w:szCs w:val="20"/>
              </w:rPr>
            </w:pPr>
            <w:r w:rsidRPr="004005A4">
              <w:rPr>
                <w:rFonts w:cs="Calibri Light"/>
                <w:sz w:val="20"/>
                <w:szCs w:val="20"/>
              </w:rPr>
              <w:t xml:space="preserve">Also, for any interim period (between the latest audited balance sheet and the most recent interim balance sheet and for the corresponding period of the preceding fiscal year) statements of </w:t>
            </w:r>
            <w:r w:rsidR="00271556" w:rsidRPr="004005A4">
              <w:rPr>
                <w:rFonts w:cs="Calibri Light"/>
                <w:sz w:val="20"/>
                <w:szCs w:val="20"/>
              </w:rPr>
              <w:t xml:space="preserve">comprehensive income </w:t>
            </w:r>
            <w:r w:rsidRPr="004005A4">
              <w:rPr>
                <w:rFonts w:cs="Calibri Light"/>
                <w:sz w:val="20"/>
                <w:szCs w:val="20"/>
              </w:rPr>
              <w:t>and cash flows are required.</w:t>
            </w:r>
          </w:p>
          <w:p w14:paraId="76550DB2" w14:textId="14A5AADC" w:rsidR="00B47999" w:rsidRPr="004005A4" w:rsidRDefault="00B47999" w:rsidP="00D605EB">
            <w:pPr>
              <w:pStyle w:val="level1"/>
              <w:tabs>
                <w:tab w:val="clear" w:pos="576"/>
                <w:tab w:val="clear" w:pos="1152"/>
              </w:tabs>
              <w:spacing w:after="120" w:line="240" w:lineRule="atLeast"/>
              <w:ind w:left="230" w:firstLine="0"/>
              <w:rPr>
                <w:rFonts w:cs="Calibri Light"/>
                <w:sz w:val="20"/>
                <w:szCs w:val="20"/>
              </w:rPr>
            </w:pPr>
            <w:r w:rsidRPr="004005A4">
              <w:rPr>
                <w:rFonts w:cs="Calibri Light"/>
                <w:sz w:val="20"/>
                <w:szCs w:val="20"/>
              </w:rPr>
              <w:t>Interim statements may be unaudited and need not be presented in greater detail than is required by S</w:t>
            </w:r>
            <w:r w:rsidR="000958D0" w:rsidRPr="004005A4">
              <w:rPr>
                <w:rFonts w:cs="Calibri Light"/>
                <w:sz w:val="20"/>
                <w:szCs w:val="20"/>
              </w:rPr>
              <w:t>-</w:t>
            </w:r>
            <w:r w:rsidRPr="004005A4">
              <w:rPr>
                <w:rFonts w:cs="Calibri Light"/>
                <w:sz w:val="20"/>
                <w:szCs w:val="20"/>
              </w:rPr>
              <w:t xml:space="preserve">X Rule 10-01 </w:t>
            </w:r>
            <w:r w:rsidR="009C7699">
              <w:rPr>
                <w:rFonts w:cs="Calibri Light"/>
                <w:sz w:val="20"/>
                <w:szCs w:val="20"/>
              </w:rPr>
              <w:t xml:space="preserve">(see </w:t>
            </w:r>
            <w:r w:rsidRPr="004005A4">
              <w:rPr>
                <w:rFonts w:cs="Calibri Light"/>
                <w:i/>
                <w:sz w:val="20"/>
                <w:szCs w:val="20"/>
              </w:rPr>
              <w:t>Checklist for Quarterly Report on Form 10-Q</w:t>
            </w:r>
            <w:r w:rsidR="009C7699" w:rsidRPr="00C911E0">
              <w:rPr>
                <w:rFonts w:cs="Calibri Light"/>
                <w:iCs/>
                <w:sz w:val="20"/>
                <w:szCs w:val="20"/>
              </w:rPr>
              <w:t>)</w:t>
            </w:r>
            <w:r w:rsidRPr="004005A4">
              <w:rPr>
                <w:rFonts w:cs="Calibri Light"/>
                <w:sz w:val="20"/>
                <w:szCs w:val="20"/>
              </w:rPr>
              <w:t>.</w:t>
            </w:r>
          </w:p>
        </w:tc>
        <w:tc>
          <w:tcPr>
            <w:tcW w:w="1209" w:type="dxa"/>
            <w:gridSpan w:val="2"/>
            <w:tcBorders>
              <w:top w:val="single" w:sz="4" w:space="0" w:color="auto"/>
            </w:tcBorders>
            <w:vAlign w:val="bottom"/>
          </w:tcPr>
          <w:p w14:paraId="37FB5888"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40801E6A"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E1BAD84"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67BF0A06" w14:textId="77777777" w:rsidTr="00CC36C1">
        <w:trPr>
          <w:gridBefore w:val="1"/>
          <w:wBefore w:w="17" w:type="dxa"/>
        </w:trPr>
        <w:tc>
          <w:tcPr>
            <w:tcW w:w="7483" w:type="dxa"/>
            <w:gridSpan w:val="2"/>
          </w:tcPr>
          <w:p w14:paraId="5CC55B76" w14:textId="54147E88" w:rsidR="00B47999" w:rsidRPr="004005A4" w:rsidRDefault="00B47999" w:rsidP="00D605EB">
            <w:pPr>
              <w:pStyle w:val="level1"/>
              <w:numPr>
                <w:ilvl w:val="0"/>
                <w:numId w:val="92"/>
              </w:numPr>
              <w:tabs>
                <w:tab w:val="clear" w:pos="576"/>
              </w:tabs>
              <w:spacing w:after="120" w:line="240" w:lineRule="atLeast"/>
              <w:ind w:left="230" w:hanging="230"/>
              <w:rPr>
                <w:rFonts w:cs="Calibri Light"/>
                <w:sz w:val="20"/>
                <w:szCs w:val="20"/>
              </w:rPr>
            </w:pPr>
            <w:r w:rsidRPr="004005A4">
              <w:rPr>
                <w:rFonts w:cs="Calibri Light"/>
                <w:sz w:val="20"/>
                <w:szCs w:val="20"/>
              </w:rPr>
              <w:t>Registered management investment companies see S</w:t>
            </w:r>
            <w:r w:rsidR="000958D0" w:rsidRPr="004005A4">
              <w:rPr>
                <w:rFonts w:cs="Calibri Light"/>
                <w:sz w:val="20"/>
                <w:szCs w:val="20"/>
              </w:rPr>
              <w:t>-</w:t>
            </w:r>
            <w:r w:rsidRPr="004005A4">
              <w:rPr>
                <w:rFonts w:cs="Calibri Light"/>
                <w:sz w:val="20"/>
                <w:szCs w:val="20"/>
              </w:rPr>
              <w:t xml:space="preserve">X Rule 3-18 in lieu of this section. </w:t>
            </w:r>
          </w:p>
        </w:tc>
        <w:tc>
          <w:tcPr>
            <w:tcW w:w="1209" w:type="dxa"/>
            <w:gridSpan w:val="2"/>
            <w:tcBorders>
              <w:top w:val="single" w:sz="4" w:space="0" w:color="auto"/>
              <w:bottom w:val="single" w:sz="4" w:space="0" w:color="auto"/>
            </w:tcBorders>
            <w:vAlign w:val="bottom"/>
          </w:tcPr>
          <w:p w14:paraId="1A529D8E"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6E730256"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D2D8E75"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099E2C66" w14:textId="77777777" w:rsidTr="00CC36C1">
        <w:trPr>
          <w:gridBefore w:val="1"/>
          <w:wBefore w:w="17" w:type="dxa"/>
        </w:trPr>
        <w:tc>
          <w:tcPr>
            <w:tcW w:w="7483" w:type="dxa"/>
            <w:gridSpan w:val="2"/>
          </w:tcPr>
          <w:p w14:paraId="26F07B1F" w14:textId="68DFDD5A" w:rsidR="00B47999" w:rsidRPr="004005A4" w:rsidRDefault="00B47999" w:rsidP="00D605EB">
            <w:pPr>
              <w:pStyle w:val="level1"/>
              <w:numPr>
                <w:ilvl w:val="0"/>
                <w:numId w:val="92"/>
              </w:numPr>
              <w:tabs>
                <w:tab w:val="clear" w:pos="576"/>
              </w:tabs>
              <w:spacing w:after="120" w:line="240" w:lineRule="atLeast"/>
              <w:ind w:left="230" w:hanging="230"/>
              <w:rPr>
                <w:rFonts w:cs="Calibri Light"/>
                <w:sz w:val="20"/>
                <w:szCs w:val="20"/>
              </w:rPr>
            </w:pPr>
            <w:r w:rsidRPr="004005A4">
              <w:rPr>
                <w:rFonts w:cs="Calibri Light"/>
                <w:sz w:val="20"/>
                <w:szCs w:val="20"/>
              </w:rPr>
              <w:t>Foreign private issuers, other than a registered management investment company or an employee plan, may file the financial statements required by Item 8</w:t>
            </w:r>
            <w:r w:rsidR="006B0AFB">
              <w:rPr>
                <w:rFonts w:cs="Calibri Light"/>
                <w:sz w:val="20"/>
                <w:szCs w:val="20"/>
              </w:rPr>
              <w:t>.</w:t>
            </w:r>
            <w:r w:rsidRPr="004005A4">
              <w:rPr>
                <w:rFonts w:cs="Calibri Light"/>
                <w:sz w:val="20"/>
                <w:szCs w:val="20"/>
              </w:rPr>
              <w:t xml:space="preserve">A of Form 20-F in lieu of the requirements of this section. </w:t>
            </w:r>
          </w:p>
        </w:tc>
        <w:tc>
          <w:tcPr>
            <w:tcW w:w="1209" w:type="dxa"/>
            <w:gridSpan w:val="2"/>
            <w:tcBorders>
              <w:top w:val="single" w:sz="4" w:space="0" w:color="auto"/>
            </w:tcBorders>
            <w:vAlign w:val="bottom"/>
          </w:tcPr>
          <w:p w14:paraId="72B02029"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69CEC52B"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C6F01A0"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2F48BC62" w14:textId="77777777" w:rsidTr="00CC36C1">
        <w:trPr>
          <w:gridBefore w:val="1"/>
          <w:wBefore w:w="17" w:type="dxa"/>
        </w:trPr>
        <w:tc>
          <w:tcPr>
            <w:tcW w:w="7483" w:type="dxa"/>
            <w:gridSpan w:val="2"/>
          </w:tcPr>
          <w:p w14:paraId="1419ED4B" w14:textId="5859D2E7" w:rsidR="00B47999" w:rsidRPr="004005A4" w:rsidRDefault="00B47999" w:rsidP="004005A4">
            <w:pPr>
              <w:pStyle w:val="standard"/>
              <w:keepNext/>
              <w:spacing w:before="120" w:after="120" w:line="240" w:lineRule="atLeast"/>
              <w:rPr>
                <w:rFonts w:cs="Calibri Light"/>
                <w:sz w:val="20"/>
                <w:szCs w:val="20"/>
              </w:rPr>
            </w:pPr>
            <w:r w:rsidRPr="004005A4">
              <w:rPr>
                <w:rFonts w:cs="Calibri Light"/>
                <w:b/>
                <w:sz w:val="20"/>
                <w:szCs w:val="20"/>
              </w:rPr>
              <w:t>Rule 3-03 — Instructions to</w:t>
            </w:r>
            <w:r w:rsidR="00C87347" w:rsidRPr="004005A4">
              <w:rPr>
                <w:rFonts w:cs="Calibri Light"/>
                <w:b/>
                <w:sz w:val="20"/>
                <w:szCs w:val="20"/>
              </w:rPr>
              <w:t xml:space="preserve"> statement of comprehensive</w:t>
            </w:r>
            <w:r w:rsidRPr="004005A4">
              <w:rPr>
                <w:rFonts w:cs="Calibri Light"/>
                <w:b/>
                <w:sz w:val="20"/>
                <w:szCs w:val="20"/>
              </w:rPr>
              <w:t xml:space="preserve"> income</w:t>
            </w:r>
            <w:r w:rsidR="00C87347" w:rsidRPr="004005A4">
              <w:rPr>
                <w:rFonts w:cs="Calibri Light"/>
                <w:b/>
                <w:sz w:val="20"/>
                <w:szCs w:val="20"/>
              </w:rPr>
              <w:t xml:space="preserve"> </w:t>
            </w:r>
            <w:r w:rsidRPr="004005A4">
              <w:rPr>
                <w:rFonts w:cs="Calibri Light"/>
                <w:b/>
                <w:sz w:val="20"/>
                <w:szCs w:val="20"/>
              </w:rPr>
              <w:t>requirements.</w:t>
            </w:r>
          </w:p>
        </w:tc>
        <w:tc>
          <w:tcPr>
            <w:tcW w:w="1209" w:type="dxa"/>
            <w:gridSpan w:val="2"/>
            <w:tcBorders>
              <w:top w:val="single" w:sz="4" w:space="0" w:color="auto"/>
            </w:tcBorders>
            <w:vAlign w:val="bottom"/>
          </w:tcPr>
          <w:p w14:paraId="41B11E7A"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42EB0C0E"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E3A57D7"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436B9FC5" w14:textId="77777777" w:rsidTr="00CC36C1">
        <w:trPr>
          <w:gridBefore w:val="1"/>
          <w:wBefore w:w="17" w:type="dxa"/>
        </w:trPr>
        <w:tc>
          <w:tcPr>
            <w:tcW w:w="7483" w:type="dxa"/>
            <w:gridSpan w:val="2"/>
          </w:tcPr>
          <w:p w14:paraId="146FB6F3" w14:textId="10F4D3C6" w:rsidR="00B47999" w:rsidRPr="004005A4" w:rsidRDefault="00E72DB4" w:rsidP="00D605EB">
            <w:pPr>
              <w:pStyle w:val="level1"/>
              <w:numPr>
                <w:ilvl w:val="0"/>
                <w:numId w:val="93"/>
              </w:numPr>
              <w:tabs>
                <w:tab w:val="clear" w:pos="576"/>
              </w:tabs>
              <w:spacing w:after="120" w:line="240" w:lineRule="atLeast"/>
              <w:ind w:left="230" w:hanging="230"/>
              <w:rPr>
                <w:rFonts w:cs="Calibri Light"/>
                <w:sz w:val="20"/>
                <w:szCs w:val="20"/>
              </w:rPr>
            </w:pPr>
            <w:r w:rsidRPr="004005A4">
              <w:rPr>
                <w:rFonts w:cs="Calibri Light"/>
                <w:sz w:val="20"/>
                <w:szCs w:val="20"/>
              </w:rPr>
              <w:t xml:space="preserve">The statements required shall be prepared in compliance with </w:t>
            </w:r>
            <w:r w:rsidR="00B47999" w:rsidRPr="004005A4">
              <w:rPr>
                <w:rFonts w:cs="Calibri Light"/>
                <w:sz w:val="20"/>
                <w:szCs w:val="20"/>
              </w:rPr>
              <w:t>Regulation S-X.</w:t>
            </w:r>
          </w:p>
        </w:tc>
        <w:tc>
          <w:tcPr>
            <w:tcW w:w="1209" w:type="dxa"/>
            <w:gridSpan w:val="2"/>
            <w:tcBorders>
              <w:bottom w:val="single" w:sz="4" w:space="0" w:color="auto"/>
            </w:tcBorders>
            <w:vAlign w:val="bottom"/>
          </w:tcPr>
          <w:p w14:paraId="1CCA365C"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14943619"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14EC2C49"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769D8F5B" w14:textId="77777777" w:rsidTr="00CC36C1">
        <w:trPr>
          <w:gridBefore w:val="1"/>
          <w:wBefore w:w="17" w:type="dxa"/>
        </w:trPr>
        <w:tc>
          <w:tcPr>
            <w:tcW w:w="7483" w:type="dxa"/>
            <w:gridSpan w:val="2"/>
          </w:tcPr>
          <w:p w14:paraId="5A82365B" w14:textId="7ECEC9CB" w:rsidR="00E72DB4" w:rsidRPr="004005A4" w:rsidRDefault="00E72DB4" w:rsidP="00D605EB">
            <w:pPr>
              <w:pStyle w:val="level1"/>
              <w:tabs>
                <w:tab w:val="clear" w:pos="576"/>
              </w:tabs>
              <w:spacing w:after="120" w:line="240" w:lineRule="atLeast"/>
              <w:ind w:left="230" w:firstLine="12"/>
              <w:rPr>
                <w:rFonts w:cs="Calibri Light"/>
                <w:sz w:val="20"/>
                <w:szCs w:val="20"/>
              </w:rPr>
            </w:pPr>
            <w:r w:rsidRPr="004005A4">
              <w:rPr>
                <w:rFonts w:cs="Calibri Light"/>
                <w:sz w:val="20"/>
                <w:szCs w:val="20"/>
              </w:rPr>
              <w:t>Note: The statement of comprehensive income may be presented either in a single continuous financial statement or in two separate but consecutive financial statements. In a single continuous statement, the entity is required to present the components of net income and total net income, the components of other comprehensive income</w:t>
            </w:r>
            <w:r w:rsidR="00DE12AB" w:rsidRPr="004005A4">
              <w:rPr>
                <w:rFonts w:cs="Calibri Light"/>
                <w:sz w:val="20"/>
                <w:szCs w:val="20"/>
              </w:rPr>
              <w:t>,</w:t>
            </w:r>
            <w:r w:rsidRPr="004005A4">
              <w:rPr>
                <w:rFonts w:cs="Calibri Light"/>
                <w:sz w:val="20"/>
                <w:szCs w:val="20"/>
              </w:rPr>
              <w:t xml:space="preserve"> and a total for other comprehensive income, along with the total of comprehensive income in that statement. In the two-statement approach, an entity is required to present components of net income and total net income in the statement of net income. The statement of other comprehensive income should immediately follow the statement of net income and include the components of other comprehensive income and a total for other comprehensive income, along with a total for comprehensive income. A statement(s) of operations or variations thereof may be used in place of a statement(s) of comprehensive income if there was no other comprehensive income during the period(s).</w:t>
            </w:r>
            <w:r w:rsidR="00B37939" w:rsidRPr="004005A4">
              <w:rPr>
                <w:rFonts w:cs="Calibri Light"/>
                <w:sz w:val="20"/>
                <w:szCs w:val="20"/>
              </w:rPr>
              <w:t xml:space="preserve"> See</w:t>
            </w:r>
            <w:r w:rsidR="00B37939" w:rsidRPr="004005A4">
              <w:rPr>
                <w:rFonts w:cs="Calibri Light"/>
                <w:b/>
                <w:sz w:val="20"/>
                <w:szCs w:val="20"/>
              </w:rPr>
              <w:t xml:space="preserve"> Rule 5-03 </w:t>
            </w:r>
            <w:r w:rsidR="00B37939" w:rsidRPr="004005A4">
              <w:rPr>
                <w:rFonts w:cs="Calibri Light"/>
                <w:sz w:val="20"/>
                <w:szCs w:val="20"/>
              </w:rPr>
              <w:t xml:space="preserve">— </w:t>
            </w:r>
            <w:r w:rsidR="00B37939" w:rsidRPr="004005A4">
              <w:rPr>
                <w:rFonts w:cs="Calibri Light"/>
                <w:b/>
                <w:sz w:val="20"/>
                <w:szCs w:val="20"/>
              </w:rPr>
              <w:t xml:space="preserve">Statements of comprehensive income </w:t>
            </w:r>
            <w:r w:rsidR="00B37939" w:rsidRPr="004005A4">
              <w:rPr>
                <w:rFonts w:cs="Calibri Light"/>
                <w:sz w:val="20"/>
                <w:szCs w:val="20"/>
              </w:rPr>
              <w:t>below.</w:t>
            </w:r>
            <w:r w:rsidR="00B37939" w:rsidRPr="004005A4">
              <w:rPr>
                <w:rFonts w:cs="Calibri Light"/>
                <w:b/>
                <w:sz w:val="20"/>
                <w:szCs w:val="20"/>
              </w:rPr>
              <w:t xml:space="preserve"> </w:t>
            </w:r>
          </w:p>
          <w:p w14:paraId="12DD2BB3" w14:textId="60009358" w:rsidR="00B47999" w:rsidRPr="004005A4" w:rsidRDefault="00B47999" w:rsidP="00D605EB">
            <w:pPr>
              <w:pStyle w:val="level1"/>
              <w:numPr>
                <w:ilvl w:val="0"/>
                <w:numId w:val="93"/>
              </w:numPr>
              <w:tabs>
                <w:tab w:val="clear" w:pos="576"/>
              </w:tabs>
              <w:spacing w:after="120" w:line="240" w:lineRule="atLeast"/>
              <w:ind w:left="230" w:hanging="230"/>
              <w:rPr>
                <w:rFonts w:cs="Calibri Light"/>
                <w:sz w:val="20"/>
                <w:szCs w:val="20"/>
              </w:rPr>
            </w:pPr>
            <w:r w:rsidRPr="004005A4">
              <w:rPr>
                <w:rFonts w:cs="Calibri Light"/>
                <w:b/>
                <w:sz w:val="20"/>
                <w:szCs w:val="20"/>
              </w:rPr>
              <w:t xml:space="preserve">Utilities </w:t>
            </w:r>
            <w:r w:rsidRPr="004005A4">
              <w:rPr>
                <w:rFonts w:cs="Calibri Light"/>
                <w:sz w:val="20"/>
                <w:szCs w:val="20"/>
              </w:rPr>
              <w:t xml:space="preserve">— If the registrant is engaged primarily in the electric, gas, water, telephone, or telegraph businesses or in holding securities of companies engaged in such businesses, it may include unaudited statements of </w:t>
            </w:r>
            <w:r w:rsidR="0006675F" w:rsidRPr="004005A4">
              <w:rPr>
                <w:rFonts w:cs="Calibri Light"/>
                <w:sz w:val="20"/>
                <w:szCs w:val="20"/>
              </w:rPr>
              <w:t xml:space="preserve">comprehensive </w:t>
            </w:r>
            <w:r w:rsidRPr="004005A4">
              <w:rPr>
                <w:rFonts w:cs="Calibri Light"/>
                <w:sz w:val="20"/>
                <w:szCs w:val="20"/>
              </w:rPr>
              <w:t>income and cash flows for the latest 12-month period in lieu of interim statements.</w:t>
            </w:r>
          </w:p>
        </w:tc>
        <w:tc>
          <w:tcPr>
            <w:tcW w:w="1209" w:type="dxa"/>
            <w:gridSpan w:val="2"/>
            <w:tcBorders>
              <w:top w:val="single" w:sz="4" w:space="0" w:color="auto"/>
              <w:bottom w:val="single" w:sz="4" w:space="0" w:color="auto"/>
            </w:tcBorders>
            <w:vAlign w:val="bottom"/>
          </w:tcPr>
          <w:p w14:paraId="49E2316B"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058EA2FA"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C0F00C6"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060D8CD1" w14:textId="77777777" w:rsidTr="00CC36C1">
        <w:trPr>
          <w:gridBefore w:val="1"/>
          <w:wBefore w:w="17" w:type="dxa"/>
        </w:trPr>
        <w:tc>
          <w:tcPr>
            <w:tcW w:w="7483" w:type="dxa"/>
            <w:gridSpan w:val="2"/>
          </w:tcPr>
          <w:p w14:paraId="159197B0" w14:textId="0325A466" w:rsidR="00B47999" w:rsidRPr="004005A4" w:rsidRDefault="00B47999" w:rsidP="00D605EB">
            <w:pPr>
              <w:pStyle w:val="level1"/>
              <w:numPr>
                <w:ilvl w:val="0"/>
                <w:numId w:val="93"/>
              </w:numPr>
              <w:tabs>
                <w:tab w:val="clear" w:pos="576"/>
              </w:tabs>
              <w:spacing w:after="120" w:line="240" w:lineRule="atLeast"/>
              <w:ind w:left="230" w:hanging="230"/>
              <w:rPr>
                <w:rFonts w:cs="Calibri Light"/>
                <w:sz w:val="20"/>
                <w:szCs w:val="20"/>
              </w:rPr>
            </w:pPr>
            <w:r w:rsidRPr="004005A4">
              <w:rPr>
                <w:rFonts w:cs="Calibri Light"/>
                <w:b/>
                <w:sz w:val="20"/>
                <w:szCs w:val="20"/>
              </w:rPr>
              <w:t xml:space="preserve">Reconciliation to prior </w:t>
            </w:r>
            <w:r w:rsidR="00E72DB4" w:rsidRPr="004005A4">
              <w:rPr>
                <w:rFonts w:cs="Calibri Light"/>
                <w:b/>
                <w:sz w:val="20"/>
                <w:szCs w:val="20"/>
              </w:rPr>
              <w:t xml:space="preserve">statements of comprehensive </w:t>
            </w:r>
            <w:r w:rsidRPr="004005A4">
              <w:rPr>
                <w:rFonts w:cs="Calibri Light"/>
                <w:b/>
                <w:sz w:val="20"/>
                <w:szCs w:val="20"/>
              </w:rPr>
              <w:t>income</w:t>
            </w:r>
            <w:r w:rsidR="00E72DB4" w:rsidRPr="004005A4">
              <w:rPr>
                <w:rFonts w:cs="Calibri Light"/>
                <w:b/>
                <w:sz w:val="20"/>
                <w:szCs w:val="20"/>
              </w:rPr>
              <w:t xml:space="preserve"> </w:t>
            </w:r>
            <w:r w:rsidRPr="004005A4">
              <w:rPr>
                <w:rFonts w:cs="Calibri Light"/>
                <w:sz w:val="20"/>
                <w:szCs w:val="20"/>
              </w:rPr>
              <w:t xml:space="preserve">— If </w:t>
            </w:r>
            <w:r w:rsidR="00E72DB4" w:rsidRPr="004005A4">
              <w:rPr>
                <w:rFonts w:cs="Calibri Light"/>
                <w:sz w:val="20"/>
                <w:szCs w:val="20"/>
              </w:rPr>
              <w:t xml:space="preserve">statements of comprehensive </w:t>
            </w:r>
            <w:r w:rsidRPr="004005A4">
              <w:rPr>
                <w:rFonts w:cs="Calibri Light"/>
                <w:sz w:val="20"/>
                <w:szCs w:val="20"/>
              </w:rPr>
              <w:t>income</w:t>
            </w:r>
            <w:r w:rsidR="00E72DB4" w:rsidRPr="004005A4">
              <w:rPr>
                <w:rFonts w:cs="Calibri Light"/>
                <w:sz w:val="20"/>
                <w:szCs w:val="20"/>
              </w:rPr>
              <w:t xml:space="preserve"> </w:t>
            </w:r>
            <w:r w:rsidRPr="004005A4">
              <w:rPr>
                <w:rFonts w:cs="Calibri Light"/>
                <w:sz w:val="20"/>
                <w:szCs w:val="20"/>
              </w:rPr>
              <w:t xml:space="preserve">include operations of a business prior to the date of acquisition, or for other reasons differ from previous reports, the statements must be </w:t>
            </w:r>
            <w:r w:rsidRPr="004005A4">
              <w:rPr>
                <w:rFonts w:cs="Calibri Light"/>
                <w:sz w:val="20"/>
                <w:szCs w:val="20"/>
              </w:rPr>
              <w:lastRenderedPageBreak/>
              <w:t>reconciled as to sales and net income, either in the statement or a note.  No reconciliations are required if they have been made in prior SEC filings or the statements have not previously been filed with the SEC or made public.</w:t>
            </w:r>
          </w:p>
        </w:tc>
        <w:tc>
          <w:tcPr>
            <w:tcW w:w="1209" w:type="dxa"/>
            <w:gridSpan w:val="2"/>
            <w:tcBorders>
              <w:top w:val="single" w:sz="4" w:space="0" w:color="auto"/>
            </w:tcBorders>
            <w:vAlign w:val="bottom"/>
          </w:tcPr>
          <w:p w14:paraId="0D74F7B5"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5B4F9A24"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7D94A8C"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13977406" w14:textId="77777777" w:rsidTr="00CC36C1">
        <w:trPr>
          <w:gridBefore w:val="1"/>
          <w:wBefore w:w="17" w:type="dxa"/>
        </w:trPr>
        <w:tc>
          <w:tcPr>
            <w:tcW w:w="7483" w:type="dxa"/>
            <w:gridSpan w:val="2"/>
          </w:tcPr>
          <w:p w14:paraId="50DFEAFE" w14:textId="08A3E8C0" w:rsidR="0006675F" w:rsidRPr="004005A4" w:rsidRDefault="00B47999" w:rsidP="00D605EB">
            <w:pPr>
              <w:pStyle w:val="level1"/>
              <w:numPr>
                <w:ilvl w:val="0"/>
                <w:numId w:val="93"/>
              </w:numPr>
              <w:tabs>
                <w:tab w:val="clear" w:pos="576"/>
              </w:tabs>
              <w:spacing w:after="120" w:line="240" w:lineRule="atLeast"/>
              <w:ind w:left="230" w:hanging="230"/>
              <w:rPr>
                <w:rFonts w:cs="Calibri Light"/>
                <w:sz w:val="20"/>
                <w:szCs w:val="20"/>
              </w:rPr>
            </w:pPr>
            <w:r w:rsidRPr="004005A4">
              <w:rPr>
                <w:rFonts w:cs="Calibri Light"/>
                <w:b/>
                <w:sz w:val="20"/>
                <w:szCs w:val="20"/>
              </w:rPr>
              <w:t xml:space="preserve">Interim statements — normal adjustments </w:t>
            </w:r>
            <w:r w:rsidRPr="004005A4">
              <w:rPr>
                <w:rFonts w:cs="Calibri Light"/>
                <w:sz w:val="20"/>
                <w:szCs w:val="20"/>
              </w:rPr>
              <w:t>— Any unaudited interim financial statements furnished should reflect all adjustments that are, in the opinion of management, necessary to a fair statement of the results for the interim periods presented.  A statement to that effect should be included. If all such adjustments are of a normal recurring nature, a statement to that effect should be made; otherwise, information should be provided describing in appropriate detail the nature and amount of any adjustments other than normal recurring adjustments entering into the determination of the results shown.</w:t>
            </w:r>
          </w:p>
        </w:tc>
        <w:tc>
          <w:tcPr>
            <w:tcW w:w="1209" w:type="dxa"/>
            <w:gridSpan w:val="2"/>
            <w:tcBorders>
              <w:top w:val="single" w:sz="4" w:space="0" w:color="auto"/>
            </w:tcBorders>
            <w:vAlign w:val="bottom"/>
          </w:tcPr>
          <w:p w14:paraId="3946ED89"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711383BF"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4B23492" w14:textId="77777777" w:rsidR="00B47999" w:rsidRPr="004005A4" w:rsidRDefault="00B47999" w:rsidP="004005A4">
            <w:pPr>
              <w:spacing w:before="120" w:after="120" w:line="240" w:lineRule="atLeast"/>
              <w:jc w:val="center"/>
              <w:rPr>
                <w:rFonts w:cs="Calibri Light"/>
                <w:b/>
                <w:sz w:val="20"/>
                <w:szCs w:val="20"/>
              </w:rPr>
            </w:pPr>
          </w:p>
        </w:tc>
      </w:tr>
      <w:tr w:rsidR="00B4424E" w:rsidRPr="004005A4" w14:paraId="33B2D510" w14:textId="77777777" w:rsidTr="00CC36C1">
        <w:trPr>
          <w:gridBefore w:val="1"/>
          <w:wBefore w:w="17" w:type="dxa"/>
        </w:trPr>
        <w:tc>
          <w:tcPr>
            <w:tcW w:w="7483" w:type="dxa"/>
            <w:gridSpan w:val="2"/>
          </w:tcPr>
          <w:p w14:paraId="3D611B6E" w14:textId="247A0471" w:rsidR="00B4424E" w:rsidRPr="004005A4" w:rsidRDefault="00B4424E" w:rsidP="00B4424E">
            <w:pPr>
              <w:pStyle w:val="standard"/>
              <w:spacing w:before="120" w:after="120" w:line="240" w:lineRule="atLeast"/>
              <w:rPr>
                <w:rFonts w:cs="Calibri Light"/>
                <w:b/>
                <w:sz w:val="20"/>
                <w:szCs w:val="20"/>
              </w:rPr>
            </w:pPr>
            <w:r w:rsidRPr="004005A4">
              <w:rPr>
                <w:rFonts w:cs="Calibri Light"/>
                <w:b/>
                <w:sz w:val="20"/>
                <w:szCs w:val="20"/>
              </w:rPr>
              <w:t>Rule 3-04 — Changes in stockholders' equity and noncontrolling interests</w:t>
            </w:r>
            <w:r w:rsidRPr="004005A4" w:rsidDel="00163440">
              <w:rPr>
                <w:rFonts w:cs="Calibri Light"/>
                <w:b/>
                <w:sz w:val="20"/>
                <w:szCs w:val="20"/>
              </w:rPr>
              <w:t xml:space="preserve"> </w:t>
            </w:r>
            <w:r w:rsidRPr="004005A4">
              <w:rPr>
                <w:rFonts w:cs="Calibri Light"/>
                <w:sz w:val="20"/>
                <w:szCs w:val="20"/>
              </w:rPr>
              <w:t>— An analysis of the changes in each caption of stockholders’ equity and noncontrolling interests presented in the balance sheets shall be given in a note or separate statement. This analysis shall be presented in the form of a reconciliation of the beginning balance to the ending balance for each period for which a statement of comprehensive income is required to be filed with all significant reconciling items described by appropriate captions with contributions from and distribution to owners shown separately.</w:t>
            </w:r>
          </w:p>
        </w:tc>
        <w:tc>
          <w:tcPr>
            <w:tcW w:w="1209" w:type="dxa"/>
            <w:gridSpan w:val="2"/>
            <w:tcBorders>
              <w:top w:val="single" w:sz="4" w:space="0" w:color="auto"/>
            </w:tcBorders>
            <w:vAlign w:val="bottom"/>
          </w:tcPr>
          <w:p w14:paraId="516610A5" w14:textId="77777777" w:rsidR="00B4424E" w:rsidRPr="004005A4" w:rsidRDefault="00B4424E" w:rsidP="004005A4">
            <w:pPr>
              <w:spacing w:before="120" w:after="120" w:line="240" w:lineRule="atLeast"/>
              <w:jc w:val="center"/>
              <w:rPr>
                <w:rFonts w:cs="Calibri Light"/>
                <w:b/>
                <w:sz w:val="20"/>
                <w:szCs w:val="20"/>
              </w:rPr>
            </w:pPr>
          </w:p>
        </w:tc>
        <w:tc>
          <w:tcPr>
            <w:tcW w:w="236" w:type="dxa"/>
            <w:gridSpan w:val="3"/>
            <w:vAlign w:val="bottom"/>
          </w:tcPr>
          <w:p w14:paraId="539960EF" w14:textId="77777777" w:rsidR="00B4424E" w:rsidRPr="004005A4" w:rsidRDefault="00B4424E"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E28863E" w14:textId="77777777" w:rsidR="00B4424E" w:rsidRPr="004005A4" w:rsidRDefault="00B4424E" w:rsidP="004005A4">
            <w:pPr>
              <w:spacing w:before="120" w:after="120" w:line="240" w:lineRule="atLeast"/>
              <w:jc w:val="center"/>
              <w:rPr>
                <w:rFonts w:cs="Calibri Light"/>
                <w:b/>
                <w:sz w:val="20"/>
                <w:szCs w:val="20"/>
              </w:rPr>
            </w:pPr>
          </w:p>
        </w:tc>
      </w:tr>
      <w:tr w:rsidR="00B4424E" w:rsidRPr="004005A4" w14:paraId="3FF685F4" w14:textId="77777777" w:rsidTr="00CC36C1">
        <w:trPr>
          <w:gridBefore w:val="1"/>
          <w:wBefore w:w="17" w:type="dxa"/>
        </w:trPr>
        <w:tc>
          <w:tcPr>
            <w:tcW w:w="7483" w:type="dxa"/>
            <w:gridSpan w:val="2"/>
          </w:tcPr>
          <w:p w14:paraId="7F837232" w14:textId="4864EC0B" w:rsidR="00B4424E" w:rsidRPr="004005A4" w:rsidRDefault="00B4424E" w:rsidP="00B4424E">
            <w:pPr>
              <w:pStyle w:val="standard"/>
              <w:spacing w:before="120" w:after="120" w:line="240" w:lineRule="atLeast"/>
              <w:rPr>
                <w:rFonts w:cs="Calibri Light"/>
                <w:b/>
                <w:sz w:val="20"/>
                <w:szCs w:val="20"/>
              </w:rPr>
            </w:pPr>
            <w:r w:rsidRPr="004005A4">
              <w:rPr>
                <w:rFonts w:cs="Calibri Light"/>
                <w:sz w:val="20"/>
                <w:szCs w:val="20"/>
              </w:rPr>
              <w:t>Also, state separately the adjustments to the balance at the beginning of the earliest period presented for items which were retroactively applied to periods prior to that period. With respect to any dividends, state the amount per share and in the aggregate for each class of shares.</w:t>
            </w:r>
          </w:p>
        </w:tc>
        <w:tc>
          <w:tcPr>
            <w:tcW w:w="1209" w:type="dxa"/>
            <w:gridSpan w:val="2"/>
            <w:tcBorders>
              <w:top w:val="single" w:sz="4" w:space="0" w:color="auto"/>
            </w:tcBorders>
            <w:vAlign w:val="bottom"/>
          </w:tcPr>
          <w:p w14:paraId="70C0F46D" w14:textId="77777777" w:rsidR="00B4424E" w:rsidRPr="004005A4" w:rsidRDefault="00B4424E" w:rsidP="004005A4">
            <w:pPr>
              <w:spacing w:before="120" w:after="120" w:line="240" w:lineRule="atLeast"/>
              <w:jc w:val="center"/>
              <w:rPr>
                <w:rFonts w:cs="Calibri Light"/>
                <w:b/>
                <w:sz w:val="20"/>
                <w:szCs w:val="20"/>
              </w:rPr>
            </w:pPr>
          </w:p>
        </w:tc>
        <w:tc>
          <w:tcPr>
            <w:tcW w:w="236" w:type="dxa"/>
            <w:gridSpan w:val="3"/>
            <w:vAlign w:val="bottom"/>
          </w:tcPr>
          <w:p w14:paraId="356DFB00" w14:textId="77777777" w:rsidR="00B4424E" w:rsidRPr="004005A4" w:rsidRDefault="00B4424E"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742FD26" w14:textId="77777777" w:rsidR="00B4424E" w:rsidRPr="004005A4" w:rsidRDefault="00B4424E" w:rsidP="004005A4">
            <w:pPr>
              <w:spacing w:before="120" w:after="120" w:line="240" w:lineRule="atLeast"/>
              <w:jc w:val="center"/>
              <w:rPr>
                <w:rFonts w:cs="Calibri Light"/>
                <w:b/>
                <w:sz w:val="20"/>
                <w:szCs w:val="20"/>
              </w:rPr>
            </w:pPr>
          </w:p>
        </w:tc>
      </w:tr>
      <w:tr w:rsidR="00B47999" w:rsidRPr="004005A4" w14:paraId="67803F9C" w14:textId="77777777" w:rsidTr="00CC36C1">
        <w:trPr>
          <w:gridBefore w:val="1"/>
          <w:wBefore w:w="17" w:type="dxa"/>
        </w:trPr>
        <w:tc>
          <w:tcPr>
            <w:tcW w:w="7483" w:type="dxa"/>
            <w:gridSpan w:val="2"/>
          </w:tcPr>
          <w:p w14:paraId="1B4003DF" w14:textId="343B8704" w:rsidR="00B47999" w:rsidRPr="004005A4" w:rsidRDefault="00883B67" w:rsidP="004005A4">
            <w:pPr>
              <w:pStyle w:val="standard"/>
              <w:spacing w:before="120" w:after="120" w:line="240" w:lineRule="atLeast"/>
              <w:rPr>
                <w:rFonts w:cs="Calibri Light"/>
                <w:sz w:val="20"/>
                <w:szCs w:val="20"/>
              </w:rPr>
            </w:pPr>
            <w:r w:rsidRPr="004005A4">
              <w:rPr>
                <w:rFonts w:cs="Calibri Light"/>
                <w:sz w:val="20"/>
                <w:szCs w:val="20"/>
              </w:rPr>
              <w:t>Provide a separate schedule in the notes to the financial statements that shows the effects of any changes in the registrant's ownership interest in a subsidiary on the equity attributable to the registrant.</w:t>
            </w:r>
          </w:p>
        </w:tc>
        <w:tc>
          <w:tcPr>
            <w:tcW w:w="1209" w:type="dxa"/>
            <w:gridSpan w:val="2"/>
            <w:tcBorders>
              <w:top w:val="single" w:sz="4" w:space="0" w:color="auto"/>
              <w:bottom w:val="single" w:sz="6" w:space="0" w:color="auto"/>
            </w:tcBorders>
            <w:vAlign w:val="bottom"/>
          </w:tcPr>
          <w:p w14:paraId="01E144DA"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3A1B1392"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3BCAA09B"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324A20DF" w14:textId="77777777" w:rsidTr="00CC36C1">
        <w:trPr>
          <w:gridBefore w:val="1"/>
          <w:wBefore w:w="17" w:type="dxa"/>
        </w:trPr>
        <w:tc>
          <w:tcPr>
            <w:tcW w:w="7483" w:type="dxa"/>
            <w:gridSpan w:val="2"/>
          </w:tcPr>
          <w:p w14:paraId="3E1533B1" w14:textId="77777777" w:rsidR="00B47999" w:rsidRPr="004005A4" w:rsidRDefault="00B47999" w:rsidP="004005A4">
            <w:pPr>
              <w:pStyle w:val="standard"/>
              <w:spacing w:before="120" w:after="120" w:line="240" w:lineRule="atLeast"/>
              <w:rPr>
                <w:rFonts w:cs="Calibri Light"/>
                <w:sz w:val="20"/>
                <w:szCs w:val="20"/>
              </w:rPr>
            </w:pPr>
            <w:r w:rsidRPr="004005A4">
              <w:rPr>
                <w:rFonts w:cs="Calibri Light"/>
                <w:b/>
                <w:sz w:val="20"/>
                <w:szCs w:val="20"/>
              </w:rPr>
              <w:t>Separate Financial Statements Required by Regulation S-X</w:t>
            </w:r>
          </w:p>
        </w:tc>
        <w:tc>
          <w:tcPr>
            <w:tcW w:w="1209" w:type="dxa"/>
            <w:gridSpan w:val="2"/>
            <w:tcBorders>
              <w:top w:val="single" w:sz="4" w:space="0" w:color="auto"/>
            </w:tcBorders>
            <w:vAlign w:val="bottom"/>
          </w:tcPr>
          <w:p w14:paraId="4E6CD5FB"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4059DF5E"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2DAE32D"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1C0EFA1B" w14:textId="77777777" w:rsidTr="00CC36C1">
        <w:trPr>
          <w:gridBefore w:val="1"/>
          <w:wBefore w:w="17" w:type="dxa"/>
        </w:trPr>
        <w:tc>
          <w:tcPr>
            <w:tcW w:w="7483" w:type="dxa"/>
            <w:gridSpan w:val="2"/>
          </w:tcPr>
          <w:p w14:paraId="60DBD796" w14:textId="76CD9C6F" w:rsidR="00B47999" w:rsidRPr="00D605EB" w:rsidRDefault="00B47999" w:rsidP="00D605EB">
            <w:pPr>
              <w:rPr>
                <w:sz w:val="20"/>
                <w:szCs w:val="20"/>
              </w:rPr>
            </w:pPr>
            <w:r w:rsidRPr="00D605EB">
              <w:rPr>
                <w:sz w:val="20"/>
                <w:szCs w:val="20"/>
              </w:rPr>
              <w:t>See Rules 3-05, 3-09, 3-10, 3-14, and 3-16.</w:t>
            </w:r>
          </w:p>
          <w:p w14:paraId="6CEA87C1" w14:textId="421727D2" w:rsidR="00B47999" w:rsidRPr="00D605EB" w:rsidRDefault="00B47999" w:rsidP="004005A4">
            <w:pPr>
              <w:pStyle w:val="Heading1"/>
              <w:shd w:val="clear" w:color="auto" w:fill="FFFFFF"/>
              <w:spacing w:before="120" w:after="120" w:line="240" w:lineRule="atLeast"/>
              <w:rPr>
                <w:rFonts w:cs="Calibri Light"/>
                <w:sz w:val="20"/>
                <w:szCs w:val="20"/>
              </w:rPr>
            </w:pPr>
            <w:r w:rsidRPr="00D605EB">
              <w:rPr>
                <w:rFonts w:cs="Calibri Light"/>
                <w:sz w:val="20"/>
                <w:szCs w:val="20"/>
              </w:rPr>
              <w:t xml:space="preserve">See SEC staff interpretations of various Regulation S-X </w:t>
            </w:r>
            <w:r w:rsidR="00264BA4">
              <w:rPr>
                <w:rFonts w:cs="Calibri Light"/>
                <w:sz w:val="20"/>
                <w:szCs w:val="20"/>
              </w:rPr>
              <w:t>Rules</w:t>
            </w:r>
            <w:r w:rsidR="00264BA4" w:rsidRPr="00D605EB">
              <w:rPr>
                <w:rFonts w:cs="Calibri Light"/>
                <w:sz w:val="20"/>
                <w:szCs w:val="20"/>
              </w:rPr>
              <w:t xml:space="preserve"> </w:t>
            </w:r>
            <w:r w:rsidRPr="00D605EB">
              <w:rPr>
                <w:rFonts w:cs="Calibri Light"/>
                <w:sz w:val="20"/>
                <w:szCs w:val="20"/>
              </w:rPr>
              <w:t xml:space="preserve">relating to separate financial statements, summarized financial statement requirements, and disclosure in SAB Topic 6-K. </w:t>
            </w:r>
          </w:p>
          <w:p w14:paraId="245AEAFF" w14:textId="2F2DBA95" w:rsidR="00865547" w:rsidRPr="00D605EB" w:rsidRDefault="00865547" w:rsidP="00D605EB">
            <w:pPr>
              <w:rPr>
                <w:sz w:val="20"/>
                <w:szCs w:val="20"/>
              </w:rPr>
            </w:pPr>
            <w:r w:rsidRPr="00D605EB">
              <w:rPr>
                <w:sz w:val="20"/>
                <w:szCs w:val="20"/>
              </w:rPr>
              <w:t xml:space="preserve">Refer to </w:t>
            </w:r>
            <w:r w:rsidR="00CC47DF">
              <w:rPr>
                <w:sz w:val="20"/>
                <w:szCs w:val="20"/>
              </w:rPr>
              <w:t xml:space="preserve">Deloitte’s </w:t>
            </w:r>
            <w:hyperlink r:id="rId39" w:history="1">
              <w:r w:rsidR="00EE505E">
                <w:rPr>
                  <w:rStyle w:val="Hyperlink"/>
                  <w:rFonts w:cs="Calibri Light"/>
                  <w:i/>
                  <w:sz w:val="20"/>
                  <w:szCs w:val="20"/>
                </w:rPr>
                <w:t>SEC Reporting Considerations for Business Acquisitions</w:t>
              </w:r>
            </w:hyperlink>
            <w:r w:rsidR="00EE505E">
              <w:rPr>
                <w:rStyle w:val="Hyperlink"/>
                <w:rFonts w:cs="Calibri Light"/>
                <w:i/>
                <w:sz w:val="20"/>
                <w:szCs w:val="20"/>
              </w:rPr>
              <w:t xml:space="preserve"> </w:t>
            </w:r>
            <w:r w:rsidR="00EE505E">
              <w:rPr>
                <w:rStyle w:val="Hyperlink"/>
                <w:rFonts w:cs="Calibri Light"/>
                <w:iCs/>
                <w:sz w:val="20"/>
                <w:szCs w:val="20"/>
              </w:rPr>
              <w:t>Roadmap</w:t>
            </w:r>
            <w:r w:rsidR="001440B9" w:rsidRPr="00D605EB">
              <w:rPr>
                <w:sz w:val="20"/>
                <w:szCs w:val="20"/>
              </w:rPr>
              <w:t>,</w:t>
            </w:r>
            <w:r w:rsidR="005C0047" w:rsidRPr="00D605EB">
              <w:rPr>
                <w:sz w:val="20"/>
                <w:szCs w:val="20"/>
              </w:rPr>
              <w:t xml:space="preserve"> </w:t>
            </w:r>
            <w:r w:rsidR="00430DE2">
              <w:rPr>
                <w:sz w:val="20"/>
                <w:szCs w:val="20"/>
              </w:rPr>
              <w:t xml:space="preserve">for the </w:t>
            </w:r>
            <w:r w:rsidRPr="00D605EB">
              <w:rPr>
                <w:sz w:val="20"/>
                <w:szCs w:val="20"/>
              </w:rPr>
              <w:t xml:space="preserve">SEC’s guidance on reporting for business acquisitions — including acquisitions of real estate operations and pro forma financial information </w:t>
            </w:r>
          </w:p>
          <w:p w14:paraId="7C66F763" w14:textId="5AA2F83F" w:rsidR="00B47999" w:rsidRPr="00D605EB" w:rsidRDefault="00B47999" w:rsidP="00D605EB">
            <w:pPr>
              <w:spacing w:before="120" w:after="120" w:line="240" w:lineRule="atLeast"/>
              <w:rPr>
                <w:sz w:val="20"/>
                <w:szCs w:val="20"/>
              </w:rPr>
            </w:pPr>
            <w:r w:rsidRPr="00D605EB">
              <w:t xml:space="preserve">See </w:t>
            </w:r>
            <w:r w:rsidRPr="00D605EB">
              <w:rPr>
                <w:sz w:val="20"/>
                <w:szCs w:val="20"/>
              </w:rPr>
              <w:t xml:space="preserve">FRR Section 213, </w:t>
            </w:r>
            <w:r w:rsidRPr="00D605EB">
              <w:rPr>
                <w:i/>
                <w:iCs/>
                <w:sz w:val="20"/>
                <w:szCs w:val="20"/>
              </w:rPr>
              <w:t>Separate Financial Statements</w:t>
            </w:r>
            <w:r w:rsidRPr="00D605EB">
              <w:rPr>
                <w:sz w:val="20"/>
                <w:szCs w:val="20"/>
              </w:rPr>
              <w:t xml:space="preserve">. </w:t>
            </w:r>
          </w:p>
          <w:p w14:paraId="152D8FF9" w14:textId="77777777" w:rsidR="00B47999" w:rsidRPr="00D605EB" w:rsidRDefault="00B47999" w:rsidP="00D605EB">
            <w:pPr>
              <w:spacing w:before="120" w:after="120" w:line="240" w:lineRule="atLeast"/>
            </w:pPr>
            <w:r w:rsidRPr="00D605EB">
              <w:rPr>
                <w:sz w:val="20"/>
                <w:szCs w:val="20"/>
              </w:rPr>
              <w:t>In registration statements in which investors may rely on a provider of an interest coverage agreement, a collateral value guarantee, or other credit assurance, audited financial statements of the provider may be required.  Unaudited summarized financial information may be sufficient in some circumstances</w:t>
            </w:r>
            <w:r w:rsidRPr="00D605EB">
              <w:t>.</w:t>
            </w:r>
          </w:p>
        </w:tc>
        <w:tc>
          <w:tcPr>
            <w:tcW w:w="1209" w:type="dxa"/>
            <w:gridSpan w:val="2"/>
            <w:tcBorders>
              <w:bottom w:val="single" w:sz="4" w:space="0" w:color="auto"/>
            </w:tcBorders>
            <w:vAlign w:val="bottom"/>
          </w:tcPr>
          <w:p w14:paraId="0FF8F271"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5C798841"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3D6D1016"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1E48DCDE" w14:textId="77777777" w:rsidTr="00CC36C1">
        <w:trPr>
          <w:gridBefore w:val="1"/>
          <w:wBefore w:w="17" w:type="dxa"/>
        </w:trPr>
        <w:tc>
          <w:tcPr>
            <w:tcW w:w="7483" w:type="dxa"/>
            <w:gridSpan w:val="2"/>
          </w:tcPr>
          <w:p w14:paraId="059D96AF" w14:textId="77777777" w:rsidR="00B47999" w:rsidRPr="004005A4" w:rsidRDefault="00B47999" w:rsidP="004005A4">
            <w:pPr>
              <w:pStyle w:val="standard"/>
              <w:spacing w:before="120" w:after="120" w:line="240" w:lineRule="atLeast"/>
              <w:rPr>
                <w:rFonts w:cs="Calibri Light"/>
                <w:sz w:val="20"/>
                <w:szCs w:val="20"/>
              </w:rPr>
            </w:pPr>
            <w:r w:rsidRPr="004005A4">
              <w:rPr>
                <w:rFonts w:cs="Calibri Light"/>
                <w:sz w:val="20"/>
                <w:szCs w:val="20"/>
              </w:rPr>
              <w:t>See SAB Topic 1-I concerning financial statements of properties securing mortgage loans.</w:t>
            </w:r>
          </w:p>
        </w:tc>
        <w:tc>
          <w:tcPr>
            <w:tcW w:w="1209" w:type="dxa"/>
            <w:gridSpan w:val="2"/>
            <w:tcBorders>
              <w:top w:val="single" w:sz="4" w:space="0" w:color="auto"/>
              <w:bottom w:val="single" w:sz="4" w:space="0" w:color="auto"/>
            </w:tcBorders>
            <w:vAlign w:val="bottom"/>
          </w:tcPr>
          <w:p w14:paraId="09AA65E2"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69134C51"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463A8A1"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744CA071" w14:textId="77777777" w:rsidTr="00CC36C1">
        <w:trPr>
          <w:gridBefore w:val="1"/>
          <w:wBefore w:w="17" w:type="dxa"/>
        </w:trPr>
        <w:tc>
          <w:tcPr>
            <w:tcW w:w="7483" w:type="dxa"/>
            <w:gridSpan w:val="2"/>
          </w:tcPr>
          <w:p w14:paraId="6C4DE2D9" w14:textId="2E2A1881" w:rsidR="00047A08" w:rsidRPr="004005A4" w:rsidRDefault="00B47999" w:rsidP="00BC2603">
            <w:pPr>
              <w:pStyle w:val="standard"/>
              <w:keepNext/>
              <w:spacing w:before="120" w:after="120" w:line="240" w:lineRule="atLeast"/>
            </w:pPr>
            <w:r w:rsidRPr="004005A4">
              <w:rPr>
                <w:rFonts w:cs="Calibri Light"/>
                <w:b/>
                <w:sz w:val="20"/>
                <w:szCs w:val="20"/>
              </w:rPr>
              <w:lastRenderedPageBreak/>
              <w:t>Rule 3-05 — Financial statements of businesses acquired or to be acquired.</w:t>
            </w:r>
            <w:r w:rsidR="008D4FF8" w:rsidRPr="004005A4">
              <w:rPr>
                <w:rFonts w:cs="Calibri Light"/>
                <w:b/>
                <w:sz w:val="20"/>
                <w:szCs w:val="20"/>
              </w:rPr>
              <w:t xml:space="preserve"> </w:t>
            </w:r>
          </w:p>
        </w:tc>
        <w:tc>
          <w:tcPr>
            <w:tcW w:w="1209" w:type="dxa"/>
            <w:gridSpan w:val="2"/>
            <w:tcBorders>
              <w:top w:val="single" w:sz="4" w:space="0" w:color="auto"/>
            </w:tcBorders>
            <w:vAlign w:val="bottom"/>
          </w:tcPr>
          <w:p w14:paraId="03049380"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619B41EE"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C3D3CA7"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23AB2CE3" w14:textId="77777777" w:rsidTr="00CC36C1">
        <w:trPr>
          <w:gridBefore w:val="1"/>
          <w:wBefore w:w="17" w:type="dxa"/>
        </w:trPr>
        <w:tc>
          <w:tcPr>
            <w:tcW w:w="7483" w:type="dxa"/>
            <w:gridSpan w:val="2"/>
          </w:tcPr>
          <w:p w14:paraId="3AB3FDB8" w14:textId="77777777" w:rsidR="00B47999" w:rsidRPr="00D605EB" w:rsidRDefault="00B47999" w:rsidP="00D605EB">
            <w:pPr>
              <w:pStyle w:val="level1"/>
              <w:tabs>
                <w:tab w:val="clear" w:pos="576"/>
              </w:tabs>
              <w:spacing w:after="120" w:line="240" w:lineRule="atLeast"/>
              <w:ind w:left="230" w:hanging="230"/>
              <w:rPr>
                <w:rFonts w:cs="Calibri Light"/>
                <w:b/>
                <w:bCs/>
                <w:sz w:val="20"/>
                <w:szCs w:val="20"/>
              </w:rPr>
            </w:pPr>
            <w:r w:rsidRPr="00D605EB">
              <w:rPr>
                <w:rFonts w:cs="Calibri Light"/>
                <w:b/>
                <w:bCs/>
                <w:sz w:val="20"/>
                <w:szCs w:val="20"/>
              </w:rPr>
              <w:t>a.</w:t>
            </w:r>
            <w:r w:rsidRPr="00D605EB">
              <w:rPr>
                <w:rFonts w:cs="Calibri Light"/>
                <w:b/>
                <w:bCs/>
                <w:sz w:val="20"/>
                <w:szCs w:val="20"/>
              </w:rPr>
              <w:tab/>
              <w:t>Financial statements required</w:t>
            </w:r>
          </w:p>
          <w:p w14:paraId="261960A0" w14:textId="13A763A7" w:rsidR="00FA5B2C" w:rsidRPr="004005A4" w:rsidRDefault="00B47999" w:rsidP="00D605EB">
            <w:pPr>
              <w:pStyle w:val="level1"/>
              <w:keepNext/>
              <w:tabs>
                <w:tab w:val="clear" w:pos="576"/>
                <w:tab w:val="clear" w:pos="1152"/>
              </w:tabs>
              <w:spacing w:after="120" w:line="240" w:lineRule="atLeast"/>
              <w:ind w:left="500" w:hanging="270"/>
              <w:rPr>
                <w:rFonts w:cs="Calibri Light"/>
                <w:sz w:val="20"/>
                <w:szCs w:val="20"/>
              </w:rPr>
            </w:pPr>
            <w:r w:rsidRPr="004005A4">
              <w:rPr>
                <w:rFonts w:cs="Calibri Light"/>
                <w:sz w:val="20"/>
                <w:szCs w:val="20"/>
              </w:rPr>
              <w:t>(1)</w:t>
            </w:r>
            <w:r w:rsidRPr="004005A4">
              <w:rPr>
                <w:rFonts w:cs="Calibri Light"/>
                <w:sz w:val="20"/>
                <w:szCs w:val="20"/>
              </w:rPr>
              <w:tab/>
              <w:t xml:space="preserve">Financial statements of businesses acquired or to be acquired must be </w:t>
            </w:r>
            <w:r w:rsidR="00237FE3" w:rsidRPr="004005A4">
              <w:rPr>
                <w:rFonts w:cs="Calibri Light"/>
                <w:sz w:val="20"/>
                <w:szCs w:val="20"/>
              </w:rPr>
              <w:t>f</w:t>
            </w:r>
            <w:r w:rsidR="00237FE3">
              <w:rPr>
                <w:rFonts w:cs="Calibri Light"/>
                <w:sz w:val="20"/>
                <w:szCs w:val="20"/>
              </w:rPr>
              <w:t>iled</w:t>
            </w:r>
            <w:r w:rsidR="00237FE3" w:rsidRPr="004005A4">
              <w:rPr>
                <w:rFonts w:cs="Calibri Light"/>
                <w:sz w:val="20"/>
                <w:szCs w:val="20"/>
              </w:rPr>
              <w:t xml:space="preserve"> </w:t>
            </w:r>
            <w:r w:rsidRPr="004005A4">
              <w:rPr>
                <w:rFonts w:cs="Calibri Light"/>
                <w:sz w:val="20"/>
                <w:szCs w:val="20"/>
              </w:rPr>
              <w:t>for the periods stated in section (b) below if</w:t>
            </w:r>
            <w:r w:rsidR="00657F60" w:rsidRPr="004005A4">
              <w:rPr>
                <w:rFonts w:cs="Calibri Light"/>
                <w:sz w:val="20"/>
                <w:szCs w:val="20"/>
              </w:rPr>
              <w:t>:</w:t>
            </w:r>
            <w:r w:rsidRPr="004005A4">
              <w:rPr>
                <w:rFonts w:cs="Calibri Light"/>
                <w:sz w:val="20"/>
                <w:szCs w:val="20"/>
              </w:rPr>
              <w:t xml:space="preserve"> </w:t>
            </w:r>
          </w:p>
          <w:p w14:paraId="30B46A50" w14:textId="1DDEB282" w:rsidR="00BF73A4" w:rsidRPr="004005A4" w:rsidRDefault="00883B67" w:rsidP="000546F9">
            <w:pPr>
              <w:pStyle w:val="level1"/>
              <w:keepNext/>
              <w:tabs>
                <w:tab w:val="clear" w:pos="576"/>
                <w:tab w:val="clear" w:pos="1152"/>
                <w:tab w:val="clear" w:pos="1728"/>
              </w:tabs>
              <w:spacing w:after="120" w:line="240" w:lineRule="atLeast"/>
              <w:ind w:left="770" w:hanging="270"/>
              <w:rPr>
                <w:rFonts w:cs="Calibri Light"/>
                <w:sz w:val="20"/>
                <w:szCs w:val="20"/>
              </w:rPr>
            </w:pPr>
            <w:r w:rsidRPr="004005A4">
              <w:rPr>
                <w:rFonts w:cs="Calibri Light"/>
                <w:sz w:val="20"/>
                <w:szCs w:val="20"/>
              </w:rPr>
              <w:t>(i)</w:t>
            </w:r>
            <w:r w:rsidR="00FA5B2C" w:rsidRPr="004005A4">
              <w:rPr>
                <w:rFonts w:cs="Calibri Light"/>
                <w:sz w:val="20"/>
                <w:szCs w:val="20"/>
              </w:rPr>
              <w:tab/>
            </w:r>
            <w:r w:rsidR="00081544" w:rsidRPr="004005A4">
              <w:rPr>
                <w:rFonts w:cs="Calibri Light"/>
                <w:sz w:val="20"/>
                <w:szCs w:val="20"/>
              </w:rPr>
              <w:t>During the most recent fiscal year or subsequent interim period for which a balance sheet is required by S-X Rule 3-01, a</w:t>
            </w:r>
            <w:r w:rsidRPr="004005A4">
              <w:rPr>
                <w:rFonts w:cs="Calibri Light"/>
                <w:sz w:val="20"/>
                <w:szCs w:val="20"/>
              </w:rPr>
              <w:t xml:space="preserve"> business </w:t>
            </w:r>
            <w:r w:rsidR="00081544" w:rsidRPr="004005A4">
              <w:rPr>
                <w:rFonts w:cs="Calibri Light"/>
                <w:sz w:val="20"/>
                <w:szCs w:val="20"/>
              </w:rPr>
              <w:t xml:space="preserve">acquisition </w:t>
            </w:r>
            <w:r w:rsidRPr="004005A4">
              <w:rPr>
                <w:rFonts w:cs="Calibri Light"/>
                <w:sz w:val="20"/>
                <w:szCs w:val="20"/>
              </w:rPr>
              <w:t>has occurred (this encompasses the acquisition of an interest in a business accounted for by the equity method)</w:t>
            </w:r>
            <w:r w:rsidR="008D4FF8" w:rsidRPr="004005A4">
              <w:rPr>
                <w:rFonts w:cs="Calibri Light"/>
                <w:sz w:val="20"/>
                <w:szCs w:val="20"/>
              </w:rPr>
              <w:t xml:space="preserve">.  </w:t>
            </w:r>
          </w:p>
        </w:tc>
        <w:tc>
          <w:tcPr>
            <w:tcW w:w="1209" w:type="dxa"/>
            <w:gridSpan w:val="2"/>
            <w:tcBorders>
              <w:bottom w:val="single" w:sz="4" w:space="0" w:color="auto"/>
            </w:tcBorders>
            <w:vAlign w:val="bottom"/>
          </w:tcPr>
          <w:p w14:paraId="145F5DA0"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29977F72"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3400F45C" w14:textId="77777777" w:rsidR="00B47999" w:rsidRPr="004005A4" w:rsidRDefault="00B47999" w:rsidP="004005A4">
            <w:pPr>
              <w:spacing w:before="120" w:after="120" w:line="240" w:lineRule="atLeast"/>
              <w:jc w:val="center"/>
              <w:rPr>
                <w:rFonts w:cs="Calibri Light"/>
                <w:b/>
                <w:sz w:val="20"/>
                <w:szCs w:val="20"/>
              </w:rPr>
            </w:pPr>
          </w:p>
        </w:tc>
      </w:tr>
      <w:tr w:rsidR="000546F9" w:rsidRPr="004005A4" w14:paraId="0B2A56C1" w14:textId="77777777" w:rsidTr="00CC36C1">
        <w:trPr>
          <w:gridBefore w:val="1"/>
          <w:wBefore w:w="17" w:type="dxa"/>
        </w:trPr>
        <w:tc>
          <w:tcPr>
            <w:tcW w:w="7483" w:type="dxa"/>
            <w:gridSpan w:val="2"/>
          </w:tcPr>
          <w:p w14:paraId="2E1E4544" w14:textId="176C7339" w:rsidR="000546F9" w:rsidRPr="00D605EB" w:rsidRDefault="000546F9" w:rsidP="000546F9">
            <w:pPr>
              <w:pStyle w:val="level1"/>
              <w:keepNext/>
              <w:tabs>
                <w:tab w:val="clear" w:pos="576"/>
                <w:tab w:val="clear" w:pos="1152"/>
                <w:tab w:val="clear" w:pos="1728"/>
              </w:tabs>
              <w:spacing w:after="120" w:line="240" w:lineRule="atLeast"/>
              <w:ind w:left="770" w:hanging="270"/>
              <w:rPr>
                <w:rFonts w:cs="Calibri Light"/>
                <w:b/>
                <w:bCs/>
                <w:sz w:val="20"/>
                <w:szCs w:val="20"/>
              </w:rPr>
            </w:pPr>
            <w:r w:rsidRPr="004005A4">
              <w:rPr>
                <w:rFonts w:cs="Calibri Light"/>
                <w:sz w:val="20"/>
                <w:szCs w:val="20"/>
              </w:rPr>
              <w:t>(ii)</w:t>
            </w:r>
            <w:r w:rsidRPr="004005A4">
              <w:rPr>
                <w:rFonts w:cs="Calibri Light"/>
                <w:sz w:val="20"/>
                <w:szCs w:val="20"/>
              </w:rPr>
              <w:tab/>
              <w:t>After the most recent balance sheet filed pursuant to S-X Rule 3-01, consummation of a business acquisition has occurred or is probable.</w:t>
            </w:r>
          </w:p>
        </w:tc>
        <w:tc>
          <w:tcPr>
            <w:tcW w:w="1209" w:type="dxa"/>
            <w:gridSpan w:val="2"/>
            <w:tcBorders>
              <w:bottom w:val="single" w:sz="4" w:space="0" w:color="auto"/>
            </w:tcBorders>
            <w:vAlign w:val="bottom"/>
          </w:tcPr>
          <w:p w14:paraId="5A540177" w14:textId="77777777" w:rsidR="000546F9" w:rsidRPr="004005A4" w:rsidRDefault="000546F9" w:rsidP="004005A4">
            <w:pPr>
              <w:spacing w:before="120" w:after="120" w:line="240" w:lineRule="atLeast"/>
              <w:jc w:val="center"/>
              <w:rPr>
                <w:rFonts w:cs="Calibri Light"/>
                <w:b/>
                <w:sz w:val="20"/>
                <w:szCs w:val="20"/>
              </w:rPr>
            </w:pPr>
          </w:p>
        </w:tc>
        <w:tc>
          <w:tcPr>
            <w:tcW w:w="236" w:type="dxa"/>
            <w:gridSpan w:val="3"/>
            <w:vAlign w:val="bottom"/>
          </w:tcPr>
          <w:p w14:paraId="63C9222C" w14:textId="77777777" w:rsidR="000546F9" w:rsidRPr="004005A4" w:rsidRDefault="000546F9"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3630DA10" w14:textId="77777777" w:rsidR="000546F9" w:rsidRPr="004005A4" w:rsidRDefault="000546F9" w:rsidP="004005A4">
            <w:pPr>
              <w:spacing w:before="120" w:after="120" w:line="240" w:lineRule="atLeast"/>
              <w:jc w:val="center"/>
              <w:rPr>
                <w:rFonts w:cs="Calibri Light"/>
                <w:b/>
                <w:sz w:val="20"/>
                <w:szCs w:val="20"/>
              </w:rPr>
            </w:pPr>
          </w:p>
        </w:tc>
      </w:tr>
      <w:tr w:rsidR="00B47999" w:rsidRPr="004005A4" w14:paraId="7F768CDA" w14:textId="77777777" w:rsidTr="00CC36C1">
        <w:trPr>
          <w:gridBefore w:val="1"/>
          <w:wBefore w:w="17" w:type="dxa"/>
        </w:trPr>
        <w:tc>
          <w:tcPr>
            <w:tcW w:w="7483" w:type="dxa"/>
            <w:gridSpan w:val="2"/>
          </w:tcPr>
          <w:p w14:paraId="78E5D488" w14:textId="5ECF14F8" w:rsidR="00B47999" w:rsidRPr="004005A4" w:rsidRDefault="00B47999" w:rsidP="00134418">
            <w:pPr>
              <w:pStyle w:val="level1"/>
              <w:tabs>
                <w:tab w:val="clear" w:pos="576"/>
                <w:tab w:val="clear" w:pos="1152"/>
              </w:tabs>
              <w:spacing w:after="120" w:line="240" w:lineRule="atLeast"/>
              <w:ind w:left="504" w:hanging="274"/>
              <w:rPr>
                <w:rFonts w:cs="Calibri Light"/>
                <w:sz w:val="20"/>
                <w:szCs w:val="20"/>
              </w:rPr>
            </w:pPr>
            <w:r w:rsidRPr="004005A4">
              <w:rPr>
                <w:rFonts w:cs="Calibri Light"/>
                <w:sz w:val="20"/>
                <w:szCs w:val="20"/>
              </w:rPr>
              <w:t>(</w:t>
            </w:r>
            <w:r w:rsidRPr="004005A4">
              <w:rPr>
                <w:rStyle w:val="level2Char"/>
                <w:rFonts w:cs="Calibri Light"/>
                <w:sz w:val="20"/>
                <w:szCs w:val="20"/>
              </w:rPr>
              <w:t>2</w:t>
            </w:r>
            <w:r w:rsidRPr="004005A4">
              <w:rPr>
                <w:rFonts w:cs="Calibri Light"/>
                <w:sz w:val="20"/>
                <w:szCs w:val="20"/>
              </w:rPr>
              <w:t>)</w:t>
            </w:r>
            <w:r w:rsidRPr="004005A4">
              <w:rPr>
                <w:rFonts w:cs="Calibri Light"/>
                <w:sz w:val="20"/>
                <w:szCs w:val="20"/>
              </w:rPr>
              <w:tab/>
              <w:t xml:space="preserve">To determine whether Rule 3-05 applies, the determination of whether a “business” has been acquired should be made. See </w:t>
            </w:r>
            <w:r w:rsidR="000958D0" w:rsidRPr="004005A4">
              <w:rPr>
                <w:rFonts w:cs="Calibri Light"/>
                <w:sz w:val="20"/>
                <w:szCs w:val="20"/>
              </w:rPr>
              <w:t>S-X</w:t>
            </w:r>
            <w:r w:rsidRPr="004005A4">
              <w:rPr>
                <w:rFonts w:cs="Calibri Light"/>
                <w:sz w:val="20"/>
                <w:szCs w:val="20"/>
              </w:rPr>
              <w:t xml:space="preserve"> Rule 11-01(d).</w:t>
            </w:r>
          </w:p>
        </w:tc>
        <w:tc>
          <w:tcPr>
            <w:tcW w:w="1209" w:type="dxa"/>
            <w:gridSpan w:val="2"/>
            <w:tcBorders>
              <w:top w:val="single" w:sz="4" w:space="0" w:color="auto"/>
            </w:tcBorders>
            <w:vAlign w:val="bottom"/>
          </w:tcPr>
          <w:p w14:paraId="24175DF8"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2F7CB09C"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D902F61"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35D081C8" w14:textId="77777777" w:rsidTr="00CC36C1">
        <w:trPr>
          <w:gridBefore w:val="1"/>
          <w:wBefore w:w="17" w:type="dxa"/>
        </w:trPr>
        <w:tc>
          <w:tcPr>
            <w:tcW w:w="7483" w:type="dxa"/>
            <w:gridSpan w:val="2"/>
          </w:tcPr>
          <w:p w14:paraId="020687A0" w14:textId="7F2B2288" w:rsidR="00B47999" w:rsidRPr="004005A4" w:rsidRDefault="00B47999" w:rsidP="00134418">
            <w:pPr>
              <w:pStyle w:val="level1"/>
              <w:tabs>
                <w:tab w:val="clear" w:pos="576"/>
                <w:tab w:val="clear" w:pos="1152"/>
              </w:tabs>
              <w:spacing w:after="120" w:line="240" w:lineRule="atLeast"/>
              <w:ind w:left="504" w:hanging="274"/>
              <w:rPr>
                <w:rFonts w:cs="Calibri Light"/>
                <w:sz w:val="20"/>
                <w:szCs w:val="20"/>
              </w:rPr>
            </w:pPr>
            <w:r w:rsidRPr="004005A4">
              <w:rPr>
                <w:rFonts w:cs="Calibri Light"/>
                <w:sz w:val="20"/>
                <w:szCs w:val="20"/>
              </w:rPr>
              <w:t>(3)</w:t>
            </w:r>
            <w:r w:rsidRPr="004005A4">
              <w:rPr>
                <w:rFonts w:cs="Calibri Light"/>
                <w:sz w:val="20"/>
                <w:szCs w:val="20"/>
              </w:rPr>
              <w:tab/>
              <w:t xml:space="preserve">Acquisitions of a group of related businesses that are probable or that have occurred </w:t>
            </w:r>
            <w:r w:rsidR="00714A01" w:rsidRPr="004005A4">
              <w:rPr>
                <w:rFonts w:cs="Calibri Light"/>
                <w:sz w:val="20"/>
                <w:szCs w:val="20"/>
              </w:rPr>
              <w:t xml:space="preserve">during the most recent fiscal year or subsequent interim period </w:t>
            </w:r>
            <w:r w:rsidRPr="004005A4">
              <w:rPr>
                <w:rFonts w:cs="Calibri Light"/>
                <w:sz w:val="20"/>
                <w:szCs w:val="20"/>
              </w:rPr>
              <w:t xml:space="preserve">for which audited financial statements of the registrant have been filed should be treated as if they are a single business </w:t>
            </w:r>
            <w:r w:rsidR="004B31E9" w:rsidRPr="004005A4">
              <w:rPr>
                <w:rFonts w:cs="Calibri Light"/>
                <w:sz w:val="20"/>
                <w:szCs w:val="20"/>
              </w:rPr>
              <w:t>acquisition</w:t>
            </w:r>
            <w:r w:rsidRPr="004005A4">
              <w:rPr>
                <w:rFonts w:cs="Calibri Light"/>
                <w:sz w:val="20"/>
                <w:szCs w:val="20"/>
              </w:rPr>
              <w:t>.</w:t>
            </w:r>
          </w:p>
        </w:tc>
        <w:tc>
          <w:tcPr>
            <w:tcW w:w="1209" w:type="dxa"/>
            <w:gridSpan w:val="2"/>
            <w:tcBorders>
              <w:top w:val="single" w:sz="6" w:space="0" w:color="auto"/>
            </w:tcBorders>
            <w:vAlign w:val="bottom"/>
          </w:tcPr>
          <w:p w14:paraId="4F8DC57D"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0CDE2761"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41996BFC"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55C4A1EB" w14:textId="77777777" w:rsidTr="00CC36C1">
        <w:trPr>
          <w:gridBefore w:val="1"/>
          <w:wBefore w:w="17" w:type="dxa"/>
        </w:trPr>
        <w:tc>
          <w:tcPr>
            <w:tcW w:w="7483" w:type="dxa"/>
            <w:gridSpan w:val="2"/>
          </w:tcPr>
          <w:p w14:paraId="1B0FAA54" w14:textId="77777777" w:rsidR="00B47999" w:rsidRPr="004005A4" w:rsidRDefault="00B47999" w:rsidP="00134418">
            <w:pPr>
              <w:pStyle w:val="level1"/>
              <w:tabs>
                <w:tab w:val="clear" w:pos="576"/>
                <w:tab w:val="clear" w:pos="1152"/>
                <w:tab w:val="clear" w:pos="1728"/>
              </w:tabs>
              <w:spacing w:after="120" w:line="240" w:lineRule="atLeast"/>
              <w:ind w:left="778" w:hanging="274"/>
              <w:rPr>
                <w:rFonts w:cs="Calibri Light"/>
                <w:sz w:val="20"/>
                <w:szCs w:val="20"/>
              </w:rPr>
            </w:pPr>
            <w:r w:rsidRPr="004005A4">
              <w:rPr>
                <w:rFonts w:cs="Calibri Light"/>
                <w:sz w:val="20"/>
                <w:szCs w:val="20"/>
              </w:rPr>
              <w:t>(i)</w:t>
            </w:r>
            <w:r w:rsidRPr="004005A4">
              <w:rPr>
                <w:rFonts w:cs="Calibri Light"/>
                <w:sz w:val="20"/>
                <w:szCs w:val="20"/>
              </w:rPr>
              <w:tab/>
              <w:t>The required financial statements of related businesses may be presented on a combined basis for any periods that are under common control or management.</w:t>
            </w:r>
          </w:p>
        </w:tc>
        <w:tc>
          <w:tcPr>
            <w:tcW w:w="1209" w:type="dxa"/>
            <w:gridSpan w:val="2"/>
            <w:tcBorders>
              <w:bottom w:val="single" w:sz="4" w:space="0" w:color="auto"/>
            </w:tcBorders>
            <w:vAlign w:val="bottom"/>
          </w:tcPr>
          <w:p w14:paraId="430615BB"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5B7C9022"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54B24317"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7B7150E2" w14:textId="77777777" w:rsidTr="00CC36C1">
        <w:trPr>
          <w:gridBefore w:val="1"/>
          <w:wBefore w:w="17" w:type="dxa"/>
        </w:trPr>
        <w:tc>
          <w:tcPr>
            <w:tcW w:w="7483" w:type="dxa"/>
            <w:gridSpan w:val="2"/>
          </w:tcPr>
          <w:p w14:paraId="7384A908" w14:textId="6C61ABD5" w:rsidR="00B47999" w:rsidRPr="004005A4" w:rsidRDefault="532B6134" w:rsidP="0003090F">
            <w:pPr>
              <w:pStyle w:val="level1"/>
              <w:tabs>
                <w:tab w:val="clear" w:pos="576"/>
                <w:tab w:val="clear" w:pos="1152"/>
                <w:tab w:val="clear" w:pos="1728"/>
              </w:tabs>
              <w:spacing w:after="120" w:line="240" w:lineRule="atLeast"/>
              <w:ind w:left="778" w:hanging="274"/>
            </w:pPr>
            <w:r w:rsidRPr="548EBB82">
              <w:rPr>
                <w:rFonts w:cs="Calibri Light"/>
                <w:sz w:val="20"/>
                <w:szCs w:val="20"/>
              </w:rPr>
              <w:t>(ii)</w:t>
            </w:r>
            <w:r w:rsidR="00B47999">
              <w:tab/>
            </w:r>
            <w:r w:rsidRPr="548EBB82">
              <w:rPr>
                <w:rFonts w:cs="Calibri Light"/>
                <w:sz w:val="20"/>
                <w:szCs w:val="20"/>
              </w:rPr>
              <w:t>Businesses should be deemed to be related if (a) they are under common control or management, (b) the acquisition of one business is conditional on the acquisition of each other business, or (c) each acquisition is conditioned on a single common event.</w:t>
            </w:r>
          </w:p>
        </w:tc>
        <w:tc>
          <w:tcPr>
            <w:tcW w:w="1209" w:type="dxa"/>
            <w:gridSpan w:val="2"/>
            <w:tcBorders>
              <w:top w:val="single" w:sz="4" w:space="0" w:color="auto"/>
            </w:tcBorders>
            <w:vAlign w:val="bottom"/>
          </w:tcPr>
          <w:p w14:paraId="435590FE"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44A82821"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2185B40" w14:textId="77777777" w:rsidR="00B47999" w:rsidRPr="004005A4" w:rsidRDefault="00B47999" w:rsidP="004005A4">
            <w:pPr>
              <w:spacing w:before="120" w:after="120" w:line="240" w:lineRule="atLeast"/>
              <w:jc w:val="center"/>
              <w:rPr>
                <w:rFonts w:cs="Calibri Light"/>
                <w:b/>
                <w:sz w:val="20"/>
                <w:szCs w:val="20"/>
              </w:rPr>
            </w:pPr>
          </w:p>
        </w:tc>
      </w:tr>
      <w:tr w:rsidR="0003090F" w:rsidRPr="004005A4" w14:paraId="04810A4E" w14:textId="77777777" w:rsidTr="00CC36C1">
        <w:trPr>
          <w:gridBefore w:val="1"/>
          <w:wBefore w:w="17" w:type="dxa"/>
        </w:trPr>
        <w:tc>
          <w:tcPr>
            <w:tcW w:w="7483" w:type="dxa"/>
            <w:gridSpan w:val="2"/>
          </w:tcPr>
          <w:p w14:paraId="014E5929" w14:textId="0ADEC3CA" w:rsidR="0003090F" w:rsidRPr="0003090F" w:rsidRDefault="0003090F" w:rsidP="0003090F">
            <w:pPr>
              <w:pStyle w:val="standard"/>
              <w:keepNext/>
              <w:spacing w:before="120" w:after="120" w:line="240" w:lineRule="atLeast"/>
              <w:ind w:left="507" w:hanging="270"/>
              <w:rPr>
                <w:rFonts w:cs="Calibri Light"/>
                <w:color w:val="auto"/>
                <w:sz w:val="20"/>
                <w:szCs w:val="20"/>
              </w:rPr>
            </w:pPr>
            <w:r w:rsidRPr="004005A4">
              <w:rPr>
                <w:rFonts w:cs="Calibri Light"/>
                <w:sz w:val="20"/>
                <w:szCs w:val="20"/>
              </w:rPr>
              <w:t>(</w:t>
            </w:r>
            <w:r>
              <w:rPr>
                <w:rFonts w:cs="Calibri Light"/>
                <w:sz w:val="20"/>
                <w:szCs w:val="20"/>
              </w:rPr>
              <w:t>4</w:t>
            </w:r>
            <w:r w:rsidRPr="004005A4">
              <w:rPr>
                <w:rFonts w:cs="Calibri Light"/>
                <w:sz w:val="20"/>
                <w:szCs w:val="20"/>
              </w:rPr>
              <w:t>)</w:t>
            </w:r>
            <w:r w:rsidRPr="004005A4">
              <w:rPr>
                <w:rFonts w:cs="Calibri Light"/>
                <w:sz w:val="20"/>
                <w:szCs w:val="20"/>
              </w:rPr>
              <w:tab/>
            </w:r>
            <w:r w:rsidRPr="0003090F">
              <w:rPr>
                <w:rFonts w:eastAsia="Calibri Light" w:cs="Calibri Light"/>
                <w:color w:val="auto"/>
                <w:sz w:val="20"/>
                <w:szCs w:val="20"/>
              </w:rPr>
              <w:t>This section does not apply to a real estate operation subject to S-X Rule 3-14 or a business which is totally held by the registrant prior to consummation of the transaction</w:t>
            </w:r>
            <w:r w:rsidR="0047433F">
              <w:rPr>
                <w:rFonts w:eastAsia="Calibri Light" w:cs="Calibri Light"/>
                <w:color w:val="auto"/>
                <w:sz w:val="20"/>
                <w:szCs w:val="20"/>
              </w:rPr>
              <w:t>.</w:t>
            </w:r>
          </w:p>
        </w:tc>
        <w:tc>
          <w:tcPr>
            <w:tcW w:w="1209" w:type="dxa"/>
            <w:gridSpan w:val="2"/>
            <w:tcBorders>
              <w:top w:val="single" w:sz="4" w:space="0" w:color="auto"/>
            </w:tcBorders>
            <w:vAlign w:val="bottom"/>
          </w:tcPr>
          <w:p w14:paraId="35BF188B" w14:textId="77777777" w:rsidR="0003090F" w:rsidRPr="004005A4" w:rsidRDefault="0003090F" w:rsidP="004005A4">
            <w:pPr>
              <w:spacing w:before="120" w:after="120" w:line="240" w:lineRule="atLeast"/>
              <w:jc w:val="center"/>
              <w:rPr>
                <w:rFonts w:cs="Calibri Light"/>
                <w:b/>
                <w:sz w:val="20"/>
                <w:szCs w:val="20"/>
              </w:rPr>
            </w:pPr>
          </w:p>
        </w:tc>
        <w:tc>
          <w:tcPr>
            <w:tcW w:w="236" w:type="dxa"/>
            <w:gridSpan w:val="3"/>
            <w:vAlign w:val="bottom"/>
          </w:tcPr>
          <w:p w14:paraId="7F1D4B22" w14:textId="77777777" w:rsidR="0003090F" w:rsidRPr="004005A4" w:rsidRDefault="0003090F"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1D85D53" w14:textId="77777777" w:rsidR="0003090F" w:rsidRPr="004005A4" w:rsidRDefault="0003090F" w:rsidP="004005A4">
            <w:pPr>
              <w:spacing w:before="120" w:after="120" w:line="240" w:lineRule="atLeast"/>
              <w:jc w:val="center"/>
              <w:rPr>
                <w:rFonts w:cs="Calibri Light"/>
                <w:b/>
                <w:sz w:val="20"/>
                <w:szCs w:val="20"/>
              </w:rPr>
            </w:pPr>
          </w:p>
        </w:tc>
      </w:tr>
      <w:tr w:rsidR="00B47999" w:rsidRPr="004005A4" w14:paraId="593C5C0A" w14:textId="77777777" w:rsidTr="00CC36C1">
        <w:trPr>
          <w:gridBefore w:val="1"/>
          <w:wBefore w:w="17" w:type="dxa"/>
        </w:trPr>
        <w:tc>
          <w:tcPr>
            <w:tcW w:w="7483" w:type="dxa"/>
            <w:gridSpan w:val="2"/>
          </w:tcPr>
          <w:p w14:paraId="666356B4" w14:textId="77777777" w:rsidR="00B47999" w:rsidRPr="004005A4" w:rsidRDefault="00B47999" w:rsidP="001E152E">
            <w:pPr>
              <w:pStyle w:val="standard"/>
              <w:keepNext/>
              <w:spacing w:before="120" w:after="120" w:line="240" w:lineRule="atLeast"/>
              <w:ind w:left="232" w:hanging="232"/>
              <w:rPr>
                <w:rFonts w:cs="Calibri Light"/>
                <w:sz w:val="20"/>
                <w:szCs w:val="20"/>
              </w:rPr>
            </w:pPr>
            <w:r w:rsidRPr="004005A4">
              <w:rPr>
                <w:rFonts w:cs="Calibri Light"/>
                <w:sz w:val="20"/>
                <w:szCs w:val="20"/>
              </w:rPr>
              <w:t>b.</w:t>
            </w:r>
            <w:r w:rsidRPr="004005A4">
              <w:rPr>
                <w:rFonts w:cs="Calibri Light"/>
                <w:sz w:val="20"/>
                <w:szCs w:val="20"/>
              </w:rPr>
              <w:tab/>
            </w:r>
            <w:r w:rsidRPr="004005A4">
              <w:rPr>
                <w:rFonts w:cs="Calibri Light"/>
                <w:b/>
                <w:sz w:val="20"/>
                <w:szCs w:val="20"/>
              </w:rPr>
              <w:t>Periods to be presented</w:t>
            </w:r>
          </w:p>
        </w:tc>
        <w:tc>
          <w:tcPr>
            <w:tcW w:w="1209" w:type="dxa"/>
            <w:gridSpan w:val="2"/>
            <w:tcBorders>
              <w:top w:val="single" w:sz="4" w:space="0" w:color="auto"/>
            </w:tcBorders>
            <w:vAlign w:val="bottom"/>
          </w:tcPr>
          <w:p w14:paraId="0C0223D1"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4924B608"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0683816"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52EFD42C" w14:textId="77777777" w:rsidTr="00CC36C1">
        <w:trPr>
          <w:gridBefore w:val="1"/>
          <w:wBefore w:w="17" w:type="dxa"/>
        </w:trPr>
        <w:tc>
          <w:tcPr>
            <w:tcW w:w="7483" w:type="dxa"/>
            <w:gridSpan w:val="2"/>
          </w:tcPr>
          <w:p w14:paraId="7BA3C060" w14:textId="21E08226" w:rsidR="00DC5F05" w:rsidRPr="004005A4" w:rsidRDefault="00B47999" w:rsidP="004646A6">
            <w:pPr>
              <w:pStyle w:val="level1"/>
              <w:numPr>
                <w:ilvl w:val="0"/>
                <w:numId w:val="134"/>
              </w:numPr>
              <w:tabs>
                <w:tab w:val="clear" w:pos="576"/>
                <w:tab w:val="clear" w:pos="1152"/>
              </w:tabs>
              <w:spacing w:after="120" w:line="240" w:lineRule="atLeast"/>
              <w:rPr>
                <w:rFonts w:cs="Calibri Light"/>
                <w:sz w:val="20"/>
                <w:szCs w:val="20"/>
              </w:rPr>
            </w:pPr>
            <w:r w:rsidRPr="004005A4">
              <w:rPr>
                <w:rFonts w:cs="Calibri Light"/>
                <w:sz w:val="20"/>
                <w:szCs w:val="20"/>
              </w:rPr>
              <w:t xml:space="preserve">If </w:t>
            </w:r>
            <w:r w:rsidR="004B272B">
              <w:rPr>
                <w:rFonts w:cs="Calibri Light"/>
                <w:sz w:val="20"/>
                <w:szCs w:val="20"/>
              </w:rPr>
              <w:t xml:space="preserve">registering an offering of </w:t>
            </w:r>
            <w:r w:rsidRPr="004005A4">
              <w:rPr>
                <w:rFonts w:cs="Calibri Light"/>
                <w:sz w:val="20"/>
                <w:szCs w:val="20"/>
              </w:rPr>
              <w:t>securities to be offered to the security holders of the business to be acquired</w:t>
            </w:r>
            <w:r w:rsidR="004B272B">
              <w:rPr>
                <w:rFonts w:cs="Calibri Light"/>
                <w:sz w:val="20"/>
                <w:szCs w:val="20"/>
              </w:rPr>
              <w:t>, then</w:t>
            </w:r>
            <w:r w:rsidR="00B3627B">
              <w:rPr>
                <w:rFonts w:cs="Calibri Light"/>
                <w:sz w:val="20"/>
                <w:szCs w:val="20"/>
              </w:rPr>
              <w:t>,</w:t>
            </w:r>
            <w:r w:rsidRPr="004005A4">
              <w:rPr>
                <w:rFonts w:cs="Calibri Light"/>
                <w:sz w:val="20"/>
                <w:szCs w:val="20"/>
              </w:rPr>
              <w:t xml:space="preserve"> the financial statements </w:t>
            </w:r>
            <w:r w:rsidR="00B3627B">
              <w:rPr>
                <w:rFonts w:cs="Calibri Light"/>
                <w:sz w:val="20"/>
                <w:szCs w:val="20"/>
              </w:rPr>
              <w:t>specified in</w:t>
            </w:r>
            <w:r w:rsidRPr="004005A4">
              <w:rPr>
                <w:rFonts w:cs="Calibri Light"/>
                <w:sz w:val="20"/>
                <w:szCs w:val="20"/>
              </w:rPr>
              <w:t xml:space="preserve"> </w:t>
            </w:r>
            <w:r w:rsidR="000958D0" w:rsidRPr="004005A4">
              <w:rPr>
                <w:rFonts w:cs="Calibri Light"/>
                <w:sz w:val="20"/>
                <w:szCs w:val="20"/>
              </w:rPr>
              <w:t>S-X</w:t>
            </w:r>
            <w:r w:rsidRPr="004005A4">
              <w:rPr>
                <w:rFonts w:cs="Calibri Light"/>
                <w:sz w:val="20"/>
                <w:szCs w:val="20"/>
              </w:rPr>
              <w:t xml:space="preserve"> Rules 3-01 and 3-02 must be </w:t>
            </w:r>
            <w:r w:rsidR="009B308F">
              <w:rPr>
                <w:rFonts w:cs="Calibri Light"/>
                <w:sz w:val="20"/>
                <w:szCs w:val="20"/>
              </w:rPr>
              <w:t xml:space="preserve">filed </w:t>
            </w:r>
            <w:r w:rsidRPr="004005A4">
              <w:rPr>
                <w:rFonts w:cs="Calibri Light"/>
                <w:sz w:val="20"/>
                <w:szCs w:val="20"/>
              </w:rPr>
              <w:t>for the business to be acquired (except as otherwise provided for in filings on Form N-14, S-4, or F-4).</w:t>
            </w:r>
            <w:r w:rsidR="00714A01" w:rsidRPr="004005A4">
              <w:rPr>
                <w:rFonts w:cs="Calibri Light"/>
                <w:sz w:val="20"/>
                <w:szCs w:val="20"/>
              </w:rPr>
              <w:t xml:space="preserve"> Refer to Proxy and S-4 requirements in Financial Reporting Manual section 1140 and 2200</w:t>
            </w:r>
            <w:r w:rsidR="006A5789">
              <w:rPr>
                <w:rFonts w:cs="Calibri Light"/>
                <w:sz w:val="20"/>
                <w:szCs w:val="20"/>
              </w:rPr>
              <w:t>.</w:t>
            </w:r>
          </w:p>
        </w:tc>
        <w:tc>
          <w:tcPr>
            <w:tcW w:w="1209" w:type="dxa"/>
            <w:gridSpan w:val="2"/>
            <w:tcBorders>
              <w:bottom w:val="single" w:sz="4" w:space="0" w:color="auto"/>
            </w:tcBorders>
            <w:vAlign w:val="bottom"/>
          </w:tcPr>
          <w:p w14:paraId="54180D6C"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39C7CD77"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412210EB" w14:textId="77777777" w:rsidR="00B47999" w:rsidRPr="004005A4" w:rsidRDefault="00B47999" w:rsidP="004005A4">
            <w:pPr>
              <w:spacing w:before="120" w:after="120" w:line="240" w:lineRule="atLeast"/>
              <w:jc w:val="center"/>
              <w:rPr>
                <w:rFonts w:cs="Calibri Light"/>
                <w:b/>
                <w:sz w:val="20"/>
                <w:szCs w:val="20"/>
              </w:rPr>
            </w:pPr>
          </w:p>
        </w:tc>
      </w:tr>
      <w:tr w:rsidR="007A17AE" w:rsidRPr="004005A4" w14:paraId="49FF4B49" w14:textId="77777777" w:rsidTr="00CC36C1">
        <w:trPr>
          <w:gridBefore w:val="1"/>
          <w:wBefore w:w="17" w:type="dxa"/>
        </w:trPr>
        <w:tc>
          <w:tcPr>
            <w:tcW w:w="7483" w:type="dxa"/>
            <w:gridSpan w:val="2"/>
          </w:tcPr>
          <w:p w14:paraId="5BD24EA1" w14:textId="230862C5" w:rsidR="007A17AE" w:rsidRPr="004005A4" w:rsidRDefault="007A17AE" w:rsidP="007A17AE">
            <w:pPr>
              <w:pStyle w:val="level1"/>
              <w:tabs>
                <w:tab w:val="clear" w:pos="576"/>
                <w:tab w:val="clear" w:pos="1152"/>
              </w:tabs>
              <w:spacing w:after="120" w:line="240" w:lineRule="atLeast"/>
              <w:ind w:left="504" w:firstLine="3"/>
              <w:rPr>
                <w:rFonts w:cs="Calibri Light"/>
                <w:sz w:val="20"/>
                <w:szCs w:val="20"/>
              </w:rPr>
            </w:pPr>
            <w:r>
              <w:rPr>
                <w:rFonts w:cs="Calibri Light"/>
                <w:sz w:val="20"/>
                <w:szCs w:val="20"/>
                <w:lang w:val="en-US"/>
              </w:rPr>
              <w:t xml:space="preserve">Note: </w:t>
            </w:r>
            <w:r w:rsidRPr="00401A63">
              <w:rPr>
                <w:rFonts w:cs="Calibri Light"/>
                <w:sz w:val="20"/>
                <w:szCs w:val="20"/>
                <w:lang w:val="en-US"/>
              </w:rPr>
              <w:t xml:space="preserve">The financial statements covering fiscal years </w:t>
            </w:r>
            <w:r>
              <w:rPr>
                <w:rFonts w:cs="Calibri Light"/>
                <w:sz w:val="20"/>
                <w:szCs w:val="20"/>
                <w:lang w:val="en-US"/>
              </w:rPr>
              <w:t xml:space="preserve">must </w:t>
            </w:r>
            <w:r w:rsidRPr="00401A63">
              <w:rPr>
                <w:rFonts w:cs="Calibri Light"/>
                <w:sz w:val="20"/>
                <w:szCs w:val="20"/>
                <w:lang w:val="en-US"/>
              </w:rPr>
              <w:t>be audited except as provided in Item 14 of Schedule 14A (§240.14a-101 of this chapter) with respect to certain proxy statements or in registration statements filed on Forms N-14, S-4 or F-4.</w:t>
            </w:r>
          </w:p>
        </w:tc>
        <w:tc>
          <w:tcPr>
            <w:tcW w:w="1209" w:type="dxa"/>
            <w:gridSpan w:val="2"/>
            <w:tcBorders>
              <w:top w:val="single" w:sz="4" w:space="0" w:color="auto"/>
            </w:tcBorders>
            <w:vAlign w:val="bottom"/>
          </w:tcPr>
          <w:p w14:paraId="2E1F6742" w14:textId="77777777" w:rsidR="007A17AE" w:rsidRPr="004005A4" w:rsidRDefault="007A17AE" w:rsidP="004005A4">
            <w:pPr>
              <w:spacing w:before="120" w:after="120" w:line="240" w:lineRule="atLeast"/>
              <w:jc w:val="center"/>
              <w:rPr>
                <w:rFonts w:cs="Calibri Light"/>
                <w:b/>
                <w:sz w:val="20"/>
                <w:szCs w:val="20"/>
              </w:rPr>
            </w:pPr>
          </w:p>
        </w:tc>
        <w:tc>
          <w:tcPr>
            <w:tcW w:w="236" w:type="dxa"/>
            <w:gridSpan w:val="3"/>
            <w:vAlign w:val="bottom"/>
          </w:tcPr>
          <w:p w14:paraId="05C9109E" w14:textId="77777777" w:rsidR="007A17AE" w:rsidRPr="004005A4" w:rsidRDefault="007A17AE"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D8F3560" w14:textId="77777777" w:rsidR="007A17AE" w:rsidRPr="004005A4" w:rsidRDefault="007A17AE" w:rsidP="004005A4">
            <w:pPr>
              <w:spacing w:before="120" w:after="120" w:line="240" w:lineRule="atLeast"/>
              <w:jc w:val="center"/>
              <w:rPr>
                <w:rFonts w:cs="Calibri Light"/>
                <w:b/>
                <w:sz w:val="20"/>
                <w:szCs w:val="20"/>
              </w:rPr>
            </w:pPr>
          </w:p>
        </w:tc>
      </w:tr>
      <w:tr w:rsidR="00B47999" w:rsidRPr="004005A4" w14:paraId="6A75C837" w14:textId="77777777" w:rsidTr="00CC36C1">
        <w:trPr>
          <w:gridBefore w:val="1"/>
          <w:wBefore w:w="17" w:type="dxa"/>
        </w:trPr>
        <w:tc>
          <w:tcPr>
            <w:tcW w:w="7483" w:type="dxa"/>
            <w:gridSpan w:val="2"/>
          </w:tcPr>
          <w:p w14:paraId="55AB7CCA" w14:textId="36D180BA" w:rsidR="00B47999" w:rsidRPr="004005A4" w:rsidRDefault="00B47999" w:rsidP="00134418">
            <w:pPr>
              <w:pStyle w:val="level1"/>
              <w:tabs>
                <w:tab w:val="clear" w:pos="576"/>
                <w:tab w:val="clear" w:pos="1152"/>
              </w:tabs>
              <w:spacing w:after="120" w:line="240" w:lineRule="atLeast"/>
              <w:ind w:left="504" w:hanging="274"/>
              <w:rPr>
                <w:rFonts w:cs="Calibri Light"/>
                <w:sz w:val="20"/>
                <w:szCs w:val="20"/>
              </w:rPr>
            </w:pPr>
            <w:r w:rsidRPr="004005A4">
              <w:rPr>
                <w:rFonts w:cs="Calibri Light"/>
                <w:sz w:val="20"/>
                <w:szCs w:val="20"/>
              </w:rPr>
              <w:lastRenderedPageBreak/>
              <w:t>(2)</w:t>
            </w:r>
            <w:r w:rsidRPr="004005A4">
              <w:rPr>
                <w:rFonts w:cs="Calibri Light"/>
                <w:sz w:val="20"/>
                <w:szCs w:val="20"/>
              </w:rPr>
              <w:tab/>
              <w:t xml:space="preserve">In all cases not described in (b)(1), </w:t>
            </w:r>
            <w:r w:rsidR="002B7CC5">
              <w:rPr>
                <w:rFonts w:cs="Calibri Light"/>
                <w:sz w:val="20"/>
                <w:szCs w:val="20"/>
              </w:rPr>
              <w:t xml:space="preserve">financial </w:t>
            </w:r>
            <w:r w:rsidRPr="004005A4">
              <w:rPr>
                <w:rFonts w:cs="Calibri Light"/>
                <w:sz w:val="20"/>
                <w:szCs w:val="20"/>
              </w:rPr>
              <w:t xml:space="preserve">statements of the business acquired or to be acquired must be filed for the periods set forth below, or such shorter period as the business has been in existence. </w:t>
            </w:r>
          </w:p>
          <w:p w14:paraId="46724E60" w14:textId="145170F7" w:rsidR="00B47999" w:rsidRPr="004005A4" w:rsidRDefault="00B47999" w:rsidP="004646A6">
            <w:pPr>
              <w:pStyle w:val="level3"/>
              <w:tabs>
                <w:tab w:val="clear" w:pos="576"/>
                <w:tab w:val="clear" w:pos="1152"/>
              </w:tabs>
              <w:spacing w:after="120" w:line="240" w:lineRule="atLeast"/>
              <w:ind w:left="500" w:firstLine="0"/>
              <w:rPr>
                <w:rFonts w:cs="Calibri Light"/>
                <w:sz w:val="20"/>
                <w:szCs w:val="20"/>
              </w:rPr>
            </w:pPr>
            <w:r w:rsidRPr="004005A4">
              <w:rPr>
                <w:rFonts w:cs="Calibri Light"/>
                <w:sz w:val="20"/>
                <w:szCs w:val="20"/>
              </w:rPr>
              <w:t xml:space="preserve">The periods for which such </w:t>
            </w:r>
            <w:r w:rsidR="002B7CC5">
              <w:rPr>
                <w:rFonts w:cs="Calibri Light"/>
                <w:sz w:val="20"/>
                <w:szCs w:val="20"/>
              </w:rPr>
              <w:t xml:space="preserve">financial </w:t>
            </w:r>
            <w:r w:rsidRPr="004005A4">
              <w:rPr>
                <w:rFonts w:cs="Calibri Light"/>
                <w:sz w:val="20"/>
                <w:szCs w:val="20"/>
              </w:rPr>
              <w:t>statements are to be filed are based on the significant subsidiary tests.</w:t>
            </w:r>
          </w:p>
        </w:tc>
        <w:tc>
          <w:tcPr>
            <w:tcW w:w="1209" w:type="dxa"/>
            <w:gridSpan w:val="2"/>
            <w:tcBorders>
              <w:bottom w:val="single" w:sz="4" w:space="0" w:color="auto"/>
            </w:tcBorders>
            <w:vAlign w:val="bottom"/>
          </w:tcPr>
          <w:p w14:paraId="2A358395"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6205A246"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0D2F4BA6"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1ED81E5B" w14:textId="77777777" w:rsidTr="00CC36C1">
        <w:trPr>
          <w:gridBefore w:val="1"/>
          <w:wBefore w:w="17" w:type="dxa"/>
        </w:trPr>
        <w:tc>
          <w:tcPr>
            <w:tcW w:w="7483" w:type="dxa"/>
            <w:gridSpan w:val="2"/>
          </w:tcPr>
          <w:p w14:paraId="438EC690" w14:textId="280B6258" w:rsidR="00B47999" w:rsidRPr="004005A4" w:rsidRDefault="00B47999" w:rsidP="00134418">
            <w:pPr>
              <w:pStyle w:val="level1"/>
              <w:tabs>
                <w:tab w:val="clear" w:pos="576"/>
                <w:tab w:val="clear" w:pos="1152"/>
                <w:tab w:val="clear" w:pos="1728"/>
              </w:tabs>
              <w:spacing w:after="120" w:line="240" w:lineRule="atLeast"/>
              <w:ind w:left="778" w:hanging="274"/>
              <w:rPr>
                <w:rFonts w:cs="Calibri Light"/>
                <w:sz w:val="20"/>
                <w:szCs w:val="20"/>
              </w:rPr>
            </w:pPr>
            <w:r w:rsidRPr="004005A4">
              <w:rPr>
                <w:rFonts w:cs="Calibri Light"/>
                <w:sz w:val="20"/>
                <w:szCs w:val="20"/>
              </w:rPr>
              <w:t>(i)</w:t>
            </w:r>
            <w:r w:rsidRPr="004005A4">
              <w:rPr>
                <w:rFonts w:cs="Calibri Light"/>
                <w:sz w:val="20"/>
                <w:szCs w:val="20"/>
              </w:rPr>
              <w:tab/>
              <w:t xml:space="preserve">If none of the </w:t>
            </w:r>
            <w:r w:rsidR="00DF5108">
              <w:rPr>
                <w:rFonts w:cs="Calibri Light"/>
                <w:sz w:val="20"/>
                <w:szCs w:val="20"/>
              </w:rPr>
              <w:t>conditions</w:t>
            </w:r>
            <w:r w:rsidR="00DF5108" w:rsidRPr="004005A4">
              <w:rPr>
                <w:rFonts w:cs="Calibri Light"/>
                <w:sz w:val="20"/>
                <w:szCs w:val="20"/>
              </w:rPr>
              <w:t xml:space="preserve"> </w:t>
            </w:r>
            <w:r w:rsidRPr="004005A4">
              <w:rPr>
                <w:rFonts w:cs="Calibri Light"/>
                <w:sz w:val="20"/>
                <w:szCs w:val="20"/>
              </w:rPr>
              <w:t xml:space="preserve">exceed 20%, financial statements are not required. </w:t>
            </w:r>
          </w:p>
        </w:tc>
        <w:tc>
          <w:tcPr>
            <w:tcW w:w="1209" w:type="dxa"/>
            <w:gridSpan w:val="2"/>
            <w:tcBorders>
              <w:top w:val="single" w:sz="4" w:space="0" w:color="auto"/>
            </w:tcBorders>
            <w:vAlign w:val="bottom"/>
          </w:tcPr>
          <w:p w14:paraId="57646152"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40F66CEB"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48BD3CF3" w14:textId="77777777" w:rsidR="00B47999" w:rsidRPr="004005A4" w:rsidRDefault="00B47999" w:rsidP="004005A4">
            <w:pPr>
              <w:spacing w:before="120" w:after="120" w:line="240" w:lineRule="atLeast"/>
              <w:jc w:val="center"/>
              <w:rPr>
                <w:rFonts w:cs="Calibri Light"/>
                <w:b/>
                <w:sz w:val="20"/>
                <w:szCs w:val="20"/>
              </w:rPr>
            </w:pPr>
          </w:p>
        </w:tc>
      </w:tr>
      <w:tr w:rsidR="00B47999" w:rsidRPr="004005A4" w14:paraId="65829100" w14:textId="77777777" w:rsidTr="00CC36C1">
        <w:trPr>
          <w:gridBefore w:val="1"/>
          <w:wBefore w:w="17" w:type="dxa"/>
        </w:trPr>
        <w:tc>
          <w:tcPr>
            <w:tcW w:w="7483" w:type="dxa"/>
            <w:gridSpan w:val="2"/>
          </w:tcPr>
          <w:p w14:paraId="641147FF" w14:textId="69253E77" w:rsidR="00B47999" w:rsidRPr="004005A4" w:rsidRDefault="00B47999" w:rsidP="00134418">
            <w:pPr>
              <w:pStyle w:val="level1"/>
              <w:tabs>
                <w:tab w:val="clear" w:pos="576"/>
                <w:tab w:val="clear" w:pos="1152"/>
                <w:tab w:val="clear" w:pos="1728"/>
              </w:tabs>
              <w:spacing w:after="120" w:line="240" w:lineRule="atLeast"/>
              <w:ind w:left="778" w:hanging="274"/>
              <w:rPr>
                <w:rFonts w:cs="Calibri Light"/>
                <w:sz w:val="20"/>
                <w:szCs w:val="20"/>
              </w:rPr>
            </w:pPr>
            <w:r w:rsidRPr="004005A4">
              <w:rPr>
                <w:rFonts w:cs="Calibri Light"/>
                <w:sz w:val="20"/>
                <w:szCs w:val="20"/>
              </w:rPr>
              <w:t>(ii)</w:t>
            </w:r>
            <w:r w:rsidRPr="004005A4">
              <w:rPr>
                <w:rFonts w:cs="Calibri Light"/>
                <w:sz w:val="20"/>
                <w:szCs w:val="20"/>
              </w:rPr>
              <w:tab/>
              <w:t xml:space="preserve">If any of the </w:t>
            </w:r>
            <w:r w:rsidR="002400FC">
              <w:rPr>
                <w:rFonts w:cs="Calibri Light"/>
                <w:sz w:val="20"/>
                <w:szCs w:val="20"/>
              </w:rPr>
              <w:t>conditions</w:t>
            </w:r>
            <w:r w:rsidR="002400FC" w:rsidRPr="004005A4">
              <w:rPr>
                <w:rFonts w:cs="Calibri Light"/>
                <w:sz w:val="20"/>
                <w:szCs w:val="20"/>
              </w:rPr>
              <w:t xml:space="preserve"> </w:t>
            </w:r>
            <w:r w:rsidRPr="004005A4">
              <w:rPr>
                <w:rFonts w:cs="Calibri Light"/>
                <w:sz w:val="20"/>
                <w:szCs w:val="20"/>
              </w:rPr>
              <w:t xml:space="preserve">exceed 20% but none exceed 40%, financial statements must be </w:t>
            </w:r>
            <w:r w:rsidR="009B308F">
              <w:rPr>
                <w:rFonts w:cs="Calibri Light"/>
                <w:sz w:val="20"/>
                <w:szCs w:val="20"/>
              </w:rPr>
              <w:t>filed</w:t>
            </w:r>
            <w:r w:rsidR="009B308F" w:rsidRPr="004005A4">
              <w:rPr>
                <w:rFonts w:cs="Calibri Light"/>
                <w:sz w:val="20"/>
                <w:szCs w:val="20"/>
              </w:rPr>
              <w:t xml:space="preserve"> </w:t>
            </w:r>
            <w:r w:rsidRPr="004005A4">
              <w:rPr>
                <w:rFonts w:cs="Calibri Light"/>
                <w:sz w:val="20"/>
                <w:szCs w:val="20"/>
              </w:rPr>
              <w:t xml:space="preserve">for at least the </w:t>
            </w:r>
            <w:r w:rsidR="005B184D">
              <w:rPr>
                <w:rFonts w:cs="Calibri Light"/>
                <w:sz w:val="20"/>
                <w:szCs w:val="20"/>
              </w:rPr>
              <w:t>most recent fiscal</w:t>
            </w:r>
            <w:r w:rsidRPr="004005A4">
              <w:rPr>
                <w:rFonts w:cs="Calibri Light"/>
                <w:sz w:val="20"/>
                <w:szCs w:val="20"/>
              </w:rPr>
              <w:t xml:space="preserve"> year and</w:t>
            </w:r>
            <w:r w:rsidR="005B184D">
              <w:rPr>
                <w:rFonts w:cs="Calibri Light"/>
                <w:sz w:val="20"/>
                <w:szCs w:val="20"/>
              </w:rPr>
              <w:t xml:space="preserve"> the most recent</w:t>
            </w:r>
            <w:r w:rsidR="007D4233" w:rsidRPr="004005A4">
              <w:rPr>
                <w:rFonts w:cs="Calibri Light"/>
                <w:sz w:val="20"/>
                <w:szCs w:val="20"/>
              </w:rPr>
              <w:t xml:space="preserve"> </w:t>
            </w:r>
            <w:r w:rsidRPr="004005A4">
              <w:rPr>
                <w:rFonts w:cs="Calibri Light"/>
                <w:sz w:val="20"/>
                <w:szCs w:val="20"/>
              </w:rPr>
              <w:t>interim period</w:t>
            </w:r>
            <w:r w:rsidR="005F7750">
              <w:rPr>
                <w:rFonts w:cs="Calibri Light"/>
                <w:sz w:val="20"/>
                <w:szCs w:val="20"/>
              </w:rPr>
              <w:t xml:space="preserve"> specified in Rule 3-01 and Rule 3-02</w:t>
            </w:r>
            <w:r w:rsidRPr="004005A4">
              <w:rPr>
                <w:rFonts w:cs="Calibri Light"/>
                <w:sz w:val="20"/>
                <w:szCs w:val="20"/>
              </w:rPr>
              <w:t>.</w:t>
            </w:r>
            <w:r w:rsidR="007D4233" w:rsidRPr="004005A4">
              <w:rPr>
                <w:rFonts w:cs="Calibri Light"/>
                <w:sz w:val="20"/>
                <w:szCs w:val="20"/>
              </w:rPr>
              <w:t xml:space="preserve"> </w:t>
            </w:r>
          </w:p>
        </w:tc>
        <w:tc>
          <w:tcPr>
            <w:tcW w:w="1209" w:type="dxa"/>
            <w:gridSpan w:val="2"/>
            <w:tcBorders>
              <w:top w:val="single" w:sz="4" w:space="0" w:color="auto"/>
            </w:tcBorders>
            <w:vAlign w:val="bottom"/>
          </w:tcPr>
          <w:p w14:paraId="0603F1A9" w14:textId="77777777" w:rsidR="00B47999" w:rsidRPr="004005A4" w:rsidRDefault="00B47999" w:rsidP="004005A4">
            <w:pPr>
              <w:spacing w:before="120" w:after="120" w:line="240" w:lineRule="atLeast"/>
              <w:jc w:val="center"/>
              <w:rPr>
                <w:rFonts w:cs="Calibri Light"/>
                <w:b/>
                <w:sz w:val="20"/>
                <w:szCs w:val="20"/>
              </w:rPr>
            </w:pPr>
          </w:p>
        </w:tc>
        <w:tc>
          <w:tcPr>
            <w:tcW w:w="236" w:type="dxa"/>
            <w:gridSpan w:val="3"/>
            <w:vAlign w:val="bottom"/>
          </w:tcPr>
          <w:p w14:paraId="605A82B6" w14:textId="77777777" w:rsidR="00B47999" w:rsidRPr="004005A4" w:rsidRDefault="00B47999"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B55614D" w14:textId="77777777" w:rsidR="00B47999" w:rsidRPr="004005A4" w:rsidRDefault="00B47999" w:rsidP="004005A4">
            <w:pPr>
              <w:spacing w:before="120" w:after="120" w:line="240" w:lineRule="atLeast"/>
              <w:jc w:val="center"/>
              <w:rPr>
                <w:rFonts w:cs="Calibri Light"/>
                <w:b/>
                <w:sz w:val="20"/>
                <w:szCs w:val="20"/>
              </w:rPr>
            </w:pPr>
          </w:p>
        </w:tc>
      </w:tr>
      <w:tr w:rsidR="002063AE" w:rsidRPr="004005A4" w14:paraId="5A0A53DA" w14:textId="77777777" w:rsidTr="00CC36C1">
        <w:trPr>
          <w:gridBefore w:val="1"/>
          <w:wBefore w:w="17" w:type="dxa"/>
        </w:trPr>
        <w:tc>
          <w:tcPr>
            <w:tcW w:w="7483" w:type="dxa"/>
            <w:gridSpan w:val="2"/>
          </w:tcPr>
          <w:p w14:paraId="12335BF9" w14:textId="48F7441C" w:rsidR="002063AE" w:rsidRPr="004005A4" w:rsidRDefault="002063AE" w:rsidP="006A5789">
            <w:pPr>
              <w:pStyle w:val="level1"/>
              <w:tabs>
                <w:tab w:val="clear" w:pos="576"/>
                <w:tab w:val="clear" w:pos="1152"/>
                <w:tab w:val="clear" w:pos="1728"/>
              </w:tabs>
              <w:spacing w:after="120" w:line="240" w:lineRule="atLeast"/>
              <w:ind w:left="778" w:hanging="274"/>
              <w:rPr>
                <w:rFonts w:cs="Calibri Light"/>
                <w:sz w:val="20"/>
                <w:szCs w:val="20"/>
              </w:rPr>
            </w:pPr>
            <w:r w:rsidRPr="004005A4">
              <w:rPr>
                <w:rFonts w:cs="Calibri Light"/>
                <w:sz w:val="20"/>
                <w:szCs w:val="20"/>
              </w:rPr>
              <w:t>(iii)</w:t>
            </w:r>
            <w:r w:rsidR="006A5789">
              <w:rPr>
                <w:rFonts w:cs="Calibri Light"/>
                <w:sz w:val="20"/>
                <w:szCs w:val="20"/>
              </w:rPr>
              <w:tab/>
            </w:r>
            <w:r w:rsidRPr="004005A4">
              <w:rPr>
                <w:rFonts w:cs="Calibri Light"/>
                <w:sz w:val="20"/>
                <w:szCs w:val="20"/>
              </w:rPr>
              <w:t xml:space="preserve">If any of the </w:t>
            </w:r>
            <w:r w:rsidR="00E97A8A">
              <w:rPr>
                <w:rFonts w:cs="Calibri Light"/>
                <w:sz w:val="20"/>
                <w:szCs w:val="20"/>
              </w:rPr>
              <w:t>conditions</w:t>
            </w:r>
            <w:r w:rsidR="00E97A8A" w:rsidRPr="004005A4">
              <w:rPr>
                <w:rFonts w:cs="Calibri Light"/>
                <w:sz w:val="20"/>
                <w:szCs w:val="20"/>
              </w:rPr>
              <w:t xml:space="preserve"> </w:t>
            </w:r>
            <w:r w:rsidRPr="004005A4">
              <w:rPr>
                <w:rFonts w:cs="Calibri Light"/>
                <w:sz w:val="20"/>
                <w:szCs w:val="20"/>
              </w:rPr>
              <w:t>exceed 40%, financial statements must be f</w:t>
            </w:r>
            <w:r w:rsidR="009B308F">
              <w:rPr>
                <w:rFonts w:cs="Calibri Light"/>
                <w:sz w:val="20"/>
                <w:szCs w:val="20"/>
              </w:rPr>
              <w:t xml:space="preserve">iled </w:t>
            </w:r>
            <w:r w:rsidRPr="004005A4">
              <w:rPr>
                <w:rFonts w:cs="Calibri Light"/>
                <w:sz w:val="20"/>
                <w:szCs w:val="20"/>
              </w:rPr>
              <w:t xml:space="preserve">for </w:t>
            </w:r>
            <w:r w:rsidR="00343ACD">
              <w:rPr>
                <w:rFonts w:cs="Calibri Light"/>
                <w:sz w:val="20"/>
                <w:szCs w:val="20"/>
              </w:rPr>
              <w:t xml:space="preserve">at least </w:t>
            </w:r>
            <w:r w:rsidRPr="004005A4">
              <w:rPr>
                <w:rFonts w:cs="Calibri Light"/>
                <w:sz w:val="20"/>
                <w:szCs w:val="20"/>
              </w:rPr>
              <w:t xml:space="preserve">the two </w:t>
            </w:r>
            <w:r w:rsidR="00343ACD">
              <w:rPr>
                <w:rFonts w:cs="Calibri Light"/>
                <w:sz w:val="20"/>
                <w:szCs w:val="20"/>
              </w:rPr>
              <w:t>most recent fi</w:t>
            </w:r>
            <w:r w:rsidR="004646A6">
              <w:rPr>
                <w:rFonts w:cs="Calibri Light"/>
                <w:sz w:val="20"/>
                <w:szCs w:val="20"/>
              </w:rPr>
              <w:t>s</w:t>
            </w:r>
            <w:r w:rsidR="00343ACD">
              <w:rPr>
                <w:rFonts w:cs="Calibri Light"/>
                <w:sz w:val="20"/>
                <w:szCs w:val="20"/>
              </w:rPr>
              <w:t xml:space="preserve">cal </w:t>
            </w:r>
            <w:r w:rsidRPr="004005A4">
              <w:rPr>
                <w:rFonts w:cs="Calibri Light"/>
                <w:sz w:val="20"/>
                <w:szCs w:val="20"/>
              </w:rPr>
              <w:t>years and any interim periods specified in Rules 3-01 and 3-02.</w:t>
            </w:r>
          </w:p>
        </w:tc>
        <w:tc>
          <w:tcPr>
            <w:tcW w:w="1209" w:type="dxa"/>
            <w:gridSpan w:val="2"/>
            <w:tcBorders>
              <w:top w:val="single" w:sz="4" w:space="0" w:color="auto"/>
            </w:tcBorders>
            <w:vAlign w:val="bottom"/>
          </w:tcPr>
          <w:p w14:paraId="575C07B1" w14:textId="77777777" w:rsidR="002063AE" w:rsidRPr="004005A4" w:rsidRDefault="002063AE" w:rsidP="004005A4">
            <w:pPr>
              <w:spacing w:before="120" w:after="120" w:line="240" w:lineRule="atLeast"/>
              <w:jc w:val="center"/>
              <w:rPr>
                <w:rFonts w:cs="Calibri Light"/>
                <w:b/>
                <w:sz w:val="20"/>
                <w:szCs w:val="20"/>
              </w:rPr>
            </w:pPr>
          </w:p>
        </w:tc>
        <w:tc>
          <w:tcPr>
            <w:tcW w:w="236" w:type="dxa"/>
            <w:gridSpan w:val="3"/>
            <w:vAlign w:val="bottom"/>
          </w:tcPr>
          <w:p w14:paraId="009FFFE6" w14:textId="77777777" w:rsidR="002063AE" w:rsidRPr="004005A4" w:rsidRDefault="002063AE" w:rsidP="004005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528D1EE" w14:textId="77777777" w:rsidR="002063AE" w:rsidRPr="004005A4" w:rsidRDefault="002063AE" w:rsidP="004005A4">
            <w:pPr>
              <w:spacing w:before="120" w:after="120" w:line="240" w:lineRule="atLeast"/>
              <w:jc w:val="center"/>
              <w:rPr>
                <w:rFonts w:cs="Calibri Light"/>
                <w:b/>
                <w:sz w:val="20"/>
                <w:szCs w:val="20"/>
              </w:rPr>
            </w:pPr>
          </w:p>
        </w:tc>
      </w:tr>
      <w:tr w:rsidR="00DA46DA" w:rsidRPr="004005A4" w14:paraId="57D903FC" w14:textId="77777777" w:rsidTr="00CC36C1">
        <w:trPr>
          <w:gridBefore w:val="1"/>
          <w:wBefore w:w="17" w:type="dxa"/>
        </w:trPr>
        <w:tc>
          <w:tcPr>
            <w:tcW w:w="7483" w:type="dxa"/>
            <w:gridSpan w:val="2"/>
          </w:tcPr>
          <w:p w14:paraId="34145014" w14:textId="191312BD" w:rsidR="00DA46DA" w:rsidRPr="004005A4" w:rsidRDefault="00DA46DA" w:rsidP="00DA46DA">
            <w:pPr>
              <w:pStyle w:val="level1"/>
              <w:tabs>
                <w:tab w:val="clear" w:pos="576"/>
                <w:tab w:val="clear" w:pos="1152"/>
                <w:tab w:val="clear" w:pos="1728"/>
              </w:tabs>
              <w:spacing w:after="120" w:line="240" w:lineRule="atLeast"/>
              <w:ind w:left="778" w:hanging="274"/>
              <w:rPr>
                <w:rFonts w:cs="Calibri Light"/>
                <w:sz w:val="20"/>
                <w:szCs w:val="20"/>
              </w:rPr>
            </w:pPr>
            <w:r w:rsidRPr="00DF7CE3">
              <w:rPr>
                <w:rFonts w:cs="Calibri Light"/>
                <w:sz w:val="20"/>
                <w:szCs w:val="20"/>
              </w:rPr>
              <w:t xml:space="preserve">(iv) If the aggregate impact of businesses acquired or to be acquired since the date of the most recent audited balance sheet filed for the registrant, for which financial statements are either not required by paragraph (b)(2)(i) of this section or are not yet required based on paragraph (b)(4)(i) of this section, exceeds 50 percent for any condition, the registrant must provide the disclosure specified in paragraphs (b)(2)(iv)(A) and (B) of this section, however in determining the aggregate impact of the investment test condition also include the aggregate impact calculated in accordance with </w:t>
            </w:r>
            <w:r>
              <w:rPr>
                <w:rFonts w:cs="Calibri Light"/>
                <w:sz w:val="20"/>
                <w:szCs w:val="20"/>
              </w:rPr>
              <w:t xml:space="preserve">Rule </w:t>
            </w:r>
            <w:r w:rsidRPr="00DF7CE3">
              <w:rPr>
                <w:rFonts w:cs="Calibri Light"/>
                <w:sz w:val="20"/>
                <w:szCs w:val="20"/>
              </w:rPr>
              <w:t xml:space="preserve">3-14(b)(2)(ii) of any acquired or to be acquired real estate operations specified in </w:t>
            </w:r>
            <w:r>
              <w:rPr>
                <w:rFonts w:cs="Calibri Light"/>
                <w:sz w:val="20"/>
                <w:szCs w:val="20"/>
              </w:rPr>
              <w:t xml:space="preserve">Rule </w:t>
            </w:r>
            <w:r w:rsidRPr="00DF7CE3">
              <w:rPr>
                <w:rFonts w:cs="Calibri Light"/>
                <w:sz w:val="20"/>
                <w:szCs w:val="20"/>
              </w:rPr>
              <w:t>3-14(b)(2)(i)(C). In determining whether the income test condition (</w:t>
            </w:r>
            <w:r w:rsidRPr="00DF7CE3">
              <w:rPr>
                <w:rFonts w:cs="Calibri Light"/>
                <w:i/>
                <w:iCs/>
                <w:sz w:val="20"/>
                <w:szCs w:val="20"/>
              </w:rPr>
              <w:t>i.e.</w:t>
            </w:r>
            <w:r w:rsidRPr="00DF7CE3">
              <w:rPr>
                <w:rFonts w:cs="Calibri Light"/>
                <w:sz w:val="20"/>
                <w:szCs w:val="20"/>
              </w:rPr>
              <w:t> both the revenue component and the income or loss from continuing operations component) exceeds 50 percent, the businesses specified in this paragraph (b)(2)(iv) reporting losses must be aggregated separately from those reporting income. If either group exceeds 50 percent, paragraphs (b)(2)(iv)(A) and (B) of this section will apply to all of the businesses specified in this paragraph (b)(2)(iv) and will not be limited to either the businesses with losses or those with income.</w:t>
            </w:r>
          </w:p>
        </w:tc>
        <w:tc>
          <w:tcPr>
            <w:tcW w:w="1209" w:type="dxa"/>
            <w:gridSpan w:val="2"/>
            <w:tcBorders>
              <w:top w:val="single" w:sz="4" w:space="0" w:color="auto"/>
            </w:tcBorders>
            <w:vAlign w:val="bottom"/>
          </w:tcPr>
          <w:p w14:paraId="0A50F014"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5E16D674"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D2DF9E8"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58C46158" w14:textId="77777777" w:rsidTr="00CC36C1">
        <w:trPr>
          <w:gridBefore w:val="1"/>
          <w:wBefore w:w="17" w:type="dxa"/>
        </w:trPr>
        <w:tc>
          <w:tcPr>
            <w:tcW w:w="7483" w:type="dxa"/>
            <w:gridSpan w:val="2"/>
          </w:tcPr>
          <w:p w14:paraId="3B7AB80F" w14:textId="0BC292D6" w:rsidR="00DA46DA" w:rsidRPr="004005A4" w:rsidRDefault="00DA46DA" w:rsidP="004646A6">
            <w:pPr>
              <w:pStyle w:val="level1"/>
              <w:tabs>
                <w:tab w:val="clear" w:pos="576"/>
                <w:tab w:val="clear" w:pos="1152"/>
                <w:tab w:val="clear" w:pos="1728"/>
                <w:tab w:val="clear" w:pos="2304"/>
                <w:tab w:val="clear" w:pos="2880"/>
              </w:tabs>
              <w:spacing w:after="120" w:line="240" w:lineRule="atLeast"/>
              <w:ind w:left="1137" w:hanging="360"/>
              <w:rPr>
                <w:rFonts w:cs="Calibri Light"/>
                <w:sz w:val="20"/>
                <w:szCs w:val="20"/>
              </w:rPr>
            </w:pPr>
            <w:r w:rsidRPr="00FF195E">
              <w:rPr>
                <w:rFonts w:cs="Calibri Light"/>
                <w:sz w:val="20"/>
                <w:szCs w:val="20"/>
              </w:rPr>
              <w:t xml:space="preserve">(A) </w:t>
            </w:r>
            <w:r>
              <w:rPr>
                <w:rFonts w:cs="Calibri Light"/>
                <w:sz w:val="20"/>
                <w:szCs w:val="20"/>
              </w:rPr>
              <w:tab/>
            </w:r>
            <w:r w:rsidRPr="00FF195E">
              <w:rPr>
                <w:rFonts w:cs="Calibri Light"/>
                <w:sz w:val="20"/>
                <w:szCs w:val="20"/>
              </w:rPr>
              <w:t xml:space="preserve">Pro forma financial information pursuant to </w:t>
            </w:r>
            <w:r>
              <w:rPr>
                <w:rFonts w:cs="Calibri Light"/>
                <w:sz w:val="20"/>
                <w:szCs w:val="20"/>
              </w:rPr>
              <w:t xml:space="preserve">Rule </w:t>
            </w:r>
            <w:r w:rsidRPr="00FF195E">
              <w:rPr>
                <w:rFonts w:cs="Calibri Light"/>
                <w:sz w:val="20"/>
                <w:szCs w:val="20"/>
              </w:rPr>
              <w:t xml:space="preserve">11-01 through </w:t>
            </w:r>
            <w:r>
              <w:rPr>
                <w:rFonts w:cs="Calibri Light"/>
                <w:sz w:val="20"/>
                <w:szCs w:val="20"/>
              </w:rPr>
              <w:t xml:space="preserve">Rule </w:t>
            </w:r>
            <w:r w:rsidRPr="00FF195E">
              <w:rPr>
                <w:rFonts w:cs="Calibri Light"/>
                <w:sz w:val="20"/>
                <w:szCs w:val="20"/>
              </w:rPr>
              <w:t>11-02 that depicts the aggregate impact of these acquired or to be acquired businesses and real estate operations, in all material respects; and</w:t>
            </w:r>
          </w:p>
        </w:tc>
        <w:tc>
          <w:tcPr>
            <w:tcW w:w="1209" w:type="dxa"/>
            <w:gridSpan w:val="2"/>
            <w:tcBorders>
              <w:top w:val="single" w:sz="4" w:space="0" w:color="auto"/>
            </w:tcBorders>
            <w:vAlign w:val="bottom"/>
          </w:tcPr>
          <w:p w14:paraId="6DF3E54C"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40B08A3F"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FB4739E"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7E97A0D4" w14:textId="77777777" w:rsidTr="00CC36C1">
        <w:trPr>
          <w:gridBefore w:val="1"/>
          <w:wBefore w:w="17" w:type="dxa"/>
        </w:trPr>
        <w:tc>
          <w:tcPr>
            <w:tcW w:w="7483" w:type="dxa"/>
            <w:gridSpan w:val="2"/>
          </w:tcPr>
          <w:p w14:paraId="00D74ADC" w14:textId="4287DBBB" w:rsidR="00DA46DA" w:rsidRPr="004005A4" w:rsidRDefault="00DA46DA" w:rsidP="004646A6">
            <w:pPr>
              <w:pStyle w:val="level1"/>
              <w:tabs>
                <w:tab w:val="clear" w:pos="576"/>
                <w:tab w:val="clear" w:pos="1152"/>
                <w:tab w:val="clear" w:pos="1728"/>
                <w:tab w:val="clear" w:pos="2304"/>
                <w:tab w:val="clear" w:pos="2880"/>
              </w:tabs>
              <w:spacing w:after="120" w:line="240" w:lineRule="atLeast"/>
              <w:ind w:left="1137" w:hanging="360"/>
              <w:rPr>
                <w:rFonts w:cs="Calibri Light"/>
                <w:sz w:val="20"/>
                <w:szCs w:val="20"/>
              </w:rPr>
            </w:pPr>
            <w:r w:rsidRPr="00977298">
              <w:rPr>
                <w:rFonts w:cs="Calibri Light"/>
                <w:sz w:val="20"/>
                <w:szCs w:val="20"/>
              </w:rPr>
              <w:t xml:space="preserve">(B) </w:t>
            </w:r>
            <w:r>
              <w:rPr>
                <w:rFonts w:cs="Calibri Light"/>
                <w:sz w:val="20"/>
                <w:szCs w:val="20"/>
              </w:rPr>
              <w:tab/>
            </w:r>
            <w:r w:rsidRPr="00977298">
              <w:rPr>
                <w:rFonts w:cs="Calibri Light"/>
                <w:sz w:val="20"/>
                <w:szCs w:val="20"/>
              </w:rPr>
              <w:t xml:space="preserve">Financial statements covering at least the most recent fiscal year and the most recent interim period specified in </w:t>
            </w:r>
            <w:r>
              <w:rPr>
                <w:rFonts w:cs="Calibri Light"/>
                <w:sz w:val="20"/>
                <w:szCs w:val="20"/>
              </w:rPr>
              <w:t xml:space="preserve">Rule </w:t>
            </w:r>
            <w:r w:rsidRPr="00977298">
              <w:rPr>
                <w:rFonts w:cs="Calibri Light"/>
                <w:sz w:val="20"/>
                <w:szCs w:val="20"/>
              </w:rPr>
              <w:t xml:space="preserve">3-01 and </w:t>
            </w:r>
            <w:r>
              <w:rPr>
                <w:rFonts w:cs="Calibri Light"/>
                <w:sz w:val="20"/>
                <w:szCs w:val="20"/>
              </w:rPr>
              <w:t xml:space="preserve">Rule </w:t>
            </w:r>
            <w:r w:rsidRPr="00977298">
              <w:rPr>
                <w:rFonts w:cs="Calibri Light"/>
                <w:sz w:val="20"/>
                <w:szCs w:val="20"/>
              </w:rPr>
              <w:t xml:space="preserve">3-02 for any acquired or to be acquired business or real estate operation for which financial statements are not yet required based on </w:t>
            </w:r>
            <w:r>
              <w:rPr>
                <w:rFonts w:cs="Calibri Light"/>
                <w:sz w:val="20"/>
                <w:szCs w:val="20"/>
              </w:rPr>
              <w:t xml:space="preserve">Rule </w:t>
            </w:r>
            <w:r w:rsidRPr="00977298">
              <w:rPr>
                <w:rFonts w:cs="Calibri Light"/>
                <w:sz w:val="20"/>
                <w:szCs w:val="20"/>
              </w:rPr>
              <w:t>3-14(b)(3)(i).</w:t>
            </w:r>
          </w:p>
        </w:tc>
        <w:tc>
          <w:tcPr>
            <w:tcW w:w="1209" w:type="dxa"/>
            <w:gridSpan w:val="2"/>
            <w:tcBorders>
              <w:top w:val="single" w:sz="4" w:space="0" w:color="auto"/>
            </w:tcBorders>
            <w:vAlign w:val="bottom"/>
          </w:tcPr>
          <w:p w14:paraId="5E5F7DE3"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106D4E80"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C694C0E"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13F49FC8" w14:textId="77777777" w:rsidTr="00CC36C1">
        <w:trPr>
          <w:gridBefore w:val="1"/>
          <w:wBefore w:w="17" w:type="dxa"/>
        </w:trPr>
        <w:tc>
          <w:tcPr>
            <w:tcW w:w="7483" w:type="dxa"/>
            <w:gridSpan w:val="2"/>
          </w:tcPr>
          <w:p w14:paraId="7EC1087C" w14:textId="509BAA20" w:rsidR="00DA46DA" w:rsidRPr="004005A4" w:rsidRDefault="00DA46DA" w:rsidP="004646A6">
            <w:pPr>
              <w:pStyle w:val="level1"/>
              <w:tabs>
                <w:tab w:val="clear" w:pos="576"/>
                <w:tab w:val="clear" w:pos="1152"/>
              </w:tabs>
              <w:spacing w:after="120" w:line="240" w:lineRule="atLeast"/>
              <w:ind w:left="504" w:hanging="274"/>
              <w:rPr>
                <w:rFonts w:cs="Calibri Light"/>
                <w:sz w:val="20"/>
                <w:szCs w:val="20"/>
              </w:rPr>
            </w:pPr>
            <w:r w:rsidRPr="004005A4">
              <w:rPr>
                <w:rFonts w:cs="Calibri Light"/>
                <w:sz w:val="20"/>
                <w:szCs w:val="20"/>
              </w:rPr>
              <w:t>(3)</w:t>
            </w:r>
            <w:r w:rsidRPr="004005A4">
              <w:rPr>
                <w:rFonts w:cs="Calibri Light"/>
                <w:sz w:val="20"/>
                <w:szCs w:val="20"/>
              </w:rPr>
              <w:tab/>
              <w:t xml:space="preserve">The determination </w:t>
            </w:r>
            <w:r w:rsidR="00675748">
              <w:rPr>
                <w:rFonts w:cs="Calibri Light"/>
                <w:sz w:val="20"/>
                <w:szCs w:val="20"/>
              </w:rPr>
              <w:t xml:space="preserve">must </w:t>
            </w:r>
            <w:r w:rsidRPr="004005A4">
              <w:rPr>
                <w:rFonts w:cs="Calibri Light"/>
                <w:sz w:val="20"/>
                <w:szCs w:val="20"/>
              </w:rPr>
              <w:t xml:space="preserve">be made </w:t>
            </w:r>
            <w:r w:rsidR="00675748">
              <w:rPr>
                <w:rFonts w:cs="Calibri Light"/>
                <w:sz w:val="20"/>
                <w:szCs w:val="20"/>
              </w:rPr>
              <w:t xml:space="preserve">using Rule </w:t>
            </w:r>
            <w:r w:rsidR="000A3366">
              <w:rPr>
                <w:rFonts w:cs="Calibri Light"/>
                <w:sz w:val="20"/>
                <w:szCs w:val="20"/>
              </w:rPr>
              <w:t>11-01(b)(3) and (b)(4).</w:t>
            </w:r>
          </w:p>
        </w:tc>
        <w:tc>
          <w:tcPr>
            <w:tcW w:w="1209" w:type="dxa"/>
            <w:gridSpan w:val="2"/>
            <w:tcBorders>
              <w:top w:val="single" w:sz="4" w:space="0" w:color="auto"/>
            </w:tcBorders>
            <w:vAlign w:val="bottom"/>
          </w:tcPr>
          <w:p w14:paraId="4E6F6892"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230B75B1"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9AEDA2D"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329A1563" w14:textId="77777777" w:rsidTr="00CC36C1">
        <w:trPr>
          <w:gridBefore w:val="1"/>
          <w:wBefore w:w="17" w:type="dxa"/>
        </w:trPr>
        <w:tc>
          <w:tcPr>
            <w:tcW w:w="7483" w:type="dxa"/>
            <w:gridSpan w:val="2"/>
          </w:tcPr>
          <w:p w14:paraId="23BB52B8" w14:textId="77777777" w:rsidR="00DA46DA" w:rsidRPr="004005A4" w:rsidRDefault="00DA46DA" w:rsidP="00DA46DA">
            <w:pPr>
              <w:pStyle w:val="level1"/>
              <w:tabs>
                <w:tab w:val="clear" w:pos="576"/>
                <w:tab w:val="clear" w:pos="1152"/>
              </w:tabs>
              <w:spacing w:after="120" w:line="240" w:lineRule="atLeast"/>
              <w:ind w:left="504" w:hanging="274"/>
              <w:rPr>
                <w:rFonts w:cs="Calibri Light"/>
                <w:sz w:val="20"/>
                <w:szCs w:val="20"/>
              </w:rPr>
            </w:pPr>
            <w:r w:rsidRPr="004005A4">
              <w:rPr>
                <w:rFonts w:cs="Calibri Light"/>
                <w:sz w:val="20"/>
                <w:szCs w:val="20"/>
              </w:rPr>
              <w:t>(4)</w:t>
            </w:r>
            <w:r w:rsidRPr="004005A4">
              <w:rPr>
                <w:rFonts w:cs="Calibri Light"/>
                <w:sz w:val="20"/>
                <w:szCs w:val="20"/>
              </w:rPr>
              <w:tab/>
              <w:t xml:space="preserve">Financial statements required for the periods specified in section (b)(2) above may be omitted to the extent specified as follows: </w:t>
            </w:r>
          </w:p>
        </w:tc>
        <w:tc>
          <w:tcPr>
            <w:tcW w:w="1209" w:type="dxa"/>
            <w:gridSpan w:val="2"/>
            <w:tcBorders>
              <w:top w:val="single" w:sz="4" w:space="0" w:color="auto"/>
            </w:tcBorders>
            <w:vAlign w:val="bottom"/>
          </w:tcPr>
          <w:p w14:paraId="64611646"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7BA0712D"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522C987"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62AC34D8" w14:textId="77777777" w:rsidTr="00CC36C1">
        <w:trPr>
          <w:gridBefore w:val="1"/>
          <w:wBefore w:w="17" w:type="dxa"/>
        </w:trPr>
        <w:tc>
          <w:tcPr>
            <w:tcW w:w="7483" w:type="dxa"/>
            <w:gridSpan w:val="2"/>
          </w:tcPr>
          <w:p w14:paraId="5C334C88" w14:textId="3B30B00E" w:rsidR="00DA46DA" w:rsidRPr="004005A4" w:rsidRDefault="00DA46DA" w:rsidP="00DA46DA">
            <w:pPr>
              <w:pStyle w:val="level1"/>
              <w:tabs>
                <w:tab w:val="clear" w:pos="576"/>
                <w:tab w:val="clear" w:pos="1152"/>
                <w:tab w:val="clear" w:pos="1728"/>
              </w:tabs>
              <w:spacing w:after="120" w:line="240" w:lineRule="atLeast"/>
              <w:ind w:left="778" w:hanging="274"/>
              <w:rPr>
                <w:rFonts w:cs="Calibri Light"/>
                <w:sz w:val="20"/>
                <w:szCs w:val="20"/>
              </w:rPr>
            </w:pPr>
            <w:r w:rsidRPr="004005A4">
              <w:rPr>
                <w:rFonts w:cs="Calibri Light"/>
                <w:sz w:val="20"/>
                <w:szCs w:val="20"/>
              </w:rPr>
              <w:lastRenderedPageBreak/>
              <w:t>(i)</w:t>
            </w:r>
            <w:r w:rsidRPr="004005A4">
              <w:rPr>
                <w:rFonts w:cs="Calibri Light"/>
                <w:sz w:val="20"/>
                <w:szCs w:val="20"/>
              </w:rPr>
              <w:tab/>
            </w:r>
            <w:r w:rsidR="00B16475" w:rsidRPr="001A5FE0">
              <w:rPr>
                <w:rFonts w:cs="Calibri Light"/>
                <w:sz w:val="20"/>
                <w:szCs w:val="20"/>
              </w:rPr>
              <w:t xml:space="preserve">Registration statements not subject to the provisions of § 230.419 of this chapter and proxy statements need not include separate financial statements of an acquired or to be acquired business if neither the business nor the aggregate impact specified in paragraph (b)(2)(iv) of this section exceeds any of the conditions of significance in the definition of significant subsidiary in </w:t>
            </w:r>
            <w:r w:rsidR="00B16475">
              <w:rPr>
                <w:rFonts w:cs="Calibri Light"/>
                <w:sz w:val="20"/>
                <w:szCs w:val="20"/>
              </w:rPr>
              <w:t xml:space="preserve">Rule </w:t>
            </w:r>
            <w:r w:rsidR="00B16475" w:rsidRPr="001A5FE0">
              <w:rPr>
                <w:rFonts w:cs="Calibri Light"/>
                <w:sz w:val="20"/>
                <w:szCs w:val="20"/>
              </w:rPr>
              <w:t>1-02 at the 50 percent level computed in accordance with paragraph (b)(3) of this section,</w:t>
            </w:r>
            <w:r w:rsidRPr="004005A4">
              <w:rPr>
                <w:rFonts w:cs="Calibri Light"/>
                <w:sz w:val="20"/>
                <w:szCs w:val="20"/>
              </w:rPr>
              <w:t xml:space="preserve"> and either: </w:t>
            </w:r>
          </w:p>
        </w:tc>
        <w:tc>
          <w:tcPr>
            <w:tcW w:w="1209" w:type="dxa"/>
            <w:gridSpan w:val="2"/>
            <w:vAlign w:val="bottom"/>
          </w:tcPr>
          <w:p w14:paraId="370BE7E1"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5ECB80D9"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vAlign w:val="bottom"/>
          </w:tcPr>
          <w:p w14:paraId="401AE411"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20909251" w14:textId="77777777" w:rsidTr="00CC36C1">
        <w:trPr>
          <w:gridBefore w:val="1"/>
          <w:wBefore w:w="17" w:type="dxa"/>
        </w:trPr>
        <w:tc>
          <w:tcPr>
            <w:tcW w:w="7483" w:type="dxa"/>
            <w:gridSpan w:val="2"/>
          </w:tcPr>
          <w:p w14:paraId="0374260D" w14:textId="10EBFE74" w:rsidR="00DA46DA" w:rsidRPr="004005A4" w:rsidRDefault="00DA46DA" w:rsidP="00DA46DA">
            <w:pPr>
              <w:pStyle w:val="level3"/>
              <w:tabs>
                <w:tab w:val="clear" w:pos="576"/>
                <w:tab w:val="clear" w:pos="1152"/>
              </w:tabs>
              <w:spacing w:after="120" w:line="240" w:lineRule="atLeast"/>
              <w:ind w:left="1130" w:hanging="360"/>
              <w:rPr>
                <w:rFonts w:cs="Calibri Light"/>
                <w:sz w:val="20"/>
                <w:szCs w:val="20"/>
              </w:rPr>
            </w:pPr>
            <w:r w:rsidRPr="004005A4">
              <w:rPr>
                <w:rFonts w:cs="Calibri Light"/>
                <w:sz w:val="20"/>
                <w:szCs w:val="20"/>
              </w:rPr>
              <w:t>(</w:t>
            </w:r>
            <w:r w:rsidR="00D351B5">
              <w:rPr>
                <w:rFonts w:cs="Calibri Light"/>
                <w:sz w:val="20"/>
                <w:szCs w:val="20"/>
              </w:rPr>
              <w:t>A</w:t>
            </w:r>
            <w:r w:rsidRPr="004005A4">
              <w:rPr>
                <w:rFonts w:cs="Calibri Light"/>
                <w:sz w:val="20"/>
                <w:szCs w:val="20"/>
              </w:rPr>
              <w:t>)</w:t>
            </w:r>
            <w:r w:rsidRPr="004005A4">
              <w:rPr>
                <w:rFonts w:cs="Calibri Light"/>
                <w:sz w:val="20"/>
                <w:szCs w:val="20"/>
              </w:rPr>
              <w:tab/>
              <w:t>The consummation of the acquisition has not yet occurred</w:t>
            </w:r>
            <w:r w:rsidR="00A9521E">
              <w:rPr>
                <w:rFonts w:cs="Calibri Light"/>
                <w:sz w:val="20"/>
                <w:szCs w:val="20"/>
              </w:rPr>
              <w:t>;</w:t>
            </w:r>
            <w:r w:rsidRPr="004005A4">
              <w:rPr>
                <w:rFonts w:cs="Calibri Light"/>
                <w:sz w:val="20"/>
                <w:szCs w:val="20"/>
              </w:rPr>
              <w:t xml:space="preserve"> </w:t>
            </w:r>
          </w:p>
        </w:tc>
        <w:tc>
          <w:tcPr>
            <w:tcW w:w="1209" w:type="dxa"/>
            <w:gridSpan w:val="2"/>
            <w:tcBorders>
              <w:bottom w:val="single" w:sz="4" w:space="0" w:color="auto"/>
            </w:tcBorders>
            <w:vAlign w:val="bottom"/>
          </w:tcPr>
          <w:p w14:paraId="19E48390"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6E97DFAF"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536D3B80"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17E071E8" w14:textId="77777777" w:rsidTr="00CC36C1">
        <w:trPr>
          <w:gridBefore w:val="1"/>
          <w:wBefore w:w="17" w:type="dxa"/>
        </w:trPr>
        <w:tc>
          <w:tcPr>
            <w:tcW w:w="7483" w:type="dxa"/>
            <w:gridSpan w:val="2"/>
          </w:tcPr>
          <w:p w14:paraId="548D43FC" w14:textId="717D9B08" w:rsidR="00DA46DA" w:rsidRPr="004005A4" w:rsidRDefault="00DA46DA" w:rsidP="00DA46DA">
            <w:pPr>
              <w:pStyle w:val="NormalWeb"/>
              <w:tabs>
                <w:tab w:val="clear" w:pos="540"/>
                <w:tab w:val="left" w:pos="1710"/>
              </w:tabs>
              <w:spacing w:after="120" w:afterAutospacing="0" w:line="240" w:lineRule="atLeast"/>
              <w:ind w:left="1130" w:hanging="360"/>
              <w:rPr>
                <w:rFonts w:cs="Calibri Light"/>
                <w:sz w:val="20"/>
                <w:szCs w:val="20"/>
              </w:rPr>
            </w:pPr>
            <w:r w:rsidRPr="004005A4">
              <w:rPr>
                <w:rFonts w:cs="Calibri Light"/>
                <w:sz w:val="20"/>
                <w:szCs w:val="20"/>
              </w:rPr>
              <w:t>(</w:t>
            </w:r>
            <w:r w:rsidR="00D351B5">
              <w:rPr>
                <w:rFonts w:cs="Calibri Light"/>
                <w:sz w:val="20"/>
                <w:szCs w:val="20"/>
              </w:rPr>
              <w:t>B</w:t>
            </w:r>
            <w:r w:rsidRPr="004005A4">
              <w:rPr>
                <w:rFonts w:cs="Calibri Light"/>
                <w:sz w:val="20"/>
                <w:szCs w:val="20"/>
              </w:rPr>
              <w:t>)</w:t>
            </w:r>
            <w:r w:rsidRPr="004005A4">
              <w:rPr>
                <w:rFonts w:cs="Calibri Light"/>
                <w:sz w:val="20"/>
                <w:szCs w:val="20"/>
              </w:rPr>
              <w:tab/>
            </w:r>
            <w:r w:rsidR="00D351B5" w:rsidRPr="004A5318">
              <w:rPr>
                <w:rFonts w:cs="Calibri Light"/>
                <w:sz w:val="20"/>
                <w:szCs w:val="20"/>
              </w:rPr>
              <w:t>The date of the final prospectus or prospectus supplement relating to an offering as filed with the Commission pursuant to § 230.424(b) of this chapter, or mailing date in the case of a proxy statement, is no more than 74 days after consummation of the business acquisition, and the financial statements have not previously been filed by the registrant.</w:t>
            </w:r>
          </w:p>
        </w:tc>
        <w:tc>
          <w:tcPr>
            <w:tcW w:w="1209" w:type="dxa"/>
            <w:gridSpan w:val="2"/>
            <w:tcBorders>
              <w:top w:val="single" w:sz="4" w:space="0" w:color="auto"/>
              <w:bottom w:val="single" w:sz="4" w:space="0" w:color="auto"/>
            </w:tcBorders>
            <w:vAlign w:val="bottom"/>
          </w:tcPr>
          <w:p w14:paraId="4A760937"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2D4C67B0"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7328335"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24469759" w14:textId="77777777" w:rsidTr="00CC36C1">
        <w:trPr>
          <w:gridBefore w:val="1"/>
          <w:wBefore w:w="17" w:type="dxa"/>
        </w:trPr>
        <w:tc>
          <w:tcPr>
            <w:tcW w:w="7483" w:type="dxa"/>
            <w:gridSpan w:val="2"/>
          </w:tcPr>
          <w:p w14:paraId="5F4B63D2" w14:textId="0EFF287E" w:rsidR="00DA46DA" w:rsidRPr="004005A4" w:rsidRDefault="00DA46DA" w:rsidP="00DA46DA">
            <w:pPr>
              <w:pStyle w:val="level3"/>
              <w:tabs>
                <w:tab w:val="clear" w:pos="576"/>
                <w:tab w:val="clear" w:pos="1152"/>
                <w:tab w:val="left" w:pos="1710"/>
              </w:tabs>
              <w:spacing w:after="120" w:line="240" w:lineRule="atLeast"/>
              <w:ind w:left="770" w:firstLine="0"/>
              <w:rPr>
                <w:rFonts w:cs="Calibri Light"/>
                <w:sz w:val="20"/>
                <w:szCs w:val="20"/>
              </w:rPr>
            </w:pPr>
            <w:r w:rsidRPr="548EBB82">
              <w:rPr>
                <w:rFonts w:cs="Calibri Light"/>
                <w:sz w:val="20"/>
                <w:szCs w:val="20"/>
              </w:rPr>
              <w:t xml:space="preserve">This rule does not apply to “blank check/SPAC” issuers or transactions. Refer to Deloitte’s </w:t>
            </w:r>
            <w:hyperlink r:id="rId40">
              <w:r w:rsidRPr="548EBB82">
                <w:rPr>
                  <w:rStyle w:val="Hyperlink"/>
                  <w:rFonts w:cs="Calibri Light"/>
                  <w:sz w:val="20"/>
                  <w:szCs w:val="20"/>
                </w:rPr>
                <w:t>Accounting and SEC Reporting Considerations for SPAC Transactions</w:t>
              </w:r>
            </w:hyperlink>
            <w:r w:rsidRPr="548EBB82">
              <w:rPr>
                <w:rFonts w:cs="Calibri Light"/>
                <w:sz w:val="20"/>
                <w:szCs w:val="20"/>
              </w:rPr>
              <w:t xml:space="preserve"> financial reporting alert for more details.</w:t>
            </w:r>
          </w:p>
        </w:tc>
        <w:tc>
          <w:tcPr>
            <w:tcW w:w="1209" w:type="dxa"/>
            <w:gridSpan w:val="2"/>
            <w:tcBorders>
              <w:top w:val="single" w:sz="4" w:space="0" w:color="auto"/>
              <w:bottom w:val="single" w:sz="4" w:space="0" w:color="auto"/>
            </w:tcBorders>
            <w:vAlign w:val="bottom"/>
          </w:tcPr>
          <w:p w14:paraId="6A41514B"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66D89A90"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EAE6ADE"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21D47225" w14:textId="77777777" w:rsidTr="00CC36C1">
        <w:trPr>
          <w:gridBefore w:val="1"/>
          <w:wBefore w:w="17" w:type="dxa"/>
        </w:trPr>
        <w:tc>
          <w:tcPr>
            <w:tcW w:w="7483" w:type="dxa"/>
            <w:gridSpan w:val="2"/>
          </w:tcPr>
          <w:p w14:paraId="4328FCDC" w14:textId="0218ECE9" w:rsidR="00DA46DA" w:rsidRPr="004005A4" w:rsidRDefault="00DA46DA" w:rsidP="00DA46DA">
            <w:pPr>
              <w:pStyle w:val="level1"/>
              <w:tabs>
                <w:tab w:val="clear" w:pos="576"/>
                <w:tab w:val="clear" w:pos="1152"/>
                <w:tab w:val="clear" w:pos="1728"/>
              </w:tabs>
              <w:spacing w:after="120" w:line="240" w:lineRule="atLeast"/>
              <w:ind w:left="778" w:hanging="274"/>
              <w:rPr>
                <w:rFonts w:cs="Calibri Light"/>
                <w:sz w:val="20"/>
                <w:szCs w:val="20"/>
              </w:rPr>
            </w:pPr>
            <w:r w:rsidRPr="004005A4">
              <w:rPr>
                <w:rFonts w:cs="Calibri Light"/>
                <w:sz w:val="20"/>
                <w:szCs w:val="20"/>
              </w:rPr>
              <w:t>(ii)</w:t>
            </w:r>
            <w:r w:rsidRPr="004005A4">
              <w:rPr>
                <w:rFonts w:cs="Calibri Light"/>
                <w:sz w:val="20"/>
                <w:szCs w:val="20"/>
              </w:rPr>
              <w:tab/>
              <w:t>An issuer (other than a foreign private issuer required to file reports on Form 6-K) that omits from its initial registration statement financial statements of a recently consummated business combination pursuant to paragraph (</w:t>
            </w:r>
            <w:r>
              <w:rPr>
                <w:rFonts w:cs="Calibri Light"/>
                <w:sz w:val="20"/>
                <w:szCs w:val="20"/>
              </w:rPr>
              <w:t>b</w:t>
            </w:r>
            <w:r w:rsidRPr="004005A4">
              <w:rPr>
                <w:rFonts w:cs="Calibri Light"/>
                <w:sz w:val="20"/>
                <w:szCs w:val="20"/>
              </w:rPr>
              <w:t>)</w:t>
            </w:r>
            <w:r>
              <w:rPr>
                <w:rFonts w:cs="Calibri Light"/>
                <w:sz w:val="20"/>
                <w:szCs w:val="20"/>
              </w:rPr>
              <w:t>(4)(i</w:t>
            </w:r>
            <w:r w:rsidRPr="004005A4">
              <w:rPr>
                <w:rFonts w:cs="Calibri Light"/>
                <w:sz w:val="20"/>
                <w:szCs w:val="20"/>
              </w:rPr>
              <w:t xml:space="preserve">) above </w:t>
            </w:r>
            <w:r w:rsidR="00163E23">
              <w:rPr>
                <w:rFonts w:cs="Calibri Light"/>
                <w:sz w:val="20"/>
                <w:szCs w:val="20"/>
              </w:rPr>
              <w:t>must</w:t>
            </w:r>
            <w:r w:rsidR="00163E23" w:rsidRPr="004005A4">
              <w:rPr>
                <w:rFonts w:cs="Calibri Light"/>
                <w:sz w:val="20"/>
                <w:szCs w:val="20"/>
              </w:rPr>
              <w:t xml:space="preserve"> </w:t>
            </w:r>
            <w:r w:rsidRPr="004005A4">
              <w:rPr>
                <w:rFonts w:cs="Calibri Light"/>
                <w:sz w:val="20"/>
                <w:szCs w:val="20"/>
              </w:rPr>
              <w:t>f</w:t>
            </w:r>
            <w:r>
              <w:rPr>
                <w:rFonts w:cs="Calibri Light"/>
                <w:sz w:val="20"/>
                <w:szCs w:val="20"/>
              </w:rPr>
              <w:t xml:space="preserve">ile </w:t>
            </w:r>
            <w:r w:rsidRPr="004005A4">
              <w:rPr>
                <w:rFonts w:cs="Calibri Light"/>
                <w:sz w:val="20"/>
                <w:szCs w:val="20"/>
              </w:rPr>
              <w:t>those financial statements and any pro forma information specified by Article 11 under cover of Form 8-K no later than 75 days after consummation of the acquisition.</w:t>
            </w:r>
          </w:p>
        </w:tc>
        <w:tc>
          <w:tcPr>
            <w:tcW w:w="1209" w:type="dxa"/>
            <w:gridSpan w:val="2"/>
            <w:tcBorders>
              <w:top w:val="single" w:sz="4" w:space="0" w:color="auto"/>
              <w:bottom w:val="single" w:sz="4" w:space="0" w:color="auto"/>
            </w:tcBorders>
            <w:vAlign w:val="bottom"/>
          </w:tcPr>
          <w:p w14:paraId="1679615C"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4998CD4E"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608FCBC"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1B3E2E24" w14:textId="77777777" w:rsidTr="00CC36C1">
        <w:trPr>
          <w:gridBefore w:val="1"/>
          <w:wBefore w:w="17" w:type="dxa"/>
        </w:trPr>
        <w:tc>
          <w:tcPr>
            <w:tcW w:w="7483" w:type="dxa"/>
            <w:gridSpan w:val="2"/>
          </w:tcPr>
          <w:p w14:paraId="6E2BB19B" w14:textId="1AF58D5B" w:rsidR="00DA46DA" w:rsidRPr="004005A4" w:rsidRDefault="00DA46DA" w:rsidP="00DA46DA">
            <w:pPr>
              <w:pStyle w:val="level1"/>
              <w:tabs>
                <w:tab w:val="clear" w:pos="576"/>
                <w:tab w:val="clear" w:pos="1152"/>
                <w:tab w:val="clear" w:pos="1728"/>
              </w:tabs>
              <w:spacing w:after="120" w:line="240" w:lineRule="atLeast"/>
              <w:ind w:left="778" w:hanging="274"/>
              <w:rPr>
                <w:rFonts w:cs="Calibri Light"/>
                <w:sz w:val="20"/>
                <w:szCs w:val="20"/>
              </w:rPr>
            </w:pPr>
            <w:r w:rsidRPr="004005A4">
              <w:rPr>
                <w:rFonts w:cs="Calibri Light"/>
                <w:sz w:val="20"/>
                <w:szCs w:val="20"/>
              </w:rPr>
              <w:t>(iii)</w:t>
            </w:r>
            <w:r w:rsidRPr="004005A4">
              <w:rPr>
                <w:rFonts w:cs="Calibri Light"/>
                <w:sz w:val="20"/>
                <w:szCs w:val="20"/>
              </w:rPr>
              <w:tab/>
              <w:t xml:space="preserve">Separate financial statements of the acquired business </w:t>
            </w:r>
            <w:r w:rsidR="000521EC">
              <w:rPr>
                <w:rFonts w:cs="Calibri Light"/>
                <w:sz w:val="20"/>
                <w:szCs w:val="20"/>
              </w:rPr>
              <w:t>specified in paragraph (b)(2)</w:t>
            </w:r>
            <w:r w:rsidR="008974BF">
              <w:rPr>
                <w:rFonts w:cs="Calibri Light"/>
                <w:sz w:val="20"/>
                <w:szCs w:val="20"/>
              </w:rPr>
              <w:t>(ii)</w:t>
            </w:r>
            <w:r w:rsidR="000521EC">
              <w:rPr>
                <w:rFonts w:cs="Calibri Light"/>
                <w:sz w:val="20"/>
                <w:szCs w:val="20"/>
              </w:rPr>
              <w:t xml:space="preserve"> of this section </w:t>
            </w:r>
            <w:r w:rsidRPr="004005A4">
              <w:rPr>
                <w:rFonts w:cs="Calibri Light"/>
                <w:sz w:val="20"/>
                <w:szCs w:val="20"/>
              </w:rPr>
              <w:t xml:space="preserve">need not be </w:t>
            </w:r>
            <w:r>
              <w:rPr>
                <w:rFonts w:cs="Calibri Light"/>
                <w:sz w:val="20"/>
                <w:szCs w:val="20"/>
              </w:rPr>
              <w:t>presente</w:t>
            </w:r>
            <w:r w:rsidRPr="004005A4">
              <w:rPr>
                <w:rFonts w:cs="Calibri Light"/>
                <w:sz w:val="20"/>
                <w:szCs w:val="20"/>
              </w:rPr>
              <w:t xml:space="preserve">d once the operating results of the acquired business have been reflected in the audited consolidated statements of the registrant for at least nine months. Separate financial statements of the acquired business </w:t>
            </w:r>
            <w:r w:rsidR="00C162B8">
              <w:rPr>
                <w:rFonts w:cs="Calibri Light"/>
                <w:sz w:val="20"/>
                <w:szCs w:val="20"/>
              </w:rPr>
              <w:t xml:space="preserve">specified </w:t>
            </w:r>
            <w:r w:rsidR="009D681E">
              <w:rPr>
                <w:rFonts w:cs="Calibri Light"/>
                <w:sz w:val="20"/>
                <w:szCs w:val="20"/>
              </w:rPr>
              <w:t xml:space="preserve">in paragraph (b)(2)(iii) </w:t>
            </w:r>
            <w:r w:rsidRPr="004005A4">
              <w:rPr>
                <w:rFonts w:cs="Calibri Light"/>
                <w:sz w:val="20"/>
                <w:szCs w:val="20"/>
              </w:rPr>
              <w:t>need not be</w:t>
            </w:r>
            <w:r>
              <w:rPr>
                <w:rFonts w:cs="Calibri Light"/>
                <w:sz w:val="20"/>
                <w:szCs w:val="20"/>
              </w:rPr>
              <w:t xml:space="preserve"> presented</w:t>
            </w:r>
            <w:r w:rsidRPr="004005A4">
              <w:rPr>
                <w:rFonts w:cs="Calibri Light"/>
                <w:sz w:val="20"/>
                <w:szCs w:val="20"/>
              </w:rPr>
              <w:t xml:space="preserve"> once the operating results of the acquired business have been reflected in the audited consolidated statements of the registrant for a complete fiscal year.</w:t>
            </w:r>
            <w:r w:rsidRPr="004005A4" w:rsidDel="00F10F80">
              <w:rPr>
                <w:rFonts w:cs="Calibri Light"/>
                <w:sz w:val="20"/>
                <w:szCs w:val="20"/>
              </w:rPr>
              <w:t xml:space="preserve"> </w:t>
            </w:r>
          </w:p>
        </w:tc>
        <w:tc>
          <w:tcPr>
            <w:tcW w:w="1209" w:type="dxa"/>
            <w:gridSpan w:val="2"/>
            <w:tcBorders>
              <w:top w:val="single" w:sz="4" w:space="0" w:color="auto"/>
              <w:bottom w:val="single" w:sz="4" w:space="0" w:color="auto"/>
            </w:tcBorders>
            <w:vAlign w:val="bottom"/>
          </w:tcPr>
          <w:p w14:paraId="1D49820B"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280EA7DB"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54A3774"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00CC586B" w14:textId="77777777" w:rsidTr="00CC36C1">
        <w:trPr>
          <w:gridBefore w:val="1"/>
          <w:wBefore w:w="17" w:type="dxa"/>
        </w:trPr>
        <w:tc>
          <w:tcPr>
            <w:tcW w:w="7483" w:type="dxa"/>
            <w:gridSpan w:val="2"/>
          </w:tcPr>
          <w:p w14:paraId="3B7CDC1E" w14:textId="01C2879E" w:rsidR="00DA46DA" w:rsidRPr="004005A4" w:rsidRDefault="00DA46DA" w:rsidP="00DA46DA">
            <w:pPr>
              <w:pStyle w:val="level1"/>
              <w:tabs>
                <w:tab w:val="clear" w:pos="576"/>
                <w:tab w:val="clear" w:pos="1152"/>
                <w:tab w:val="clear" w:pos="1728"/>
              </w:tabs>
              <w:spacing w:after="120" w:line="240" w:lineRule="atLeast"/>
              <w:ind w:left="778" w:hanging="274"/>
              <w:rPr>
                <w:rFonts w:cs="Calibri Light"/>
                <w:sz w:val="20"/>
                <w:szCs w:val="20"/>
              </w:rPr>
            </w:pPr>
            <w:r w:rsidRPr="004005A4">
              <w:rPr>
                <w:rFonts w:cs="Calibri Light"/>
                <w:sz w:val="20"/>
                <w:szCs w:val="20"/>
              </w:rPr>
              <w:t>(iv)</w:t>
            </w:r>
            <w:r w:rsidRPr="004005A4">
              <w:rPr>
                <w:rFonts w:cs="Calibri Light"/>
                <w:sz w:val="20"/>
                <w:szCs w:val="20"/>
              </w:rPr>
              <w:tab/>
              <w:t>A separate audited balance sheet of the acquired business is not required when the</w:t>
            </w:r>
            <w:r w:rsidR="005A222E">
              <w:rPr>
                <w:rFonts w:cs="Calibri Light"/>
                <w:sz w:val="20"/>
                <w:szCs w:val="20"/>
              </w:rPr>
              <w:t xml:space="preserve"> </w:t>
            </w:r>
            <w:r w:rsidR="00C25886">
              <w:rPr>
                <w:rFonts w:cs="Calibri Light"/>
                <w:sz w:val="20"/>
                <w:szCs w:val="20"/>
              </w:rPr>
              <w:t>registrant’s</w:t>
            </w:r>
            <w:r w:rsidRPr="004005A4">
              <w:rPr>
                <w:rFonts w:cs="Calibri Light"/>
                <w:sz w:val="20"/>
                <w:szCs w:val="20"/>
              </w:rPr>
              <w:t xml:space="preserve"> most recent </w:t>
            </w:r>
            <w:r w:rsidRPr="00BC2603">
              <w:rPr>
                <w:rFonts w:cs="Calibri Light"/>
                <w:sz w:val="20"/>
                <w:szCs w:val="20"/>
              </w:rPr>
              <w:t>audited balance sheet</w:t>
            </w:r>
            <w:r w:rsidRPr="004005A4">
              <w:rPr>
                <w:rFonts w:cs="Calibri Light"/>
                <w:sz w:val="20"/>
                <w:szCs w:val="20"/>
              </w:rPr>
              <w:t xml:space="preserve"> </w:t>
            </w:r>
            <w:r w:rsidR="005A222E">
              <w:rPr>
                <w:rFonts w:cs="Calibri Light"/>
                <w:sz w:val="20"/>
                <w:szCs w:val="20"/>
              </w:rPr>
              <w:t xml:space="preserve">required by Rule 3-01 </w:t>
            </w:r>
            <w:r w:rsidRPr="004005A4">
              <w:rPr>
                <w:rFonts w:cs="Calibri Light"/>
                <w:sz w:val="20"/>
                <w:szCs w:val="20"/>
              </w:rPr>
              <w:t>is for a date after the date the acquisition was consummated.</w:t>
            </w:r>
          </w:p>
        </w:tc>
        <w:tc>
          <w:tcPr>
            <w:tcW w:w="1209" w:type="dxa"/>
            <w:gridSpan w:val="2"/>
            <w:tcBorders>
              <w:top w:val="single" w:sz="4" w:space="0" w:color="auto"/>
              <w:bottom w:val="single" w:sz="4" w:space="0" w:color="auto"/>
            </w:tcBorders>
            <w:vAlign w:val="bottom"/>
          </w:tcPr>
          <w:p w14:paraId="401537DA"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090C6E94"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CFAE913"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7FCA5B54" w14:textId="77777777" w:rsidTr="00CC36C1">
        <w:trPr>
          <w:gridBefore w:val="1"/>
          <w:wBefore w:w="17" w:type="dxa"/>
        </w:trPr>
        <w:tc>
          <w:tcPr>
            <w:tcW w:w="7483" w:type="dxa"/>
            <w:gridSpan w:val="2"/>
          </w:tcPr>
          <w:p w14:paraId="3A68C488" w14:textId="1DAE74F6" w:rsidR="00DA46DA" w:rsidRPr="004005A4" w:rsidRDefault="00DA46DA" w:rsidP="00DA46DA">
            <w:pPr>
              <w:pStyle w:val="standard"/>
              <w:keepNext/>
              <w:spacing w:before="120" w:after="120" w:line="240" w:lineRule="atLeast"/>
              <w:ind w:left="230" w:hanging="230"/>
              <w:rPr>
                <w:rFonts w:cs="Calibri Light"/>
                <w:sz w:val="20"/>
                <w:szCs w:val="20"/>
              </w:rPr>
            </w:pPr>
            <w:r w:rsidRPr="004005A4">
              <w:rPr>
                <w:rFonts w:cs="Calibri Light"/>
                <w:sz w:val="20"/>
                <w:szCs w:val="20"/>
              </w:rPr>
              <w:lastRenderedPageBreak/>
              <w:t>c.</w:t>
            </w:r>
            <w:r w:rsidRPr="004005A4">
              <w:rPr>
                <w:rFonts w:cs="Calibri Light"/>
                <w:sz w:val="20"/>
                <w:szCs w:val="20"/>
              </w:rPr>
              <w:tab/>
            </w:r>
            <w:r w:rsidRPr="00134418">
              <w:rPr>
                <w:rFonts w:cs="Calibri Light"/>
                <w:b/>
                <w:bCs/>
                <w:sz w:val="20"/>
                <w:szCs w:val="20"/>
              </w:rPr>
              <w:t xml:space="preserve">Financial Statements of Foreign </w:t>
            </w:r>
            <w:r>
              <w:rPr>
                <w:rFonts w:cs="Calibri Light"/>
                <w:b/>
                <w:bCs/>
                <w:sz w:val="20"/>
                <w:szCs w:val="20"/>
              </w:rPr>
              <w:t>Acquiree</w:t>
            </w:r>
          </w:p>
        </w:tc>
        <w:tc>
          <w:tcPr>
            <w:tcW w:w="1209" w:type="dxa"/>
            <w:gridSpan w:val="2"/>
            <w:tcBorders>
              <w:top w:val="single" w:sz="4" w:space="0" w:color="auto"/>
              <w:bottom w:val="single" w:sz="4" w:space="0" w:color="auto"/>
            </w:tcBorders>
            <w:vAlign w:val="bottom"/>
          </w:tcPr>
          <w:p w14:paraId="60487012"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56003F99"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294C159"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53056C55" w14:textId="77777777" w:rsidTr="00CC36C1">
        <w:trPr>
          <w:gridBefore w:val="1"/>
          <w:wBefore w:w="17" w:type="dxa"/>
        </w:trPr>
        <w:tc>
          <w:tcPr>
            <w:tcW w:w="7483" w:type="dxa"/>
            <w:gridSpan w:val="2"/>
          </w:tcPr>
          <w:p w14:paraId="53B834B5" w14:textId="55DECB9F" w:rsidR="00040988" w:rsidRPr="00FE48CE" w:rsidRDefault="00040988" w:rsidP="00FE48CE">
            <w:pPr>
              <w:pStyle w:val="level1"/>
              <w:keepNext/>
              <w:tabs>
                <w:tab w:val="clear" w:pos="576"/>
                <w:tab w:val="clear" w:pos="1152"/>
                <w:tab w:val="clear" w:pos="1728"/>
                <w:tab w:val="clear" w:pos="2304"/>
              </w:tabs>
              <w:spacing w:after="120" w:line="240" w:lineRule="atLeast"/>
              <w:ind w:left="230" w:firstLine="0"/>
              <w:rPr>
                <w:rFonts w:cs="Calibri Light"/>
                <w:sz w:val="20"/>
                <w:szCs w:val="20"/>
                <w:lang w:val="en-US"/>
              </w:rPr>
            </w:pPr>
            <w:r w:rsidRPr="00F262F2">
              <w:rPr>
                <w:rFonts w:cs="Calibri Light"/>
                <w:sz w:val="20"/>
                <w:szCs w:val="20"/>
                <w:lang w:val="en-US"/>
              </w:rPr>
              <w:t>Financial statements of an acquired or to be acquired foreign business (as defined in</w:t>
            </w:r>
            <w:r w:rsidR="009D681E">
              <w:rPr>
                <w:rFonts w:cs="Calibri Light"/>
                <w:sz w:val="20"/>
                <w:szCs w:val="20"/>
                <w:lang w:val="en-US"/>
              </w:rPr>
              <w:t xml:space="preserve"> Rule </w:t>
            </w:r>
            <w:r w:rsidRPr="00F262F2">
              <w:rPr>
                <w:rFonts w:cs="Calibri Light"/>
                <w:sz w:val="20"/>
                <w:szCs w:val="20"/>
                <w:lang w:val="en-US"/>
              </w:rPr>
              <w:t>1-02(</w:t>
            </w:r>
            <w:r w:rsidRPr="00F262F2">
              <w:rPr>
                <w:rFonts w:cs="Calibri Light"/>
                <w:i/>
                <w:iCs/>
                <w:sz w:val="20"/>
                <w:szCs w:val="20"/>
                <w:lang w:val="en-US"/>
              </w:rPr>
              <w:t>l</w:t>
            </w:r>
            <w:r w:rsidRPr="00F262F2">
              <w:rPr>
                <w:rFonts w:cs="Calibri Light"/>
                <w:sz w:val="20"/>
                <w:szCs w:val="20"/>
                <w:lang w:val="en-US"/>
              </w:rPr>
              <w:t>)) meeting the requirements of Item 17 of Form 20-F will satisfy this section. Such financial statements may be reconciled to U.S. Generally Accepted Accounting Principles (U.S. GAAP) or International Financial Reporting Standards as issued by the International Accounting Standards Board (IFRS</w:t>
            </w:r>
            <w:r>
              <w:rPr>
                <w:rFonts w:cs="Calibri Light"/>
                <w:sz w:val="20"/>
                <w:szCs w:val="20"/>
                <w:lang w:val="en-US"/>
              </w:rPr>
              <w:t>-</w:t>
            </w:r>
            <w:r w:rsidRPr="00F262F2">
              <w:rPr>
                <w:rFonts w:cs="Calibri Light"/>
                <w:sz w:val="20"/>
                <w:szCs w:val="20"/>
                <w:lang w:val="en-US"/>
              </w:rPr>
              <w:t>IASB) if the registrant is a foreign private issuer that prepares its financial statements in accordance with IFRS-IASB. This reconciliation must generally follow the form and content</w:t>
            </w:r>
            <w:r w:rsidRPr="00F262F2">
              <w:rPr>
                <w:rFonts w:cs="Calibri Light"/>
                <w:i/>
                <w:iCs/>
                <w:sz w:val="20"/>
                <w:szCs w:val="20"/>
                <w:lang w:val="en-US"/>
              </w:rPr>
              <w:t xml:space="preserve"> Adoption of International Financial Reporting Standards</w:t>
            </w:r>
            <w:r w:rsidRPr="00F262F2">
              <w:rPr>
                <w:rFonts w:cs="Calibri Light"/>
                <w:sz w:val="20"/>
                <w:szCs w:val="20"/>
                <w:lang w:val="en-US"/>
              </w:rPr>
              <w:t>, may be applied.</w:t>
            </w:r>
            <w:r>
              <w:rPr>
                <w:rFonts w:cs="Calibri Light"/>
                <w:sz w:val="20"/>
                <w:szCs w:val="20"/>
                <w:lang w:val="en-US"/>
              </w:rPr>
              <w:t xml:space="preserve"> </w:t>
            </w:r>
          </w:p>
          <w:p w14:paraId="111EAA38" w14:textId="3D251C5D" w:rsidR="00DA46DA" w:rsidRPr="004005A4" w:rsidRDefault="00DA46DA" w:rsidP="00DA46DA">
            <w:pPr>
              <w:pStyle w:val="level1"/>
              <w:tabs>
                <w:tab w:val="clear" w:pos="576"/>
                <w:tab w:val="clear" w:pos="1152"/>
                <w:tab w:val="clear" w:pos="1728"/>
                <w:tab w:val="clear" w:pos="2304"/>
              </w:tabs>
              <w:spacing w:after="120" w:line="240" w:lineRule="atLeast"/>
              <w:ind w:left="230" w:firstLine="0"/>
              <w:rPr>
                <w:rFonts w:cs="Calibri Light"/>
                <w:sz w:val="20"/>
                <w:szCs w:val="20"/>
              </w:rPr>
            </w:pPr>
            <w:r>
              <w:rPr>
                <w:rFonts w:cs="Calibri Light"/>
                <w:sz w:val="20"/>
                <w:szCs w:val="20"/>
              </w:rPr>
              <w:t xml:space="preserve">See section 2.11 of Deloitte’s </w:t>
            </w:r>
            <w:hyperlink r:id="rId41" w:history="1">
              <w:r w:rsidRPr="00430DE2">
                <w:rPr>
                  <w:rStyle w:val="Hyperlink"/>
                  <w:rFonts w:cs="Calibri Light"/>
                  <w:i/>
                  <w:iCs/>
                  <w:sz w:val="20"/>
                  <w:szCs w:val="20"/>
                </w:rPr>
                <w:t>SEC Reporting Considerations for Business Acquisitions</w:t>
              </w:r>
            </w:hyperlink>
            <w:r>
              <w:rPr>
                <w:rStyle w:val="Hyperlink"/>
                <w:rFonts w:cs="Calibri Light"/>
                <w:i/>
                <w:iCs/>
                <w:sz w:val="20"/>
                <w:szCs w:val="20"/>
              </w:rPr>
              <w:t xml:space="preserve"> </w:t>
            </w:r>
            <w:r w:rsidRPr="00FE48CE">
              <w:rPr>
                <w:rStyle w:val="Hyperlink"/>
                <w:rFonts w:cs="Calibri Light"/>
                <w:color w:val="auto"/>
                <w:sz w:val="20"/>
                <w:szCs w:val="20"/>
              </w:rPr>
              <w:t>Roadmap</w:t>
            </w:r>
            <w:r>
              <w:rPr>
                <w:rFonts w:cs="Calibri Light"/>
                <w:sz w:val="20"/>
                <w:szCs w:val="20"/>
              </w:rPr>
              <w:t>.</w:t>
            </w:r>
          </w:p>
        </w:tc>
        <w:tc>
          <w:tcPr>
            <w:tcW w:w="1209" w:type="dxa"/>
            <w:gridSpan w:val="2"/>
            <w:tcBorders>
              <w:top w:val="single" w:sz="4" w:space="0" w:color="auto"/>
              <w:bottom w:val="single" w:sz="4" w:space="0" w:color="auto"/>
            </w:tcBorders>
            <w:vAlign w:val="bottom"/>
          </w:tcPr>
          <w:p w14:paraId="6074CDD4"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7C0933A6"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80F6E41" w14:textId="77777777" w:rsidR="00DA46DA" w:rsidRPr="004005A4" w:rsidRDefault="00DA46DA" w:rsidP="00DA46DA">
            <w:pPr>
              <w:spacing w:before="120" w:after="120" w:line="240" w:lineRule="atLeast"/>
              <w:jc w:val="center"/>
              <w:rPr>
                <w:rFonts w:cs="Calibri Light"/>
                <w:b/>
                <w:sz w:val="20"/>
                <w:szCs w:val="20"/>
              </w:rPr>
            </w:pPr>
          </w:p>
        </w:tc>
      </w:tr>
      <w:tr w:rsidR="00DA46DA" w:rsidRPr="004005A4" w14:paraId="65A994BF" w14:textId="77777777" w:rsidTr="00CC36C1">
        <w:trPr>
          <w:gridBefore w:val="1"/>
          <w:wBefore w:w="17" w:type="dxa"/>
        </w:trPr>
        <w:tc>
          <w:tcPr>
            <w:tcW w:w="7483" w:type="dxa"/>
            <w:gridSpan w:val="2"/>
          </w:tcPr>
          <w:p w14:paraId="1219E5FA" w14:textId="668EEBF1" w:rsidR="00DA46DA" w:rsidRPr="004005A4" w:rsidRDefault="00DA46DA" w:rsidP="00DA46DA">
            <w:pPr>
              <w:pStyle w:val="level1"/>
              <w:tabs>
                <w:tab w:val="clear" w:pos="576"/>
                <w:tab w:val="clear" w:pos="1152"/>
                <w:tab w:val="clear" w:pos="1728"/>
                <w:tab w:val="clear" w:pos="2304"/>
              </w:tabs>
              <w:spacing w:after="120" w:line="240" w:lineRule="atLeast"/>
              <w:ind w:left="230" w:firstLine="0"/>
              <w:rPr>
                <w:rFonts w:cs="Calibri Light"/>
                <w:sz w:val="20"/>
                <w:szCs w:val="20"/>
              </w:rPr>
            </w:pPr>
            <w:r w:rsidRPr="004005A4">
              <w:rPr>
                <w:rFonts w:cs="Calibri Light"/>
                <w:sz w:val="20"/>
                <w:szCs w:val="20"/>
              </w:rPr>
              <w:t>The requirements of S-X Rule 3-05 apply only to acquisitions made by the registrant or its predecessor(s).  Financial statements of businesses recently acquired by the acquiree need not be f</w:t>
            </w:r>
            <w:r>
              <w:rPr>
                <w:rFonts w:cs="Calibri Light"/>
                <w:sz w:val="20"/>
                <w:szCs w:val="20"/>
              </w:rPr>
              <w:t>iled</w:t>
            </w:r>
            <w:r w:rsidRPr="004005A4">
              <w:rPr>
                <w:rFonts w:cs="Calibri Light"/>
                <w:sz w:val="20"/>
                <w:szCs w:val="20"/>
              </w:rPr>
              <w:t xml:space="preserve"> unless their omission would render the acquiree’s financial statements misleading or substantially incomplete.</w:t>
            </w:r>
          </w:p>
        </w:tc>
        <w:tc>
          <w:tcPr>
            <w:tcW w:w="1209" w:type="dxa"/>
            <w:gridSpan w:val="2"/>
            <w:tcBorders>
              <w:top w:val="single" w:sz="4" w:space="0" w:color="auto"/>
            </w:tcBorders>
            <w:vAlign w:val="bottom"/>
          </w:tcPr>
          <w:p w14:paraId="06986D48" w14:textId="77777777" w:rsidR="00DA46DA" w:rsidRPr="004005A4" w:rsidRDefault="00DA46DA" w:rsidP="00DA46DA">
            <w:pPr>
              <w:spacing w:before="120" w:after="120" w:line="240" w:lineRule="atLeast"/>
              <w:jc w:val="center"/>
              <w:rPr>
                <w:rFonts w:cs="Calibri Light"/>
                <w:b/>
                <w:sz w:val="20"/>
                <w:szCs w:val="20"/>
              </w:rPr>
            </w:pPr>
          </w:p>
        </w:tc>
        <w:tc>
          <w:tcPr>
            <w:tcW w:w="236" w:type="dxa"/>
            <w:gridSpan w:val="3"/>
            <w:vAlign w:val="bottom"/>
          </w:tcPr>
          <w:p w14:paraId="20A5253F" w14:textId="77777777" w:rsidR="00DA46DA" w:rsidRPr="004005A4" w:rsidRDefault="00DA46DA" w:rsidP="00DA46DA">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A929D4D" w14:textId="77777777" w:rsidR="00DA46DA" w:rsidRPr="004005A4" w:rsidRDefault="00DA46DA" w:rsidP="00DA46DA">
            <w:pPr>
              <w:spacing w:before="120" w:after="120" w:line="240" w:lineRule="atLeast"/>
              <w:jc w:val="center"/>
              <w:rPr>
                <w:rFonts w:cs="Calibri Light"/>
                <w:b/>
                <w:sz w:val="20"/>
                <w:szCs w:val="20"/>
              </w:rPr>
            </w:pPr>
          </w:p>
        </w:tc>
      </w:tr>
      <w:tr w:rsidR="00C94DA4" w:rsidRPr="004005A4" w14:paraId="677EFF9C" w14:textId="77777777" w:rsidTr="00CC36C1">
        <w:trPr>
          <w:gridBefore w:val="1"/>
          <w:wBefore w:w="17" w:type="dxa"/>
        </w:trPr>
        <w:tc>
          <w:tcPr>
            <w:tcW w:w="7483" w:type="dxa"/>
            <w:gridSpan w:val="2"/>
          </w:tcPr>
          <w:p w14:paraId="63CC76DF" w14:textId="68BF9D2B" w:rsidR="00C94DA4" w:rsidRPr="004005A4" w:rsidRDefault="00C94DA4" w:rsidP="00CC36C1">
            <w:pPr>
              <w:pStyle w:val="level1"/>
              <w:tabs>
                <w:tab w:val="clear" w:pos="576"/>
                <w:tab w:val="clear" w:pos="1152"/>
                <w:tab w:val="clear" w:pos="1728"/>
                <w:tab w:val="clear" w:pos="2304"/>
                <w:tab w:val="clear" w:pos="2880"/>
              </w:tabs>
              <w:spacing w:after="120" w:line="240" w:lineRule="atLeast"/>
              <w:ind w:left="235" w:hanging="235"/>
              <w:rPr>
                <w:rFonts w:cs="Calibri Light"/>
                <w:sz w:val="20"/>
                <w:szCs w:val="20"/>
              </w:rPr>
            </w:pPr>
            <w:r>
              <w:rPr>
                <w:rFonts w:cs="Calibri Light"/>
                <w:b/>
                <w:bCs/>
                <w:sz w:val="20"/>
                <w:szCs w:val="20"/>
              </w:rPr>
              <w:t>d.</w:t>
            </w:r>
            <w:r>
              <w:rPr>
                <w:rFonts w:cs="Calibri Light"/>
                <w:b/>
                <w:bCs/>
                <w:sz w:val="20"/>
                <w:szCs w:val="20"/>
              </w:rPr>
              <w:tab/>
            </w:r>
            <w:r w:rsidRPr="00C90772">
              <w:rPr>
                <w:rFonts w:cs="Calibri Light"/>
                <w:b/>
                <w:bCs/>
                <w:sz w:val="20"/>
                <w:szCs w:val="20"/>
              </w:rPr>
              <w:t>Financial Statements of an Acquired or to be Acquired Business that Would be a Foreign Private Issued if it Were a Registrant</w:t>
            </w:r>
          </w:p>
        </w:tc>
        <w:tc>
          <w:tcPr>
            <w:tcW w:w="1209" w:type="dxa"/>
            <w:gridSpan w:val="2"/>
            <w:tcBorders>
              <w:top w:val="single" w:sz="4" w:space="0" w:color="auto"/>
              <w:bottom w:val="single" w:sz="4" w:space="0" w:color="auto"/>
            </w:tcBorders>
            <w:vAlign w:val="bottom"/>
          </w:tcPr>
          <w:p w14:paraId="35F93CA1" w14:textId="77777777" w:rsidR="00C94DA4" w:rsidRPr="004005A4" w:rsidRDefault="00C94DA4" w:rsidP="00C94DA4">
            <w:pPr>
              <w:spacing w:before="120" w:after="120" w:line="240" w:lineRule="atLeast"/>
              <w:jc w:val="center"/>
              <w:rPr>
                <w:rFonts w:cs="Calibri Light"/>
                <w:b/>
                <w:sz w:val="20"/>
                <w:szCs w:val="20"/>
              </w:rPr>
            </w:pPr>
          </w:p>
        </w:tc>
        <w:tc>
          <w:tcPr>
            <w:tcW w:w="236" w:type="dxa"/>
            <w:gridSpan w:val="3"/>
            <w:vAlign w:val="bottom"/>
          </w:tcPr>
          <w:p w14:paraId="3597AA61" w14:textId="77777777" w:rsidR="00C94DA4" w:rsidRPr="004005A4" w:rsidRDefault="00C94DA4" w:rsidP="00C94DA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670266E" w14:textId="77777777" w:rsidR="00C94DA4" w:rsidRPr="004005A4" w:rsidRDefault="00C94DA4" w:rsidP="00C94DA4">
            <w:pPr>
              <w:spacing w:before="120" w:after="120" w:line="240" w:lineRule="atLeast"/>
              <w:jc w:val="center"/>
              <w:rPr>
                <w:rFonts w:cs="Calibri Light"/>
                <w:b/>
                <w:sz w:val="20"/>
                <w:szCs w:val="20"/>
              </w:rPr>
            </w:pPr>
          </w:p>
        </w:tc>
      </w:tr>
      <w:tr w:rsidR="00C94DA4" w:rsidRPr="004005A4" w14:paraId="55C069FA" w14:textId="77777777" w:rsidTr="00CC36C1">
        <w:trPr>
          <w:gridBefore w:val="1"/>
          <w:wBefore w:w="17" w:type="dxa"/>
        </w:trPr>
        <w:tc>
          <w:tcPr>
            <w:tcW w:w="7483" w:type="dxa"/>
            <w:gridSpan w:val="2"/>
          </w:tcPr>
          <w:p w14:paraId="0E20DF9D" w14:textId="27C4EF57" w:rsidR="00C94DA4" w:rsidRPr="004005A4" w:rsidRDefault="00C94DA4" w:rsidP="00C94DA4">
            <w:pPr>
              <w:pStyle w:val="level1"/>
              <w:tabs>
                <w:tab w:val="clear" w:pos="576"/>
                <w:tab w:val="clear" w:pos="1152"/>
                <w:tab w:val="clear" w:pos="1728"/>
                <w:tab w:val="clear" w:pos="2304"/>
              </w:tabs>
              <w:spacing w:after="120" w:line="240" w:lineRule="atLeast"/>
              <w:ind w:left="230" w:firstLine="0"/>
              <w:rPr>
                <w:rFonts w:cs="Calibri Light"/>
                <w:sz w:val="20"/>
                <w:szCs w:val="20"/>
              </w:rPr>
            </w:pPr>
            <w:r>
              <w:rPr>
                <w:rFonts w:cs="Calibri Light"/>
                <w:sz w:val="20"/>
                <w:szCs w:val="20"/>
              </w:rPr>
              <w:t>Fi</w:t>
            </w:r>
            <w:r w:rsidRPr="00C34EC8">
              <w:rPr>
                <w:rFonts w:cs="Calibri Light"/>
                <w:sz w:val="20"/>
                <w:szCs w:val="20"/>
              </w:rPr>
              <w:t xml:space="preserve">nancial statements of an acquired or to be acquired business that is not a foreign business (as defined in </w:t>
            </w:r>
            <w:r>
              <w:rPr>
                <w:rFonts w:cs="Calibri Light"/>
                <w:sz w:val="20"/>
                <w:szCs w:val="20"/>
              </w:rPr>
              <w:t xml:space="preserve">Rule </w:t>
            </w:r>
            <w:r w:rsidRPr="00C34EC8">
              <w:rPr>
                <w:rFonts w:cs="Calibri Light"/>
                <w:sz w:val="20"/>
                <w:szCs w:val="20"/>
              </w:rPr>
              <w:t>1-02(l)), but would qualify as a foreign private issuer (as defined in §§ 230.405 and 240.3b-4 of this chapter) if it were a registrant may be prepared in accordance with IFRS-IASB without reconciliation to U.S. GAAP or, if the registrant is a foreign private issuer that prepares its financial statements in accordance with IFRS-IASB, may be prepared according to a comprehensive basis of accounting principles other than U.S. GAAP or IFRS-IASB and must be reconciled to IFRS-IASB or to U.S. GAAP. This reconciliation must generally follow the form and content requirements in Item 17(c) of Form 20-F; however, accommodations in Item 17(c)(2) of Form 20-F that would be inconsistent with IFRS-IASB may not be applied, and IFRS 1,</w:t>
            </w:r>
            <w:r w:rsidR="00BE1C9D">
              <w:rPr>
                <w:rFonts w:cs="Calibri Light"/>
                <w:sz w:val="20"/>
                <w:szCs w:val="20"/>
              </w:rPr>
              <w:t xml:space="preserve"> </w:t>
            </w:r>
            <w:r w:rsidRPr="00C34EC8">
              <w:rPr>
                <w:rFonts w:cs="Calibri Light"/>
                <w:i/>
                <w:iCs/>
                <w:sz w:val="20"/>
                <w:szCs w:val="20"/>
              </w:rPr>
              <w:t>First-time Adoption of International Financial Reporting Standards,</w:t>
            </w:r>
            <w:r w:rsidRPr="00C34EC8">
              <w:rPr>
                <w:rFonts w:cs="Calibri Light"/>
                <w:sz w:val="20"/>
                <w:szCs w:val="20"/>
              </w:rPr>
              <w:t> may be applied.</w:t>
            </w:r>
          </w:p>
        </w:tc>
        <w:tc>
          <w:tcPr>
            <w:tcW w:w="1209" w:type="dxa"/>
            <w:gridSpan w:val="2"/>
            <w:tcBorders>
              <w:top w:val="single" w:sz="4" w:space="0" w:color="auto"/>
              <w:bottom w:val="single" w:sz="4" w:space="0" w:color="auto"/>
            </w:tcBorders>
            <w:vAlign w:val="bottom"/>
          </w:tcPr>
          <w:p w14:paraId="1E2F38A5" w14:textId="77777777" w:rsidR="00C94DA4" w:rsidRPr="004005A4" w:rsidRDefault="00C94DA4" w:rsidP="00C94DA4">
            <w:pPr>
              <w:spacing w:before="120" w:after="120" w:line="240" w:lineRule="atLeast"/>
              <w:jc w:val="center"/>
              <w:rPr>
                <w:rFonts w:cs="Calibri Light"/>
                <w:b/>
                <w:sz w:val="20"/>
                <w:szCs w:val="20"/>
              </w:rPr>
            </w:pPr>
          </w:p>
        </w:tc>
        <w:tc>
          <w:tcPr>
            <w:tcW w:w="236" w:type="dxa"/>
            <w:gridSpan w:val="3"/>
            <w:vAlign w:val="bottom"/>
          </w:tcPr>
          <w:p w14:paraId="149CC4AC" w14:textId="77777777" w:rsidR="00C94DA4" w:rsidRPr="004005A4" w:rsidRDefault="00C94DA4" w:rsidP="00C94DA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D31ACD6" w14:textId="77777777" w:rsidR="00C94DA4" w:rsidRPr="004005A4" w:rsidRDefault="00C94DA4" w:rsidP="00C94DA4">
            <w:pPr>
              <w:spacing w:before="120" w:after="120" w:line="240" w:lineRule="atLeast"/>
              <w:jc w:val="center"/>
              <w:rPr>
                <w:rFonts w:cs="Calibri Light"/>
                <w:b/>
                <w:sz w:val="20"/>
                <w:szCs w:val="20"/>
              </w:rPr>
            </w:pPr>
          </w:p>
        </w:tc>
      </w:tr>
      <w:tr w:rsidR="00C94DA4" w:rsidRPr="004005A4" w14:paraId="6967BEB3" w14:textId="77777777" w:rsidTr="00CC36C1">
        <w:trPr>
          <w:gridBefore w:val="1"/>
          <w:wBefore w:w="17" w:type="dxa"/>
        </w:trPr>
        <w:tc>
          <w:tcPr>
            <w:tcW w:w="7483" w:type="dxa"/>
            <w:gridSpan w:val="2"/>
          </w:tcPr>
          <w:p w14:paraId="35BC544E" w14:textId="77777777" w:rsidR="00C94DA4" w:rsidRPr="004005A4" w:rsidRDefault="00C94DA4" w:rsidP="00C94DA4">
            <w:pPr>
              <w:pStyle w:val="level1"/>
              <w:tabs>
                <w:tab w:val="clear" w:pos="576"/>
                <w:tab w:val="clear" w:pos="1152"/>
                <w:tab w:val="clear" w:pos="1728"/>
                <w:tab w:val="clear" w:pos="2304"/>
              </w:tabs>
              <w:spacing w:after="120" w:line="240" w:lineRule="atLeast"/>
              <w:ind w:left="230" w:firstLine="0"/>
              <w:rPr>
                <w:rFonts w:cs="Calibri Light"/>
                <w:sz w:val="20"/>
                <w:szCs w:val="20"/>
              </w:rPr>
            </w:pPr>
            <w:r w:rsidRPr="004005A4">
              <w:rPr>
                <w:rFonts w:cs="Calibri Light"/>
                <w:sz w:val="20"/>
                <w:szCs w:val="20"/>
              </w:rPr>
              <w:t>See also the following:</w:t>
            </w:r>
          </w:p>
        </w:tc>
        <w:tc>
          <w:tcPr>
            <w:tcW w:w="1209" w:type="dxa"/>
            <w:gridSpan w:val="2"/>
            <w:tcBorders>
              <w:top w:val="single" w:sz="4" w:space="0" w:color="auto"/>
            </w:tcBorders>
            <w:vAlign w:val="bottom"/>
          </w:tcPr>
          <w:p w14:paraId="14FB03EA" w14:textId="77777777" w:rsidR="00C94DA4" w:rsidRPr="004005A4" w:rsidRDefault="00C94DA4" w:rsidP="00C94DA4">
            <w:pPr>
              <w:spacing w:before="120" w:after="120" w:line="240" w:lineRule="atLeast"/>
              <w:jc w:val="center"/>
              <w:rPr>
                <w:rFonts w:cs="Calibri Light"/>
                <w:b/>
                <w:sz w:val="20"/>
                <w:szCs w:val="20"/>
              </w:rPr>
            </w:pPr>
          </w:p>
        </w:tc>
        <w:tc>
          <w:tcPr>
            <w:tcW w:w="236" w:type="dxa"/>
            <w:gridSpan w:val="3"/>
            <w:vAlign w:val="bottom"/>
          </w:tcPr>
          <w:p w14:paraId="7CD1D7BC" w14:textId="77777777" w:rsidR="00C94DA4" w:rsidRPr="004005A4" w:rsidRDefault="00C94DA4" w:rsidP="00C94DA4">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94E3C30" w14:textId="77777777" w:rsidR="00C94DA4" w:rsidRPr="004005A4" w:rsidRDefault="00C94DA4" w:rsidP="00C94DA4">
            <w:pPr>
              <w:spacing w:before="120" w:after="120" w:line="240" w:lineRule="atLeast"/>
              <w:jc w:val="center"/>
              <w:rPr>
                <w:rFonts w:cs="Calibri Light"/>
                <w:b/>
                <w:sz w:val="20"/>
                <w:szCs w:val="20"/>
              </w:rPr>
            </w:pPr>
          </w:p>
        </w:tc>
      </w:tr>
      <w:tr w:rsidR="00C94DA4" w:rsidRPr="004005A4" w14:paraId="4AD2AC6C" w14:textId="77777777" w:rsidTr="00CC36C1">
        <w:trPr>
          <w:gridBefore w:val="1"/>
          <w:wBefore w:w="17" w:type="dxa"/>
        </w:trPr>
        <w:tc>
          <w:tcPr>
            <w:tcW w:w="7483" w:type="dxa"/>
            <w:gridSpan w:val="2"/>
          </w:tcPr>
          <w:p w14:paraId="4C0BBAE2" w14:textId="206E9F6F" w:rsidR="00C94DA4" w:rsidRPr="004005A4" w:rsidRDefault="00C94DA4" w:rsidP="00C94DA4">
            <w:pPr>
              <w:pStyle w:val="levela"/>
              <w:numPr>
                <w:ilvl w:val="0"/>
                <w:numId w:val="94"/>
              </w:numPr>
              <w:tabs>
                <w:tab w:val="clear" w:pos="576"/>
              </w:tabs>
              <w:spacing w:before="120" w:after="120" w:line="240" w:lineRule="atLeast"/>
              <w:ind w:left="500" w:hanging="270"/>
              <w:rPr>
                <w:rFonts w:cs="Calibri Light"/>
                <w:sz w:val="20"/>
                <w:szCs w:val="20"/>
              </w:rPr>
            </w:pPr>
            <w:r w:rsidRPr="004005A4">
              <w:rPr>
                <w:rFonts w:cs="Calibri Light"/>
                <w:sz w:val="20"/>
                <w:szCs w:val="20"/>
              </w:rPr>
              <w:t>SAB Topic 2 regarding business combinations</w:t>
            </w:r>
          </w:p>
        </w:tc>
        <w:tc>
          <w:tcPr>
            <w:tcW w:w="1209" w:type="dxa"/>
            <w:gridSpan w:val="2"/>
            <w:vAlign w:val="bottom"/>
          </w:tcPr>
          <w:p w14:paraId="790D527B" w14:textId="77777777" w:rsidR="00C94DA4" w:rsidRPr="004005A4" w:rsidRDefault="00C94DA4" w:rsidP="00C94DA4">
            <w:pPr>
              <w:spacing w:before="120" w:after="120" w:line="240" w:lineRule="atLeast"/>
              <w:jc w:val="center"/>
              <w:rPr>
                <w:rFonts w:cs="Calibri Light"/>
                <w:b/>
                <w:sz w:val="20"/>
                <w:szCs w:val="20"/>
              </w:rPr>
            </w:pPr>
          </w:p>
        </w:tc>
        <w:tc>
          <w:tcPr>
            <w:tcW w:w="236" w:type="dxa"/>
            <w:gridSpan w:val="3"/>
            <w:vAlign w:val="bottom"/>
          </w:tcPr>
          <w:p w14:paraId="0F22257C" w14:textId="77777777" w:rsidR="00C94DA4" w:rsidRPr="004005A4" w:rsidRDefault="00C94DA4" w:rsidP="00C94DA4">
            <w:pPr>
              <w:spacing w:before="120" w:after="120" w:line="240" w:lineRule="atLeast"/>
              <w:jc w:val="center"/>
              <w:rPr>
                <w:rFonts w:cs="Calibri Light"/>
                <w:b/>
                <w:sz w:val="20"/>
                <w:szCs w:val="20"/>
              </w:rPr>
            </w:pPr>
          </w:p>
        </w:tc>
        <w:tc>
          <w:tcPr>
            <w:tcW w:w="1181" w:type="dxa"/>
            <w:gridSpan w:val="2"/>
            <w:vAlign w:val="bottom"/>
          </w:tcPr>
          <w:p w14:paraId="2C04AFA2" w14:textId="77777777" w:rsidR="00C94DA4" w:rsidRPr="004005A4" w:rsidRDefault="00C94DA4" w:rsidP="00C94DA4">
            <w:pPr>
              <w:spacing w:before="120" w:after="120" w:line="240" w:lineRule="atLeast"/>
              <w:jc w:val="center"/>
              <w:rPr>
                <w:rFonts w:cs="Calibri Light"/>
                <w:b/>
                <w:sz w:val="20"/>
                <w:szCs w:val="20"/>
              </w:rPr>
            </w:pPr>
          </w:p>
        </w:tc>
      </w:tr>
      <w:tr w:rsidR="00C94DA4" w:rsidRPr="004005A4" w14:paraId="02F0F1F2" w14:textId="77777777" w:rsidTr="00CC36C1">
        <w:trPr>
          <w:gridBefore w:val="1"/>
          <w:wBefore w:w="17" w:type="dxa"/>
        </w:trPr>
        <w:tc>
          <w:tcPr>
            <w:tcW w:w="7483" w:type="dxa"/>
            <w:gridSpan w:val="2"/>
          </w:tcPr>
          <w:p w14:paraId="0F2D8B85" w14:textId="15F69C62" w:rsidR="00C94DA4" w:rsidRPr="004005A4" w:rsidRDefault="00C94DA4" w:rsidP="00C94DA4">
            <w:pPr>
              <w:pStyle w:val="levela"/>
              <w:keepNext/>
              <w:numPr>
                <w:ilvl w:val="0"/>
                <w:numId w:val="94"/>
              </w:numPr>
              <w:tabs>
                <w:tab w:val="clear" w:pos="576"/>
              </w:tabs>
              <w:spacing w:before="120" w:after="120" w:line="240" w:lineRule="atLeast"/>
              <w:ind w:left="500" w:hanging="270"/>
              <w:rPr>
                <w:rFonts w:cs="Calibri Light"/>
                <w:sz w:val="20"/>
                <w:szCs w:val="20"/>
              </w:rPr>
            </w:pPr>
            <w:r w:rsidRPr="004005A4">
              <w:rPr>
                <w:rFonts w:cs="Calibri Light"/>
                <w:sz w:val="20"/>
                <w:szCs w:val="20"/>
              </w:rPr>
              <w:t>SAB Topic 1-A regarding financial statements of target companies</w:t>
            </w:r>
          </w:p>
        </w:tc>
        <w:tc>
          <w:tcPr>
            <w:tcW w:w="1209" w:type="dxa"/>
            <w:gridSpan w:val="2"/>
            <w:vAlign w:val="bottom"/>
          </w:tcPr>
          <w:p w14:paraId="614E3073" w14:textId="77777777" w:rsidR="00C94DA4" w:rsidRPr="004005A4" w:rsidRDefault="00C94DA4" w:rsidP="00C94DA4">
            <w:pPr>
              <w:spacing w:before="120" w:after="120" w:line="240" w:lineRule="atLeast"/>
              <w:jc w:val="center"/>
              <w:rPr>
                <w:rFonts w:cs="Calibri Light"/>
                <w:b/>
                <w:sz w:val="20"/>
                <w:szCs w:val="20"/>
              </w:rPr>
            </w:pPr>
          </w:p>
        </w:tc>
        <w:tc>
          <w:tcPr>
            <w:tcW w:w="236" w:type="dxa"/>
            <w:gridSpan w:val="3"/>
            <w:vAlign w:val="bottom"/>
          </w:tcPr>
          <w:p w14:paraId="0FA5A264" w14:textId="77777777" w:rsidR="00C94DA4" w:rsidRPr="004005A4" w:rsidRDefault="00C94DA4" w:rsidP="00C94DA4">
            <w:pPr>
              <w:spacing w:before="120" w:after="120" w:line="240" w:lineRule="atLeast"/>
              <w:jc w:val="center"/>
              <w:rPr>
                <w:rFonts w:cs="Calibri Light"/>
                <w:b/>
                <w:sz w:val="20"/>
                <w:szCs w:val="20"/>
              </w:rPr>
            </w:pPr>
          </w:p>
        </w:tc>
        <w:tc>
          <w:tcPr>
            <w:tcW w:w="1181" w:type="dxa"/>
            <w:gridSpan w:val="2"/>
            <w:vAlign w:val="bottom"/>
          </w:tcPr>
          <w:p w14:paraId="60539E68" w14:textId="77777777" w:rsidR="00C94DA4" w:rsidRPr="004005A4" w:rsidRDefault="00C94DA4" w:rsidP="00C94DA4">
            <w:pPr>
              <w:spacing w:before="120" w:after="120" w:line="240" w:lineRule="atLeast"/>
              <w:jc w:val="center"/>
              <w:rPr>
                <w:rFonts w:cs="Calibri Light"/>
                <w:b/>
                <w:sz w:val="20"/>
                <w:szCs w:val="20"/>
              </w:rPr>
            </w:pPr>
          </w:p>
        </w:tc>
      </w:tr>
      <w:tr w:rsidR="00C94DA4" w:rsidRPr="004005A4" w14:paraId="29B44446" w14:textId="77777777" w:rsidTr="00CC36C1">
        <w:trPr>
          <w:gridBefore w:val="1"/>
          <w:wBefore w:w="17" w:type="dxa"/>
        </w:trPr>
        <w:tc>
          <w:tcPr>
            <w:tcW w:w="7483" w:type="dxa"/>
            <w:gridSpan w:val="2"/>
          </w:tcPr>
          <w:p w14:paraId="707E958C" w14:textId="3C135AD0" w:rsidR="00C94DA4" w:rsidRPr="004005A4" w:rsidRDefault="00C94DA4" w:rsidP="00C94DA4">
            <w:pPr>
              <w:pStyle w:val="levela"/>
              <w:numPr>
                <w:ilvl w:val="0"/>
                <w:numId w:val="94"/>
              </w:numPr>
              <w:tabs>
                <w:tab w:val="clear" w:pos="576"/>
              </w:tabs>
              <w:spacing w:before="120" w:after="120" w:line="240" w:lineRule="atLeast"/>
              <w:ind w:left="500" w:hanging="270"/>
              <w:rPr>
                <w:rFonts w:cs="Calibri Light"/>
                <w:sz w:val="20"/>
                <w:szCs w:val="20"/>
              </w:rPr>
            </w:pPr>
            <w:r w:rsidRPr="004005A4">
              <w:rPr>
                <w:rFonts w:cs="Calibri Light"/>
                <w:sz w:val="20"/>
                <w:szCs w:val="20"/>
              </w:rPr>
              <w:t xml:space="preserve">SAB Topic 1-B (SAB 55) — </w:t>
            </w:r>
            <w:r w:rsidRPr="004005A4">
              <w:rPr>
                <w:rFonts w:cs="Calibri Light"/>
                <w:b/>
                <w:sz w:val="20"/>
                <w:szCs w:val="20"/>
              </w:rPr>
              <w:t xml:space="preserve">Allocation of expenses and related disclosures in subsidiaries’ financial statements.  </w:t>
            </w:r>
            <w:r w:rsidRPr="004005A4">
              <w:rPr>
                <w:rFonts w:cs="Calibri Light"/>
                <w:sz w:val="20"/>
                <w:szCs w:val="20"/>
              </w:rPr>
              <w:t>Historical income statements of subsidiaries (and divisions or lesser business components) when presented separately should reflect all costs of doing business, including those incurred on their behalf by the parent.</w:t>
            </w:r>
          </w:p>
        </w:tc>
        <w:tc>
          <w:tcPr>
            <w:tcW w:w="1209" w:type="dxa"/>
            <w:gridSpan w:val="2"/>
            <w:vAlign w:val="bottom"/>
          </w:tcPr>
          <w:p w14:paraId="433C0463" w14:textId="77777777" w:rsidR="00C94DA4" w:rsidRPr="004005A4" w:rsidRDefault="00C94DA4" w:rsidP="00C94DA4">
            <w:pPr>
              <w:spacing w:before="120" w:after="120" w:line="240" w:lineRule="atLeast"/>
              <w:jc w:val="center"/>
              <w:rPr>
                <w:rFonts w:cs="Calibri Light"/>
                <w:b/>
                <w:sz w:val="20"/>
                <w:szCs w:val="20"/>
              </w:rPr>
            </w:pPr>
          </w:p>
        </w:tc>
        <w:tc>
          <w:tcPr>
            <w:tcW w:w="236" w:type="dxa"/>
            <w:gridSpan w:val="3"/>
            <w:vAlign w:val="bottom"/>
          </w:tcPr>
          <w:p w14:paraId="7081235A" w14:textId="77777777" w:rsidR="00C94DA4" w:rsidRPr="004005A4" w:rsidRDefault="00C94DA4" w:rsidP="00C94DA4">
            <w:pPr>
              <w:spacing w:before="120" w:after="120" w:line="240" w:lineRule="atLeast"/>
              <w:jc w:val="center"/>
              <w:rPr>
                <w:rFonts w:cs="Calibri Light"/>
                <w:b/>
                <w:sz w:val="20"/>
                <w:szCs w:val="20"/>
              </w:rPr>
            </w:pPr>
          </w:p>
        </w:tc>
        <w:tc>
          <w:tcPr>
            <w:tcW w:w="1181" w:type="dxa"/>
            <w:gridSpan w:val="2"/>
            <w:vAlign w:val="bottom"/>
          </w:tcPr>
          <w:p w14:paraId="25362849" w14:textId="77777777" w:rsidR="00C94DA4" w:rsidRPr="004005A4" w:rsidRDefault="00C94DA4" w:rsidP="00C94DA4">
            <w:pPr>
              <w:spacing w:before="120" w:after="120" w:line="240" w:lineRule="atLeast"/>
              <w:jc w:val="center"/>
              <w:rPr>
                <w:rFonts w:cs="Calibri Light"/>
                <w:b/>
                <w:sz w:val="20"/>
                <w:szCs w:val="20"/>
              </w:rPr>
            </w:pPr>
          </w:p>
        </w:tc>
      </w:tr>
      <w:tr w:rsidR="00F5320C" w:rsidRPr="004005A4" w14:paraId="4F0310D4" w14:textId="77777777" w:rsidTr="00CC36C1">
        <w:trPr>
          <w:gridBefore w:val="1"/>
          <w:wBefore w:w="17" w:type="dxa"/>
        </w:trPr>
        <w:tc>
          <w:tcPr>
            <w:tcW w:w="7483" w:type="dxa"/>
            <w:gridSpan w:val="2"/>
          </w:tcPr>
          <w:p w14:paraId="1D4F527F" w14:textId="505FE6A7" w:rsidR="00F5320C" w:rsidRPr="004005A4" w:rsidRDefault="00F5320C" w:rsidP="00CC36C1">
            <w:pPr>
              <w:pStyle w:val="levela"/>
              <w:numPr>
                <w:ilvl w:val="0"/>
                <w:numId w:val="93"/>
              </w:numPr>
              <w:tabs>
                <w:tab w:val="clear" w:pos="576"/>
              </w:tabs>
              <w:spacing w:before="120" w:after="120" w:line="240" w:lineRule="atLeast"/>
              <w:ind w:left="235" w:hanging="235"/>
              <w:rPr>
                <w:rFonts w:cs="Calibri Light"/>
                <w:sz w:val="20"/>
                <w:szCs w:val="20"/>
              </w:rPr>
            </w:pPr>
            <w:r>
              <w:rPr>
                <w:rFonts w:cs="Calibri Light"/>
                <w:b/>
                <w:sz w:val="20"/>
                <w:szCs w:val="20"/>
              </w:rPr>
              <w:t>Financial Statements for Net Assets That Constitute a Business</w:t>
            </w:r>
          </w:p>
        </w:tc>
        <w:tc>
          <w:tcPr>
            <w:tcW w:w="1209" w:type="dxa"/>
            <w:gridSpan w:val="2"/>
            <w:vAlign w:val="bottom"/>
          </w:tcPr>
          <w:p w14:paraId="071C85FE" w14:textId="77777777" w:rsidR="00F5320C" w:rsidRPr="004005A4" w:rsidRDefault="00F5320C" w:rsidP="00F5320C">
            <w:pPr>
              <w:spacing w:before="120" w:after="120" w:line="240" w:lineRule="atLeast"/>
              <w:jc w:val="center"/>
              <w:rPr>
                <w:rFonts w:cs="Calibri Light"/>
                <w:b/>
                <w:sz w:val="20"/>
                <w:szCs w:val="20"/>
              </w:rPr>
            </w:pPr>
          </w:p>
        </w:tc>
        <w:tc>
          <w:tcPr>
            <w:tcW w:w="236" w:type="dxa"/>
            <w:gridSpan w:val="3"/>
            <w:vAlign w:val="bottom"/>
          </w:tcPr>
          <w:p w14:paraId="6C4D090F" w14:textId="77777777" w:rsidR="00F5320C" w:rsidRPr="004005A4" w:rsidRDefault="00F5320C" w:rsidP="00F5320C">
            <w:pPr>
              <w:spacing w:before="120" w:after="120" w:line="240" w:lineRule="atLeast"/>
              <w:jc w:val="center"/>
              <w:rPr>
                <w:rFonts w:cs="Calibri Light"/>
                <w:b/>
                <w:sz w:val="20"/>
                <w:szCs w:val="20"/>
              </w:rPr>
            </w:pPr>
          </w:p>
        </w:tc>
        <w:tc>
          <w:tcPr>
            <w:tcW w:w="1181" w:type="dxa"/>
            <w:gridSpan w:val="2"/>
            <w:vAlign w:val="bottom"/>
          </w:tcPr>
          <w:p w14:paraId="62616F98" w14:textId="77777777" w:rsidR="00F5320C" w:rsidRPr="004005A4" w:rsidRDefault="00F5320C" w:rsidP="00F5320C">
            <w:pPr>
              <w:spacing w:before="120" w:after="120" w:line="240" w:lineRule="atLeast"/>
              <w:jc w:val="center"/>
              <w:rPr>
                <w:rFonts w:cs="Calibri Light"/>
                <w:b/>
                <w:sz w:val="20"/>
                <w:szCs w:val="20"/>
              </w:rPr>
            </w:pPr>
          </w:p>
        </w:tc>
      </w:tr>
      <w:tr w:rsidR="00F5320C" w:rsidRPr="004005A4" w14:paraId="78E94709" w14:textId="77777777" w:rsidTr="00CC36C1">
        <w:trPr>
          <w:gridBefore w:val="1"/>
          <w:wBefore w:w="17" w:type="dxa"/>
        </w:trPr>
        <w:tc>
          <w:tcPr>
            <w:tcW w:w="7483" w:type="dxa"/>
            <w:gridSpan w:val="2"/>
          </w:tcPr>
          <w:p w14:paraId="43A98376" w14:textId="67C7750D" w:rsidR="00F5320C" w:rsidRPr="004005A4" w:rsidRDefault="00F5320C" w:rsidP="00CC36C1">
            <w:pPr>
              <w:pStyle w:val="levela"/>
              <w:tabs>
                <w:tab w:val="clear" w:pos="576"/>
              </w:tabs>
              <w:spacing w:before="120" w:after="120" w:line="240" w:lineRule="atLeast"/>
              <w:ind w:left="235" w:firstLine="0"/>
              <w:rPr>
                <w:rFonts w:cs="Calibri Light"/>
                <w:sz w:val="20"/>
                <w:szCs w:val="20"/>
              </w:rPr>
            </w:pPr>
            <w:r w:rsidRPr="00C90772">
              <w:rPr>
                <w:rFonts w:cs="Calibri Light"/>
                <w:bCs/>
                <w:sz w:val="20"/>
                <w:szCs w:val="20"/>
              </w:rPr>
              <w:lastRenderedPageBreak/>
              <w:t>For an acquisition of net assets that constitutes a business (</w:t>
            </w:r>
            <w:r w:rsidRPr="00C90772">
              <w:rPr>
                <w:rFonts w:cs="Calibri Light"/>
                <w:bCs/>
                <w:i/>
                <w:iCs/>
                <w:sz w:val="20"/>
                <w:szCs w:val="20"/>
              </w:rPr>
              <w:t>e.g.,</w:t>
            </w:r>
            <w:r w:rsidRPr="00C90772">
              <w:rPr>
                <w:rFonts w:cs="Calibri Light"/>
                <w:bCs/>
                <w:sz w:val="20"/>
                <w:szCs w:val="20"/>
              </w:rPr>
              <w:t> an acquired or to be acquired product line), the financial statements prepared and audited in accordance with Regulation S-X may be abbreviated financial statements prepared in accordance with paragraph (e)(2) of this section if the business meets all of the qualifying conditions in paragraph (e)(1) of this section.</w:t>
            </w:r>
          </w:p>
        </w:tc>
        <w:tc>
          <w:tcPr>
            <w:tcW w:w="1209" w:type="dxa"/>
            <w:gridSpan w:val="2"/>
            <w:vAlign w:val="bottom"/>
          </w:tcPr>
          <w:p w14:paraId="592515AA" w14:textId="77777777" w:rsidR="00F5320C" w:rsidRPr="004005A4" w:rsidRDefault="00F5320C" w:rsidP="00F5320C">
            <w:pPr>
              <w:spacing w:before="120" w:after="120" w:line="240" w:lineRule="atLeast"/>
              <w:jc w:val="center"/>
              <w:rPr>
                <w:rFonts w:cs="Calibri Light"/>
                <w:b/>
                <w:sz w:val="20"/>
                <w:szCs w:val="20"/>
              </w:rPr>
            </w:pPr>
          </w:p>
        </w:tc>
        <w:tc>
          <w:tcPr>
            <w:tcW w:w="236" w:type="dxa"/>
            <w:gridSpan w:val="3"/>
            <w:vAlign w:val="bottom"/>
          </w:tcPr>
          <w:p w14:paraId="7EBD05C0" w14:textId="77777777" w:rsidR="00F5320C" w:rsidRPr="004005A4" w:rsidRDefault="00F5320C" w:rsidP="00F5320C">
            <w:pPr>
              <w:spacing w:before="120" w:after="120" w:line="240" w:lineRule="atLeast"/>
              <w:jc w:val="center"/>
              <w:rPr>
                <w:rFonts w:cs="Calibri Light"/>
                <w:b/>
                <w:sz w:val="20"/>
                <w:szCs w:val="20"/>
              </w:rPr>
            </w:pPr>
          </w:p>
        </w:tc>
        <w:tc>
          <w:tcPr>
            <w:tcW w:w="1181" w:type="dxa"/>
            <w:gridSpan w:val="2"/>
            <w:vAlign w:val="bottom"/>
          </w:tcPr>
          <w:p w14:paraId="3492A5A4" w14:textId="77777777" w:rsidR="00F5320C" w:rsidRPr="004005A4" w:rsidRDefault="00F5320C" w:rsidP="00F5320C">
            <w:pPr>
              <w:spacing w:before="120" w:after="120" w:line="240" w:lineRule="atLeast"/>
              <w:jc w:val="center"/>
              <w:rPr>
                <w:rFonts w:cs="Calibri Light"/>
                <w:b/>
                <w:sz w:val="20"/>
                <w:szCs w:val="20"/>
              </w:rPr>
            </w:pPr>
          </w:p>
        </w:tc>
      </w:tr>
      <w:tr w:rsidR="00F5320C" w:rsidRPr="004005A4" w14:paraId="507007A9" w14:textId="77777777" w:rsidTr="00CC36C1">
        <w:trPr>
          <w:gridBefore w:val="1"/>
          <w:wBefore w:w="17" w:type="dxa"/>
        </w:trPr>
        <w:tc>
          <w:tcPr>
            <w:tcW w:w="7483" w:type="dxa"/>
            <w:gridSpan w:val="2"/>
          </w:tcPr>
          <w:p w14:paraId="285728E5" w14:textId="40E0EFFE" w:rsidR="00F5320C" w:rsidRPr="004005A4" w:rsidRDefault="00F5320C" w:rsidP="00E27715">
            <w:pPr>
              <w:pStyle w:val="levela"/>
              <w:numPr>
                <w:ilvl w:val="0"/>
                <w:numId w:val="142"/>
              </w:numPr>
              <w:tabs>
                <w:tab w:val="clear" w:pos="576"/>
              </w:tabs>
              <w:spacing w:before="120" w:after="120" w:line="240" w:lineRule="atLeast"/>
              <w:ind w:left="687" w:hanging="450"/>
              <w:rPr>
                <w:rFonts w:cs="Calibri Light"/>
                <w:sz w:val="20"/>
                <w:szCs w:val="20"/>
              </w:rPr>
            </w:pPr>
            <w:r>
              <w:rPr>
                <w:rFonts w:cs="Calibri Light"/>
                <w:bCs/>
                <w:sz w:val="20"/>
                <w:szCs w:val="20"/>
              </w:rPr>
              <w:t>Qualifying conditions</w:t>
            </w:r>
          </w:p>
        </w:tc>
        <w:tc>
          <w:tcPr>
            <w:tcW w:w="1209" w:type="dxa"/>
            <w:gridSpan w:val="2"/>
            <w:vAlign w:val="bottom"/>
          </w:tcPr>
          <w:p w14:paraId="32C8A026" w14:textId="77777777" w:rsidR="00F5320C" w:rsidRPr="004005A4" w:rsidRDefault="00F5320C" w:rsidP="00F5320C">
            <w:pPr>
              <w:spacing w:before="120" w:after="120" w:line="240" w:lineRule="atLeast"/>
              <w:jc w:val="center"/>
              <w:rPr>
                <w:rFonts w:cs="Calibri Light"/>
                <w:b/>
                <w:sz w:val="20"/>
                <w:szCs w:val="20"/>
              </w:rPr>
            </w:pPr>
          </w:p>
        </w:tc>
        <w:tc>
          <w:tcPr>
            <w:tcW w:w="236" w:type="dxa"/>
            <w:gridSpan w:val="3"/>
            <w:vAlign w:val="bottom"/>
          </w:tcPr>
          <w:p w14:paraId="55B4AC2B" w14:textId="77777777" w:rsidR="00F5320C" w:rsidRPr="004005A4" w:rsidRDefault="00F5320C" w:rsidP="00F5320C">
            <w:pPr>
              <w:spacing w:before="120" w:after="120" w:line="240" w:lineRule="atLeast"/>
              <w:jc w:val="center"/>
              <w:rPr>
                <w:rFonts w:cs="Calibri Light"/>
                <w:b/>
                <w:sz w:val="20"/>
                <w:szCs w:val="20"/>
              </w:rPr>
            </w:pPr>
          </w:p>
        </w:tc>
        <w:tc>
          <w:tcPr>
            <w:tcW w:w="1181" w:type="dxa"/>
            <w:gridSpan w:val="2"/>
            <w:vAlign w:val="bottom"/>
          </w:tcPr>
          <w:p w14:paraId="0F3DC9B6" w14:textId="77777777" w:rsidR="00F5320C" w:rsidRPr="004005A4" w:rsidRDefault="00F5320C" w:rsidP="00F5320C">
            <w:pPr>
              <w:spacing w:before="120" w:after="120" w:line="240" w:lineRule="atLeast"/>
              <w:jc w:val="center"/>
              <w:rPr>
                <w:rFonts w:cs="Calibri Light"/>
                <w:b/>
                <w:sz w:val="20"/>
                <w:szCs w:val="20"/>
              </w:rPr>
            </w:pPr>
          </w:p>
        </w:tc>
      </w:tr>
      <w:tr w:rsidR="002231F4" w:rsidRPr="004005A4" w14:paraId="4C34BB55" w14:textId="77777777" w:rsidTr="00CC36C1">
        <w:trPr>
          <w:gridBefore w:val="1"/>
          <w:wBefore w:w="17" w:type="dxa"/>
        </w:trPr>
        <w:tc>
          <w:tcPr>
            <w:tcW w:w="7483" w:type="dxa"/>
            <w:gridSpan w:val="2"/>
          </w:tcPr>
          <w:p w14:paraId="74E2AF3D" w14:textId="7994CC82" w:rsidR="002231F4" w:rsidRPr="004005A4" w:rsidRDefault="002231F4" w:rsidP="00E27715">
            <w:pPr>
              <w:pStyle w:val="levela"/>
              <w:tabs>
                <w:tab w:val="clear" w:pos="576"/>
                <w:tab w:val="left" w:pos="594"/>
              </w:tabs>
              <w:spacing w:before="120" w:after="120" w:line="240" w:lineRule="atLeast"/>
              <w:ind w:left="1134" w:hanging="540"/>
              <w:rPr>
                <w:rFonts w:cs="Calibri Light"/>
                <w:sz w:val="20"/>
                <w:szCs w:val="20"/>
              </w:rPr>
            </w:pPr>
            <w:r w:rsidRPr="008C55BC">
              <w:rPr>
                <w:rFonts w:cs="Calibri Light"/>
                <w:bCs/>
                <w:sz w:val="20"/>
                <w:szCs w:val="20"/>
              </w:rPr>
              <w:t xml:space="preserve">(i) </w:t>
            </w:r>
            <w:r>
              <w:rPr>
                <w:rFonts w:cs="Calibri Light"/>
                <w:bCs/>
                <w:sz w:val="20"/>
                <w:szCs w:val="20"/>
              </w:rPr>
              <w:tab/>
            </w:r>
            <w:r w:rsidRPr="008C55BC">
              <w:rPr>
                <w:rFonts w:cs="Calibri Light"/>
                <w:bCs/>
                <w:sz w:val="20"/>
                <w:szCs w:val="20"/>
              </w:rPr>
              <w:t>The total assets and total revenues (both after intercompany eliminations) of the acquired or to be acquired business constitute 20 percent or less of such corresponding amounts of the seller and its subsidiaries consolidated as of and for the most recently completed fiscal year.</w:t>
            </w:r>
          </w:p>
        </w:tc>
        <w:tc>
          <w:tcPr>
            <w:tcW w:w="1209" w:type="dxa"/>
            <w:gridSpan w:val="2"/>
            <w:tcBorders>
              <w:bottom w:val="single" w:sz="4" w:space="0" w:color="auto"/>
            </w:tcBorders>
            <w:vAlign w:val="bottom"/>
          </w:tcPr>
          <w:p w14:paraId="3769B6FD" w14:textId="77777777" w:rsidR="002231F4" w:rsidRPr="004005A4" w:rsidRDefault="002231F4" w:rsidP="002231F4">
            <w:pPr>
              <w:spacing w:before="120" w:after="120" w:line="240" w:lineRule="atLeast"/>
              <w:jc w:val="center"/>
              <w:rPr>
                <w:rFonts w:cs="Calibri Light"/>
                <w:b/>
                <w:sz w:val="20"/>
                <w:szCs w:val="20"/>
              </w:rPr>
            </w:pPr>
          </w:p>
        </w:tc>
        <w:tc>
          <w:tcPr>
            <w:tcW w:w="236" w:type="dxa"/>
            <w:gridSpan w:val="3"/>
            <w:vAlign w:val="bottom"/>
          </w:tcPr>
          <w:p w14:paraId="6D9DDD40" w14:textId="77777777" w:rsidR="002231F4" w:rsidRPr="004005A4" w:rsidRDefault="002231F4" w:rsidP="002231F4">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5C3DDC2E" w14:textId="77777777" w:rsidR="002231F4" w:rsidRPr="004005A4" w:rsidRDefault="002231F4" w:rsidP="002231F4">
            <w:pPr>
              <w:spacing w:before="120" w:after="120" w:line="240" w:lineRule="atLeast"/>
              <w:jc w:val="center"/>
              <w:rPr>
                <w:rFonts w:cs="Calibri Light"/>
                <w:b/>
                <w:sz w:val="20"/>
                <w:szCs w:val="20"/>
              </w:rPr>
            </w:pPr>
          </w:p>
        </w:tc>
      </w:tr>
      <w:tr w:rsidR="002231F4" w:rsidRPr="004005A4" w14:paraId="2C3B3E04" w14:textId="77777777" w:rsidTr="00CC36C1">
        <w:trPr>
          <w:gridBefore w:val="1"/>
          <w:wBefore w:w="17" w:type="dxa"/>
        </w:trPr>
        <w:tc>
          <w:tcPr>
            <w:tcW w:w="7483" w:type="dxa"/>
            <w:gridSpan w:val="2"/>
          </w:tcPr>
          <w:p w14:paraId="29ADF096" w14:textId="5AC86B20" w:rsidR="002231F4" w:rsidRPr="004005A4" w:rsidRDefault="002231F4" w:rsidP="00E27715">
            <w:pPr>
              <w:pStyle w:val="levela"/>
              <w:tabs>
                <w:tab w:val="clear" w:pos="576"/>
              </w:tabs>
              <w:spacing w:before="120" w:after="120" w:line="240" w:lineRule="atLeast"/>
              <w:ind w:left="1134" w:hanging="540"/>
              <w:rPr>
                <w:rFonts w:cs="Calibri Light"/>
                <w:sz w:val="20"/>
                <w:szCs w:val="20"/>
              </w:rPr>
            </w:pPr>
            <w:r w:rsidRPr="00C65E07">
              <w:rPr>
                <w:rFonts w:cs="Calibri Light"/>
                <w:bCs/>
                <w:sz w:val="20"/>
                <w:szCs w:val="20"/>
              </w:rPr>
              <w:t xml:space="preserve">(ii) </w:t>
            </w:r>
            <w:r>
              <w:rPr>
                <w:rFonts w:cs="Calibri Light"/>
                <w:bCs/>
                <w:sz w:val="20"/>
                <w:szCs w:val="20"/>
              </w:rPr>
              <w:tab/>
            </w:r>
            <w:r w:rsidRPr="00C65E07">
              <w:rPr>
                <w:rFonts w:cs="Calibri Light"/>
                <w:bCs/>
                <w:sz w:val="20"/>
                <w:szCs w:val="20"/>
              </w:rPr>
              <w:t>Separate financial statements for the business have not previously been prepared;</w:t>
            </w:r>
          </w:p>
        </w:tc>
        <w:tc>
          <w:tcPr>
            <w:tcW w:w="1209" w:type="dxa"/>
            <w:gridSpan w:val="2"/>
            <w:tcBorders>
              <w:top w:val="single" w:sz="4" w:space="0" w:color="auto"/>
              <w:bottom w:val="single" w:sz="4" w:space="0" w:color="auto"/>
            </w:tcBorders>
            <w:vAlign w:val="bottom"/>
          </w:tcPr>
          <w:p w14:paraId="10F3629E" w14:textId="77777777" w:rsidR="002231F4" w:rsidRPr="004005A4" w:rsidRDefault="002231F4" w:rsidP="002231F4">
            <w:pPr>
              <w:spacing w:before="120" w:after="120" w:line="240" w:lineRule="atLeast"/>
              <w:jc w:val="center"/>
              <w:rPr>
                <w:rFonts w:cs="Calibri Light"/>
                <w:b/>
                <w:sz w:val="20"/>
                <w:szCs w:val="20"/>
              </w:rPr>
            </w:pPr>
          </w:p>
        </w:tc>
        <w:tc>
          <w:tcPr>
            <w:tcW w:w="236" w:type="dxa"/>
            <w:gridSpan w:val="3"/>
            <w:vAlign w:val="bottom"/>
          </w:tcPr>
          <w:p w14:paraId="641AFCBF" w14:textId="77777777" w:rsidR="002231F4" w:rsidRPr="004005A4" w:rsidRDefault="002231F4" w:rsidP="002231F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A5F11CF" w14:textId="77777777" w:rsidR="002231F4" w:rsidRPr="004005A4" w:rsidRDefault="002231F4" w:rsidP="002231F4">
            <w:pPr>
              <w:spacing w:before="120" w:after="120" w:line="240" w:lineRule="atLeast"/>
              <w:jc w:val="center"/>
              <w:rPr>
                <w:rFonts w:cs="Calibri Light"/>
                <w:b/>
                <w:sz w:val="20"/>
                <w:szCs w:val="20"/>
              </w:rPr>
            </w:pPr>
          </w:p>
        </w:tc>
      </w:tr>
      <w:tr w:rsidR="002231F4" w:rsidRPr="004005A4" w14:paraId="71E84760" w14:textId="77777777" w:rsidTr="00CC36C1">
        <w:trPr>
          <w:gridBefore w:val="1"/>
          <w:wBefore w:w="17" w:type="dxa"/>
        </w:trPr>
        <w:tc>
          <w:tcPr>
            <w:tcW w:w="7483" w:type="dxa"/>
            <w:gridSpan w:val="2"/>
          </w:tcPr>
          <w:p w14:paraId="77C6F731" w14:textId="55C2A37C" w:rsidR="002231F4" w:rsidRPr="004005A4" w:rsidRDefault="002231F4" w:rsidP="00E27715">
            <w:pPr>
              <w:pStyle w:val="levela"/>
              <w:tabs>
                <w:tab w:val="clear" w:pos="576"/>
              </w:tabs>
              <w:spacing w:before="120" w:after="120" w:line="240" w:lineRule="atLeast"/>
              <w:ind w:left="1134" w:hanging="540"/>
              <w:rPr>
                <w:rFonts w:cs="Calibri Light"/>
                <w:sz w:val="20"/>
                <w:szCs w:val="20"/>
              </w:rPr>
            </w:pPr>
            <w:r w:rsidRPr="00C65E07">
              <w:rPr>
                <w:rFonts w:cs="Calibri Light"/>
                <w:bCs/>
                <w:sz w:val="20"/>
                <w:szCs w:val="20"/>
              </w:rPr>
              <w:t xml:space="preserve">(iii) </w:t>
            </w:r>
            <w:r>
              <w:rPr>
                <w:rFonts w:cs="Calibri Light"/>
                <w:bCs/>
                <w:sz w:val="20"/>
                <w:szCs w:val="20"/>
              </w:rPr>
              <w:tab/>
            </w:r>
            <w:r w:rsidRPr="00C65E07">
              <w:rPr>
                <w:rFonts w:cs="Calibri Light"/>
                <w:bCs/>
                <w:sz w:val="20"/>
                <w:szCs w:val="20"/>
              </w:rPr>
              <w:t>The acquired business was not a separate entity, subsidiary, operating segment (as defined in U.S. GAAP or IFRS-IASB, as applicable) or division during the periods for which the acquired business financial statements would be required; and</w:t>
            </w:r>
          </w:p>
        </w:tc>
        <w:tc>
          <w:tcPr>
            <w:tcW w:w="1209" w:type="dxa"/>
            <w:gridSpan w:val="2"/>
            <w:tcBorders>
              <w:top w:val="single" w:sz="4" w:space="0" w:color="auto"/>
              <w:bottom w:val="single" w:sz="4" w:space="0" w:color="auto"/>
            </w:tcBorders>
            <w:vAlign w:val="bottom"/>
          </w:tcPr>
          <w:p w14:paraId="2706078A" w14:textId="77777777" w:rsidR="002231F4" w:rsidRPr="004005A4" w:rsidRDefault="002231F4" w:rsidP="002231F4">
            <w:pPr>
              <w:spacing w:before="120" w:after="120" w:line="240" w:lineRule="atLeast"/>
              <w:jc w:val="center"/>
              <w:rPr>
                <w:rFonts w:cs="Calibri Light"/>
                <w:b/>
                <w:sz w:val="20"/>
                <w:szCs w:val="20"/>
              </w:rPr>
            </w:pPr>
          </w:p>
        </w:tc>
        <w:tc>
          <w:tcPr>
            <w:tcW w:w="236" w:type="dxa"/>
            <w:gridSpan w:val="3"/>
            <w:vAlign w:val="bottom"/>
          </w:tcPr>
          <w:p w14:paraId="2D5C12F9" w14:textId="77777777" w:rsidR="002231F4" w:rsidRPr="004005A4" w:rsidRDefault="002231F4" w:rsidP="002231F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050AC21" w14:textId="77777777" w:rsidR="002231F4" w:rsidRPr="004005A4" w:rsidRDefault="002231F4" w:rsidP="002231F4">
            <w:pPr>
              <w:spacing w:before="120" w:after="120" w:line="240" w:lineRule="atLeast"/>
              <w:jc w:val="center"/>
              <w:rPr>
                <w:rFonts w:cs="Calibri Light"/>
                <w:b/>
                <w:sz w:val="20"/>
                <w:szCs w:val="20"/>
              </w:rPr>
            </w:pPr>
          </w:p>
        </w:tc>
      </w:tr>
      <w:tr w:rsidR="002231F4" w:rsidRPr="004005A4" w14:paraId="481EFCB9" w14:textId="77777777" w:rsidTr="00CC36C1">
        <w:trPr>
          <w:gridBefore w:val="1"/>
          <w:wBefore w:w="17" w:type="dxa"/>
        </w:trPr>
        <w:tc>
          <w:tcPr>
            <w:tcW w:w="7483" w:type="dxa"/>
            <w:gridSpan w:val="2"/>
          </w:tcPr>
          <w:p w14:paraId="77072276" w14:textId="2706A55D" w:rsidR="002231F4" w:rsidRPr="004005A4" w:rsidRDefault="002231F4" w:rsidP="00E27715">
            <w:pPr>
              <w:pStyle w:val="levela"/>
              <w:tabs>
                <w:tab w:val="clear" w:pos="576"/>
              </w:tabs>
              <w:spacing w:before="120" w:after="120" w:line="240" w:lineRule="atLeast"/>
              <w:ind w:left="1134" w:hanging="540"/>
              <w:rPr>
                <w:rFonts w:cs="Calibri Light"/>
                <w:sz w:val="20"/>
                <w:szCs w:val="20"/>
              </w:rPr>
            </w:pPr>
            <w:r w:rsidRPr="004A6F10">
              <w:rPr>
                <w:rFonts w:cs="Calibri Light"/>
                <w:bCs/>
                <w:sz w:val="20"/>
                <w:szCs w:val="20"/>
              </w:rPr>
              <w:t xml:space="preserve">(iv) </w:t>
            </w:r>
            <w:r>
              <w:rPr>
                <w:rFonts w:cs="Calibri Light"/>
                <w:bCs/>
                <w:sz w:val="20"/>
                <w:szCs w:val="20"/>
              </w:rPr>
              <w:tab/>
            </w:r>
            <w:r w:rsidRPr="004A6F10">
              <w:rPr>
                <w:rFonts w:cs="Calibri Light"/>
                <w:bCs/>
                <w:sz w:val="20"/>
                <w:szCs w:val="20"/>
              </w:rPr>
              <w:t>The seller has not maintained the distinct and separate accounts necessary to present financial statements that, absent this paragraph (e), would satisfy the requirements of this section and it is impracticable to prepare such financial statements.</w:t>
            </w:r>
          </w:p>
        </w:tc>
        <w:tc>
          <w:tcPr>
            <w:tcW w:w="1209" w:type="dxa"/>
            <w:gridSpan w:val="2"/>
            <w:tcBorders>
              <w:top w:val="single" w:sz="4" w:space="0" w:color="auto"/>
              <w:bottom w:val="single" w:sz="4" w:space="0" w:color="auto"/>
            </w:tcBorders>
            <w:vAlign w:val="bottom"/>
          </w:tcPr>
          <w:p w14:paraId="67C1FAFB" w14:textId="77777777" w:rsidR="002231F4" w:rsidRPr="004005A4" w:rsidRDefault="002231F4" w:rsidP="002231F4">
            <w:pPr>
              <w:spacing w:before="120" w:after="120" w:line="240" w:lineRule="atLeast"/>
              <w:jc w:val="center"/>
              <w:rPr>
                <w:rFonts w:cs="Calibri Light"/>
                <w:b/>
                <w:sz w:val="20"/>
                <w:szCs w:val="20"/>
              </w:rPr>
            </w:pPr>
          </w:p>
        </w:tc>
        <w:tc>
          <w:tcPr>
            <w:tcW w:w="236" w:type="dxa"/>
            <w:gridSpan w:val="3"/>
            <w:vAlign w:val="bottom"/>
          </w:tcPr>
          <w:p w14:paraId="17C6619A" w14:textId="77777777" w:rsidR="002231F4" w:rsidRPr="004005A4" w:rsidRDefault="002231F4" w:rsidP="002231F4">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09B126F" w14:textId="77777777" w:rsidR="002231F4" w:rsidRPr="004005A4" w:rsidRDefault="002231F4" w:rsidP="002231F4">
            <w:pPr>
              <w:spacing w:before="120" w:after="120" w:line="240" w:lineRule="atLeast"/>
              <w:jc w:val="center"/>
              <w:rPr>
                <w:rFonts w:cs="Calibri Light"/>
                <w:b/>
                <w:sz w:val="20"/>
                <w:szCs w:val="20"/>
              </w:rPr>
            </w:pPr>
          </w:p>
        </w:tc>
      </w:tr>
      <w:tr w:rsidR="00426E0C" w:rsidRPr="004005A4" w14:paraId="22D2AAAE" w14:textId="77777777" w:rsidTr="00CC36C1">
        <w:trPr>
          <w:gridBefore w:val="1"/>
          <w:wBefore w:w="17" w:type="dxa"/>
        </w:trPr>
        <w:tc>
          <w:tcPr>
            <w:tcW w:w="7483" w:type="dxa"/>
            <w:gridSpan w:val="2"/>
          </w:tcPr>
          <w:p w14:paraId="67D21B39" w14:textId="771B94E6" w:rsidR="00426E0C" w:rsidRPr="004005A4" w:rsidRDefault="00426E0C" w:rsidP="00E27715">
            <w:pPr>
              <w:pStyle w:val="levela"/>
              <w:numPr>
                <w:ilvl w:val="0"/>
                <w:numId w:val="142"/>
              </w:numPr>
              <w:tabs>
                <w:tab w:val="clear" w:pos="576"/>
              </w:tabs>
              <w:spacing w:before="120" w:after="120" w:line="240" w:lineRule="atLeast"/>
              <w:ind w:left="687" w:hanging="450"/>
              <w:rPr>
                <w:rFonts w:cs="Calibri Light"/>
                <w:sz w:val="20"/>
                <w:szCs w:val="20"/>
              </w:rPr>
            </w:pPr>
            <w:r>
              <w:rPr>
                <w:rFonts w:cs="Calibri Light"/>
                <w:bCs/>
                <w:sz w:val="20"/>
                <w:szCs w:val="20"/>
              </w:rPr>
              <w:t>Presentation requirements</w:t>
            </w:r>
          </w:p>
        </w:tc>
        <w:tc>
          <w:tcPr>
            <w:tcW w:w="1209" w:type="dxa"/>
            <w:gridSpan w:val="2"/>
            <w:tcBorders>
              <w:top w:val="single" w:sz="4" w:space="0" w:color="auto"/>
            </w:tcBorders>
            <w:vAlign w:val="bottom"/>
          </w:tcPr>
          <w:p w14:paraId="026B47A2" w14:textId="77777777" w:rsidR="00426E0C" w:rsidRPr="004005A4" w:rsidRDefault="00426E0C" w:rsidP="00426E0C">
            <w:pPr>
              <w:spacing w:before="120" w:after="120" w:line="240" w:lineRule="atLeast"/>
              <w:jc w:val="center"/>
              <w:rPr>
                <w:rFonts w:cs="Calibri Light"/>
                <w:b/>
                <w:sz w:val="20"/>
                <w:szCs w:val="20"/>
              </w:rPr>
            </w:pPr>
          </w:p>
        </w:tc>
        <w:tc>
          <w:tcPr>
            <w:tcW w:w="236" w:type="dxa"/>
            <w:gridSpan w:val="3"/>
            <w:vAlign w:val="bottom"/>
          </w:tcPr>
          <w:p w14:paraId="68A7B0DF" w14:textId="77777777" w:rsidR="00426E0C" w:rsidRPr="004005A4" w:rsidRDefault="00426E0C" w:rsidP="00426E0C">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4393C80" w14:textId="77777777" w:rsidR="00426E0C" w:rsidRPr="004005A4" w:rsidRDefault="00426E0C" w:rsidP="00426E0C">
            <w:pPr>
              <w:spacing w:before="120" w:after="120" w:line="240" w:lineRule="atLeast"/>
              <w:jc w:val="center"/>
              <w:rPr>
                <w:rFonts w:cs="Calibri Light"/>
                <w:b/>
                <w:sz w:val="20"/>
                <w:szCs w:val="20"/>
              </w:rPr>
            </w:pPr>
          </w:p>
        </w:tc>
      </w:tr>
      <w:tr w:rsidR="00426E0C" w:rsidRPr="004005A4" w14:paraId="3BC092D4" w14:textId="77777777" w:rsidTr="00CC36C1">
        <w:trPr>
          <w:gridBefore w:val="1"/>
          <w:wBefore w:w="17" w:type="dxa"/>
        </w:trPr>
        <w:tc>
          <w:tcPr>
            <w:tcW w:w="7483" w:type="dxa"/>
            <w:gridSpan w:val="2"/>
          </w:tcPr>
          <w:p w14:paraId="1A831D92" w14:textId="704420CD" w:rsidR="00426E0C" w:rsidRPr="004005A4" w:rsidRDefault="00426E0C" w:rsidP="00E27715">
            <w:pPr>
              <w:pStyle w:val="levela"/>
              <w:tabs>
                <w:tab w:val="clear" w:pos="576"/>
              </w:tabs>
              <w:spacing w:before="120" w:after="120" w:line="240" w:lineRule="atLeast"/>
              <w:ind w:left="1134" w:hanging="540"/>
              <w:rPr>
                <w:rFonts w:cs="Calibri Light"/>
                <w:sz w:val="20"/>
                <w:szCs w:val="20"/>
              </w:rPr>
            </w:pPr>
            <w:r w:rsidRPr="00C90772">
              <w:rPr>
                <w:rFonts w:cs="Calibri Light"/>
                <w:bCs/>
                <w:sz w:val="20"/>
                <w:szCs w:val="20"/>
              </w:rPr>
              <w:t xml:space="preserve">(i) </w:t>
            </w:r>
            <w:r>
              <w:rPr>
                <w:rFonts w:cs="Calibri Light"/>
                <w:bCs/>
                <w:sz w:val="20"/>
                <w:szCs w:val="20"/>
              </w:rPr>
              <w:tab/>
            </w:r>
            <w:r w:rsidRPr="00C90772">
              <w:rPr>
                <w:rFonts w:cs="Calibri Light"/>
                <w:bCs/>
                <w:sz w:val="20"/>
                <w:szCs w:val="20"/>
              </w:rPr>
              <w:t>The balance sheet may be a statement of assets acquired and liabilities assumed;</w:t>
            </w:r>
          </w:p>
        </w:tc>
        <w:tc>
          <w:tcPr>
            <w:tcW w:w="1209" w:type="dxa"/>
            <w:gridSpan w:val="2"/>
            <w:tcBorders>
              <w:bottom w:val="single" w:sz="4" w:space="0" w:color="auto"/>
            </w:tcBorders>
            <w:vAlign w:val="bottom"/>
          </w:tcPr>
          <w:p w14:paraId="33121EDD" w14:textId="77777777" w:rsidR="00426E0C" w:rsidRPr="004005A4" w:rsidRDefault="00426E0C" w:rsidP="00426E0C">
            <w:pPr>
              <w:spacing w:before="120" w:after="120" w:line="240" w:lineRule="atLeast"/>
              <w:jc w:val="center"/>
              <w:rPr>
                <w:rFonts w:cs="Calibri Light"/>
                <w:b/>
                <w:sz w:val="20"/>
                <w:szCs w:val="20"/>
              </w:rPr>
            </w:pPr>
          </w:p>
        </w:tc>
        <w:tc>
          <w:tcPr>
            <w:tcW w:w="236" w:type="dxa"/>
            <w:gridSpan w:val="3"/>
            <w:vAlign w:val="bottom"/>
          </w:tcPr>
          <w:p w14:paraId="5936E04C" w14:textId="77777777" w:rsidR="00426E0C" w:rsidRPr="004005A4" w:rsidRDefault="00426E0C" w:rsidP="00426E0C">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29479F8C" w14:textId="77777777" w:rsidR="00426E0C" w:rsidRPr="004005A4" w:rsidRDefault="00426E0C" w:rsidP="00426E0C">
            <w:pPr>
              <w:spacing w:before="120" w:after="120" w:line="240" w:lineRule="atLeast"/>
              <w:jc w:val="center"/>
              <w:rPr>
                <w:rFonts w:cs="Calibri Light"/>
                <w:b/>
                <w:sz w:val="20"/>
                <w:szCs w:val="20"/>
              </w:rPr>
            </w:pPr>
          </w:p>
        </w:tc>
      </w:tr>
      <w:tr w:rsidR="00426E0C" w:rsidRPr="004005A4" w14:paraId="4AC2DCCD" w14:textId="77777777" w:rsidTr="00CC36C1">
        <w:trPr>
          <w:gridBefore w:val="1"/>
          <w:wBefore w:w="17" w:type="dxa"/>
        </w:trPr>
        <w:tc>
          <w:tcPr>
            <w:tcW w:w="7483" w:type="dxa"/>
            <w:gridSpan w:val="2"/>
          </w:tcPr>
          <w:p w14:paraId="65CDA81A" w14:textId="00AB5D79" w:rsidR="00426E0C" w:rsidRPr="004005A4" w:rsidRDefault="00426E0C" w:rsidP="00E27715">
            <w:pPr>
              <w:pStyle w:val="levela"/>
              <w:tabs>
                <w:tab w:val="clear" w:pos="576"/>
              </w:tabs>
              <w:spacing w:before="120" w:after="120" w:line="240" w:lineRule="atLeast"/>
              <w:ind w:left="1134" w:hanging="540"/>
              <w:rPr>
                <w:rFonts w:cs="Calibri Light"/>
                <w:sz w:val="20"/>
                <w:szCs w:val="20"/>
              </w:rPr>
            </w:pPr>
            <w:r w:rsidRPr="00C90772">
              <w:rPr>
                <w:rFonts w:cs="Calibri Light"/>
                <w:bCs/>
                <w:sz w:val="20"/>
                <w:szCs w:val="20"/>
              </w:rPr>
              <w:t xml:space="preserve">(ii) </w:t>
            </w:r>
            <w:r>
              <w:rPr>
                <w:rFonts w:cs="Calibri Light"/>
                <w:bCs/>
                <w:sz w:val="20"/>
                <w:szCs w:val="20"/>
              </w:rPr>
              <w:tab/>
            </w:r>
            <w:r w:rsidRPr="00C90772">
              <w:rPr>
                <w:rFonts w:cs="Calibri Light"/>
                <w:bCs/>
                <w:sz w:val="20"/>
                <w:szCs w:val="20"/>
              </w:rPr>
              <w:t>The statement of comprehensive income must include expenses incurred by or on behalf of the acquired business during the pre-acquisition financial statement periods to be presented including, but not limited to, costs of sales or services, selling, distribution, marketing, general and administrative, depreciation and amortization, and research and development, but may otherwise omit corporate overhead expense, interest expense for debt that will not be assumed by the registrant or its subsidiaries consolidated, and income tax expense. The title of the statement of comprehensive income must be appropriately modified to indicate it omits certain expenses; and</w:t>
            </w:r>
          </w:p>
        </w:tc>
        <w:tc>
          <w:tcPr>
            <w:tcW w:w="1209" w:type="dxa"/>
            <w:gridSpan w:val="2"/>
            <w:tcBorders>
              <w:top w:val="single" w:sz="4" w:space="0" w:color="auto"/>
              <w:bottom w:val="single" w:sz="4" w:space="0" w:color="auto"/>
            </w:tcBorders>
            <w:vAlign w:val="bottom"/>
          </w:tcPr>
          <w:p w14:paraId="1DB6EC87" w14:textId="77777777" w:rsidR="00426E0C" w:rsidRPr="004005A4" w:rsidRDefault="00426E0C" w:rsidP="00426E0C">
            <w:pPr>
              <w:spacing w:before="120" w:after="120" w:line="240" w:lineRule="atLeast"/>
              <w:jc w:val="center"/>
              <w:rPr>
                <w:rFonts w:cs="Calibri Light"/>
                <w:b/>
                <w:sz w:val="20"/>
                <w:szCs w:val="20"/>
              </w:rPr>
            </w:pPr>
          </w:p>
        </w:tc>
        <w:tc>
          <w:tcPr>
            <w:tcW w:w="236" w:type="dxa"/>
            <w:gridSpan w:val="3"/>
            <w:vAlign w:val="bottom"/>
          </w:tcPr>
          <w:p w14:paraId="0D9CACEB" w14:textId="77777777" w:rsidR="00426E0C" w:rsidRPr="004005A4" w:rsidRDefault="00426E0C" w:rsidP="00426E0C">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EA27DD9" w14:textId="77777777" w:rsidR="00426E0C" w:rsidRPr="004005A4" w:rsidRDefault="00426E0C" w:rsidP="00426E0C">
            <w:pPr>
              <w:spacing w:before="120" w:after="120" w:line="240" w:lineRule="atLeast"/>
              <w:jc w:val="center"/>
              <w:rPr>
                <w:rFonts w:cs="Calibri Light"/>
                <w:b/>
                <w:sz w:val="20"/>
                <w:szCs w:val="20"/>
              </w:rPr>
            </w:pPr>
          </w:p>
        </w:tc>
      </w:tr>
      <w:tr w:rsidR="003E0489" w:rsidRPr="004005A4" w14:paraId="41DED2DB" w14:textId="77777777" w:rsidTr="00CC36C1">
        <w:trPr>
          <w:gridBefore w:val="1"/>
          <w:wBefore w:w="17" w:type="dxa"/>
        </w:trPr>
        <w:tc>
          <w:tcPr>
            <w:tcW w:w="7483" w:type="dxa"/>
            <w:gridSpan w:val="2"/>
          </w:tcPr>
          <w:p w14:paraId="309D7EB0" w14:textId="5EABFC9C" w:rsidR="003E0489" w:rsidRPr="004005A4" w:rsidRDefault="003E0489" w:rsidP="00E27715">
            <w:pPr>
              <w:pStyle w:val="levela"/>
              <w:tabs>
                <w:tab w:val="clear" w:pos="576"/>
              </w:tabs>
              <w:spacing w:before="120" w:after="120" w:line="240" w:lineRule="atLeast"/>
              <w:ind w:left="594" w:firstLine="0"/>
              <w:rPr>
                <w:rFonts w:cs="Calibri Light"/>
                <w:sz w:val="20"/>
                <w:szCs w:val="20"/>
              </w:rPr>
            </w:pPr>
            <w:r w:rsidRPr="00C90772">
              <w:rPr>
                <w:rFonts w:cs="Calibri Light"/>
                <w:bCs/>
                <w:sz w:val="20"/>
                <w:szCs w:val="20"/>
              </w:rPr>
              <w:t xml:space="preserve">(iii) </w:t>
            </w:r>
            <w:r>
              <w:rPr>
                <w:rFonts w:cs="Calibri Light"/>
                <w:bCs/>
                <w:sz w:val="20"/>
                <w:szCs w:val="20"/>
              </w:rPr>
              <w:tab/>
            </w:r>
            <w:r w:rsidRPr="00C90772">
              <w:rPr>
                <w:rFonts w:cs="Calibri Light"/>
                <w:bCs/>
                <w:sz w:val="20"/>
                <w:szCs w:val="20"/>
              </w:rPr>
              <w:t>The notes to the financial statements must include:</w:t>
            </w:r>
          </w:p>
        </w:tc>
        <w:tc>
          <w:tcPr>
            <w:tcW w:w="1209" w:type="dxa"/>
            <w:gridSpan w:val="2"/>
            <w:tcBorders>
              <w:top w:val="single" w:sz="4" w:space="0" w:color="auto"/>
            </w:tcBorders>
            <w:vAlign w:val="bottom"/>
          </w:tcPr>
          <w:p w14:paraId="2511F417"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3CCDDB24"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05CC42D"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1ABF801E" w14:textId="77777777" w:rsidTr="00CC36C1">
        <w:trPr>
          <w:gridBefore w:val="1"/>
          <w:wBefore w:w="17" w:type="dxa"/>
        </w:trPr>
        <w:tc>
          <w:tcPr>
            <w:tcW w:w="7483" w:type="dxa"/>
            <w:gridSpan w:val="2"/>
          </w:tcPr>
          <w:p w14:paraId="1C4BF39A" w14:textId="2D027E58" w:rsidR="003E0489" w:rsidRPr="004005A4" w:rsidRDefault="003E0489" w:rsidP="00E27715">
            <w:pPr>
              <w:pStyle w:val="levela"/>
              <w:tabs>
                <w:tab w:val="clear" w:pos="576"/>
              </w:tabs>
              <w:spacing w:before="120" w:after="120" w:line="240" w:lineRule="atLeast"/>
              <w:ind w:left="1404" w:hanging="360"/>
              <w:rPr>
                <w:rFonts w:cs="Calibri Light"/>
                <w:sz w:val="20"/>
                <w:szCs w:val="20"/>
              </w:rPr>
            </w:pPr>
            <w:r w:rsidRPr="00C90772">
              <w:rPr>
                <w:rFonts w:cs="Calibri Light"/>
                <w:bCs/>
                <w:sz w:val="20"/>
                <w:szCs w:val="20"/>
              </w:rPr>
              <w:t xml:space="preserve">(A) </w:t>
            </w:r>
            <w:r>
              <w:rPr>
                <w:rFonts w:cs="Calibri Light"/>
                <w:bCs/>
                <w:sz w:val="20"/>
                <w:szCs w:val="20"/>
              </w:rPr>
              <w:tab/>
            </w:r>
            <w:r w:rsidRPr="00C90772">
              <w:rPr>
                <w:rFonts w:cs="Calibri Light"/>
                <w:bCs/>
                <w:sz w:val="20"/>
                <w:szCs w:val="20"/>
              </w:rPr>
              <w:t>A description of the type of omitted expenses and the reason(s) why they are excluded from the financial statements.</w:t>
            </w:r>
          </w:p>
        </w:tc>
        <w:tc>
          <w:tcPr>
            <w:tcW w:w="1209" w:type="dxa"/>
            <w:gridSpan w:val="2"/>
            <w:tcBorders>
              <w:bottom w:val="single" w:sz="4" w:space="0" w:color="auto"/>
            </w:tcBorders>
            <w:vAlign w:val="bottom"/>
          </w:tcPr>
          <w:p w14:paraId="28CD1ED5"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60249A95"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774B31B9"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10D16371" w14:textId="77777777" w:rsidTr="00CC36C1">
        <w:trPr>
          <w:gridBefore w:val="1"/>
          <w:wBefore w:w="17" w:type="dxa"/>
        </w:trPr>
        <w:tc>
          <w:tcPr>
            <w:tcW w:w="7483" w:type="dxa"/>
            <w:gridSpan w:val="2"/>
          </w:tcPr>
          <w:p w14:paraId="3FA2C6C1" w14:textId="53B5CF35" w:rsidR="003E0489" w:rsidRPr="004005A4" w:rsidRDefault="003E0489" w:rsidP="00E27715">
            <w:pPr>
              <w:pStyle w:val="levela"/>
              <w:tabs>
                <w:tab w:val="clear" w:pos="576"/>
              </w:tabs>
              <w:spacing w:before="120" w:after="120" w:line="240" w:lineRule="atLeast"/>
              <w:ind w:left="1404" w:hanging="360"/>
              <w:rPr>
                <w:rFonts w:cs="Calibri Light"/>
                <w:sz w:val="20"/>
                <w:szCs w:val="20"/>
              </w:rPr>
            </w:pPr>
            <w:r w:rsidRPr="00C90772">
              <w:rPr>
                <w:rFonts w:cs="Calibri Light"/>
                <w:bCs/>
                <w:sz w:val="20"/>
                <w:szCs w:val="20"/>
              </w:rPr>
              <w:lastRenderedPageBreak/>
              <w:t xml:space="preserve">(B) </w:t>
            </w:r>
            <w:r>
              <w:rPr>
                <w:rFonts w:cs="Calibri Light"/>
                <w:bCs/>
                <w:sz w:val="20"/>
                <w:szCs w:val="20"/>
              </w:rPr>
              <w:tab/>
            </w:r>
            <w:r w:rsidRPr="00C90772">
              <w:rPr>
                <w:rFonts w:cs="Calibri Light"/>
                <w:bCs/>
                <w:sz w:val="20"/>
                <w:szCs w:val="20"/>
              </w:rPr>
              <w:t>An explanation of the impracticability of preparing financial statements that include the omitted expenses.</w:t>
            </w:r>
          </w:p>
        </w:tc>
        <w:tc>
          <w:tcPr>
            <w:tcW w:w="1209" w:type="dxa"/>
            <w:gridSpan w:val="2"/>
            <w:tcBorders>
              <w:top w:val="single" w:sz="4" w:space="0" w:color="auto"/>
              <w:bottom w:val="single" w:sz="4" w:space="0" w:color="auto"/>
            </w:tcBorders>
            <w:vAlign w:val="bottom"/>
          </w:tcPr>
          <w:p w14:paraId="62AFBB5E"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0AB3FC83"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5EAEEA1"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4621AEDD" w14:textId="77777777" w:rsidTr="00CC36C1">
        <w:trPr>
          <w:gridBefore w:val="1"/>
          <w:wBefore w:w="17" w:type="dxa"/>
        </w:trPr>
        <w:tc>
          <w:tcPr>
            <w:tcW w:w="7483" w:type="dxa"/>
            <w:gridSpan w:val="2"/>
          </w:tcPr>
          <w:p w14:paraId="4BE0AE6E" w14:textId="00DB0AE9" w:rsidR="003E0489" w:rsidRPr="004005A4" w:rsidRDefault="003E0489" w:rsidP="00E27715">
            <w:pPr>
              <w:pStyle w:val="levela"/>
              <w:tabs>
                <w:tab w:val="clear" w:pos="576"/>
              </w:tabs>
              <w:spacing w:before="120" w:after="120" w:line="240" w:lineRule="atLeast"/>
              <w:ind w:left="1404" w:hanging="360"/>
              <w:rPr>
                <w:rFonts w:cs="Calibri Light"/>
                <w:sz w:val="20"/>
                <w:szCs w:val="20"/>
              </w:rPr>
            </w:pPr>
            <w:r w:rsidRPr="00C90772">
              <w:rPr>
                <w:rFonts w:cs="Calibri Light"/>
                <w:bCs/>
                <w:sz w:val="20"/>
                <w:szCs w:val="20"/>
              </w:rPr>
              <w:t xml:space="preserve">(C) </w:t>
            </w:r>
            <w:r>
              <w:rPr>
                <w:rFonts w:cs="Calibri Light"/>
                <w:bCs/>
                <w:sz w:val="20"/>
                <w:szCs w:val="20"/>
              </w:rPr>
              <w:tab/>
            </w:r>
            <w:r w:rsidRPr="00C90772">
              <w:rPr>
                <w:rFonts w:cs="Calibri Light"/>
                <w:bCs/>
                <w:sz w:val="20"/>
                <w:szCs w:val="20"/>
              </w:rPr>
              <w:t>A description of how the financial statements presented are not indicative of the financial condition or results of operations of the acquired business going forward because of the omitted expenses.</w:t>
            </w:r>
          </w:p>
        </w:tc>
        <w:tc>
          <w:tcPr>
            <w:tcW w:w="1209" w:type="dxa"/>
            <w:gridSpan w:val="2"/>
            <w:tcBorders>
              <w:top w:val="single" w:sz="4" w:space="0" w:color="auto"/>
              <w:bottom w:val="single" w:sz="4" w:space="0" w:color="auto"/>
            </w:tcBorders>
            <w:vAlign w:val="bottom"/>
          </w:tcPr>
          <w:p w14:paraId="05909DA3"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17FC2A5E"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FF21BCF"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778A4C3B" w14:textId="77777777" w:rsidTr="00CC36C1">
        <w:trPr>
          <w:gridBefore w:val="1"/>
          <w:wBefore w:w="17" w:type="dxa"/>
        </w:trPr>
        <w:tc>
          <w:tcPr>
            <w:tcW w:w="7483" w:type="dxa"/>
            <w:gridSpan w:val="2"/>
          </w:tcPr>
          <w:p w14:paraId="153E25E3" w14:textId="6E3E3A46" w:rsidR="003E0489" w:rsidRPr="004005A4" w:rsidRDefault="003E0489" w:rsidP="00E27715">
            <w:pPr>
              <w:pStyle w:val="levela"/>
              <w:tabs>
                <w:tab w:val="clear" w:pos="576"/>
              </w:tabs>
              <w:spacing w:before="120" w:after="120" w:line="240" w:lineRule="atLeast"/>
              <w:ind w:left="1404" w:hanging="360"/>
              <w:rPr>
                <w:rFonts w:cs="Calibri Light"/>
                <w:sz w:val="20"/>
                <w:szCs w:val="20"/>
              </w:rPr>
            </w:pPr>
            <w:r w:rsidRPr="00C90772">
              <w:rPr>
                <w:rFonts w:cs="Calibri Light"/>
                <w:bCs/>
                <w:sz w:val="20"/>
                <w:szCs w:val="20"/>
              </w:rPr>
              <w:t xml:space="preserve">(D) </w:t>
            </w:r>
            <w:r>
              <w:rPr>
                <w:rFonts w:cs="Calibri Light"/>
                <w:bCs/>
                <w:sz w:val="20"/>
                <w:szCs w:val="20"/>
              </w:rPr>
              <w:tab/>
            </w:r>
            <w:r w:rsidRPr="00C90772">
              <w:rPr>
                <w:rFonts w:cs="Calibri Light"/>
                <w:bCs/>
                <w:sz w:val="20"/>
                <w:szCs w:val="20"/>
              </w:rPr>
              <w:t>Information about the business's operating, investing and financing cash flows, to the extent available.</w:t>
            </w:r>
          </w:p>
        </w:tc>
        <w:tc>
          <w:tcPr>
            <w:tcW w:w="1209" w:type="dxa"/>
            <w:gridSpan w:val="2"/>
            <w:tcBorders>
              <w:top w:val="single" w:sz="4" w:space="0" w:color="auto"/>
              <w:bottom w:val="single" w:sz="4" w:space="0" w:color="auto"/>
            </w:tcBorders>
            <w:vAlign w:val="bottom"/>
          </w:tcPr>
          <w:p w14:paraId="0C402187"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1352E407"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E02ABEB" w14:textId="77777777" w:rsidR="003E0489" w:rsidRPr="004005A4" w:rsidRDefault="003E0489" w:rsidP="003E0489">
            <w:pPr>
              <w:spacing w:before="120" w:after="120" w:line="240" w:lineRule="atLeast"/>
              <w:jc w:val="center"/>
              <w:rPr>
                <w:rFonts w:cs="Calibri Light"/>
                <w:b/>
                <w:sz w:val="20"/>
                <w:szCs w:val="20"/>
              </w:rPr>
            </w:pPr>
          </w:p>
        </w:tc>
      </w:tr>
      <w:tr w:rsidR="008D747C" w:rsidRPr="004005A4" w14:paraId="0E169E13" w14:textId="77777777" w:rsidTr="00CC36C1">
        <w:trPr>
          <w:gridAfter w:val="1"/>
          <w:wAfter w:w="46" w:type="dxa"/>
        </w:trPr>
        <w:tc>
          <w:tcPr>
            <w:tcW w:w="7470" w:type="dxa"/>
            <w:gridSpan w:val="2"/>
          </w:tcPr>
          <w:p w14:paraId="3B871F83" w14:textId="2E1BB81C" w:rsidR="008D747C" w:rsidRPr="00261D23" w:rsidRDefault="008D747C" w:rsidP="00EC25E4">
            <w:pPr>
              <w:pStyle w:val="levela"/>
              <w:numPr>
                <w:ilvl w:val="0"/>
                <w:numId w:val="93"/>
              </w:numPr>
              <w:tabs>
                <w:tab w:val="clear" w:pos="576"/>
              </w:tabs>
              <w:spacing w:before="120" w:after="120" w:line="240" w:lineRule="atLeast"/>
              <w:ind w:left="235" w:hanging="235"/>
              <w:rPr>
                <w:rFonts w:cs="Calibri Light"/>
                <w:b/>
                <w:bCs/>
                <w:sz w:val="20"/>
                <w:szCs w:val="20"/>
                <w:shd w:val="clear" w:color="auto" w:fill="FFFFFF"/>
              </w:rPr>
            </w:pPr>
            <w:r w:rsidRPr="00EC25E4">
              <w:rPr>
                <w:b/>
                <w:bCs/>
                <w:sz w:val="20"/>
                <w:szCs w:val="20"/>
              </w:rPr>
              <w:t>Financial</w:t>
            </w:r>
            <w:r w:rsidRPr="00EC25E4">
              <w:rPr>
                <w:rStyle w:val="dart-i"/>
                <w:rFonts w:cs="Calibri Light"/>
                <w:b/>
                <w:bCs/>
                <w:sz w:val="20"/>
                <w:szCs w:val="20"/>
                <w:shd w:val="clear" w:color="auto" w:fill="FFFFFF"/>
              </w:rPr>
              <w:t xml:space="preserve"> statements</w:t>
            </w:r>
            <w:r w:rsidRPr="00261D23">
              <w:rPr>
                <w:rStyle w:val="dart-i"/>
                <w:rFonts w:cs="Calibri Light"/>
                <w:b/>
                <w:bCs/>
                <w:sz w:val="20"/>
                <w:szCs w:val="20"/>
                <w:shd w:val="clear" w:color="auto" w:fill="FFFFFF"/>
              </w:rPr>
              <w:t xml:space="preserve"> of a business that includes oil and gas producing activities.</w:t>
            </w:r>
          </w:p>
          <w:p w14:paraId="49D0AF85" w14:textId="77777777" w:rsidR="008D747C" w:rsidRPr="001E152E" w:rsidRDefault="008D747C" w:rsidP="005158FB">
            <w:pPr>
              <w:pStyle w:val="standard"/>
              <w:spacing w:before="120" w:after="120" w:line="240" w:lineRule="atLeast"/>
              <w:ind w:left="772" w:hanging="450"/>
              <w:rPr>
                <w:rFonts w:cs="Calibri Light"/>
                <w:b/>
                <w:sz w:val="20"/>
                <w:szCs w:val="20"/>
              </w:rPr>
            </w:pPr>
            <w:r w:rsidRPr="003864ED">
              <w:rPr>
                <w:rFonts w:cs="Calibri Light"/>
                <w:sz w:val="20"/>
                <w:szCs w:val="20"/>
                <w:shd w:val="clear" w:color="auto" w:fill="FFFFFF"/>
              </w:rPr>
              <w:t xml:space="preserve">(1) </w:t>
            </w:r>
            <w:r w:rsidRPr="003864ED">
              <w:rPr>
                <w:rFonts w:cs="Calibri Light"/>
                <w:sz w:val="20"/>
                <w:szCs w:val="20"/>
                <w:shd w:val="clear" w:color="auto" w:fill="FFFFFF"/>
              </w:rPr>
              <w:tab/>
              <w:t>Disclosures about oil and gas producing activities must be provided for each full year of operations presented for an acquired or to be acquired business that includes significant oil- and gas-producing activities (as defined in the FASB ASC Master Glossary). The financial statements may present the disclosures in FASB ASC Topic 932</w:t>
            </w:r>
            <w:r>
              <w:rPr>
                <w:rFonts w:cs="Calibri Light"/>
                <w:sz w:val="20"/>
                <w:szCs w:val="20"/>
                <w:shd w:val="clear" w:color="auto" w:fill="FFFFFF"/>
              </w:rPr>
              <w:t>,</w:t>
            </w:r>
            <w:r w:rsidRPr="003864ED">
              <w:rPr>
                <w:rStyle w:val="dart-i"/>
                <w:rFonts w:cs="Calibri Light"/>
                <w:i/>
                <w:sz w:val="20"/>
                <w:szCs w:val="20"/>
                <w:shd w:val="clear" w:color="auto" w:fill="FFFFFF"/>
              </w:rPr>
              <w:t>Extractive Activities</w:t>
            </w:r>
            <w:r>
              <w:rPr>
                <w:rStyle w:val="dart-i"/>
                <w:rFonts w:cs="Calibri Light"/>
                <w:i/>
                <w:sz w:val="20"/>
                <w:szCs w:val="20"/>
                <w:shd w:val="clear" w:color="auto" w:fill="FFFFFF"/>
              </w:rPr>
              <w:t xml:space="preserve"> </w:t>
            </w:r>
            <w:r w:rsidRPr="003864ED">
              <w:rPr>
                <w:rStyle w:val="dart-i"/>
                <w:rFonts w:cs="Calibri Light"/>
                <w:i/>
                <w:sz w:val="20"/>
                <w:szCs w:val="20"/>
                <w:shd w:val="clear" w:color="auto" w:fill="FFFFFF"/>
              </w:rPr>
              <w:t>—</w:t>
            </w:r>
            <w:r>
              <w:rPr>
                <w:rStyle w:val="dart-i"/>
                <w:rFonts w:cs="Calibri Light"/>
                <w:i/>
                <w:sz w:val="20"/>
                <w:szCs w:val="20"/>
                <w:shd w:val="clear" w:color="auto" w:fill="FFFFFF"/>
              </w:rPr>
              <w:t xml:space="preserve"> </w:t>
            </w:r>
            <w:r w:rsidRPr="003864ED">
              <w:rPr>
                <w:rStyle w:val="dart-i"/>
                <w:rFonts w:cs="Calibri Light"/>
                <w:i/>
                <w:sz w:val="20"/>
                <w:szCs w:val="20"/>
                <w:shd w:val="clear" w:color="auto" w:fill="FFFFFF"/>
              </w:rPr>
              <w:t>Oil and Gas,</w:t>
            </w:r>
            <w:r>
              <w:rPr>
                <w:rFonts w:cs="Calibri Light"/>
                <w:sz w:val="20"/>
                <w:szCs w:val="20"/>
                <w:shd w:val="clear" w:color="auto" w:fill="FFFFFF"/>
              </w:rPr>
              <w:t xml:space="preserve"> </w:t>
            </w:r>
            <w:r w:rsidRPr="003864ED">
              <w:rPr>
                <w:rFonts w:cs="Calibri Light"/>
                <w:sz w:val="20"/>
                <w:szCs w:val="20"/>
                <w:shd w:val="clear" w:color="auto" w:fill="FFFFFF"/>
              </w:rPr>
              <w:t>932-235-50-3 through 50-11 and 932-235-50-29 through 50-36 as unaudited supplemental information. If prior year reserve studies were not made, they may be computed using only production and new discovery quantities and valuation, in which case there will be no “revision of prior estimates” amounts. Registrants may develop these disclosures based on a reserve study for the most recent year, computing the changes backward. The method of computation must be disclosed in a footnote.</w:t>
            </w:r>
          </w:p>
        </w:tc>
        <w:tc>
          <w:tcPr>
            <w:tcW w:w="1170" w:type="dxa"/>
            <w:gridSpan w:val="2"/>
            <w:tcBorders>
              <w:top w:val="single" w:sz="4" w:space="0" w:color="auto"/>
              <w:bottom w:val="single" w:sz="4" w:space="0" w:color="auto"/>
            </w:tcBorders>
            <w:vAlign w:val="bottom"/>
          </w:tcPr>
          <w:p w14:paraId="65EA4D5E" w14:textId="77777777" w:rsidR="008D747C" w:rsidRPr="004005A4" w:rsidRDefault="008D747C" w:rsidP="005158FB">
            <w:pPr>
              <w:spacing w:before="120" w:after="120" w:line="240" w:lineRule="atLeast"/>
              <w:jc w:val="center"/>
              <w:rPr>
                <w:rFonts w:cs="Calibri Light"/>
                <w:b/>
                <w:sz w:val="20"/>
                <w:szCs w:val="20"/>
              </w:rPr>
            </w:pPr>
          </w:p>
        </w:tc>
        <w:tc>
          <w:tcPr>
            <w:tcW w:w="270" w:type="dxa"/>
            <w:gridSpan w:val="3"/>
            <w:vAlign w:val="bottom"/>
          </w:tcPr>
          <w:p w14:paraId="68A6F6FF" w14:textId="77777777" w:rsidR="008D747C" w:rsidRPr="004005A4" w:rsidRDefault="008D747C" w:rsidP="005158FB">
            <w:pPr>
              <w:spacing w:before="120" w:after="120" w:line="240" w:lineRule="atLeast"/>
              <w:jc w:val="center"/>
              <w:rPr>
                <w:rFonts w:cs="Calibri Light"/>
                <w:b/>
                <w:sz w:val="20"/>
                <w:szCs w:val="20"/>
              </w:rPr>
            </w:pPr>
          </w:p>
        </w:tc>
        <w:tc>
          <w:tcPr>
            <w:tcW w:w="1170" w:type="dxa"/>
            <w:gridSpan w:val="2"/>
            <w:tcBorders>
              <w:top w:val="single" w:sz="4" w:space="0" w:color="auto"/>
              <w:bottom w:val="single" w:sz="4" w:space="0" w:color="auto"/>
            </w:tcBorders>
            <w:vAlign w:val="bottom"/>
          </w:tcPr>
          <w:p w14:paraId="685E8B65" w14:textId="77777777" w:rsidR="008D747C" w:rsidRPr="004005A4" w:rsidRDefault="008D747C" w:rsidP="005158FB">
            <w:pPr>
              <w:spacing w:before="120" w:after="120" w:line="240" w:lineRule="atLeast"/>
              <w:jc w:val="center"/>
              <w:rPr>
                <w:rFonts w:cs="Calibri Light"/>
                <w:b/>
                <w:sz w:val="20"/>
                <w:szCs w:val="20"/>
              </w:rPr>
            </w:pPr>
          </w:p>
        </w:tc>
      </w:tr>
      <w:tr w:rsidR="008D747C" w:rsidRPr="004005A4" w14:paraId="497AADC8" w14:textId="77777777" w:rsidTr="00CC36C1">
        <w:trPr>
          <w:gridAfter w:val="1"/>
          <w:wAfter w:w="46" w:type="dxa"/>
        </w:trPr>
        <w:tc>
          <w:tcPr>
            <w:tcW w:w="7470" w:type="dxa"/>
            <w:gridSpan w:val="2"/>
          </w:tcPr>
          <w:p w14:paraId="14BB0676" w14:textId="77777777" w:rsidR="008D747C" w:rsidRDefault="008D747C" w:rsidP="005158FB">
            <w:pPr>
              <w:pStyle w:val="standard"/>
              <w:spacing w:before="120" w:after="120" w:line="240" w:lineRule="atLeast"/>
              <w:ind w:left="790" w:hanging="450"/>
              <w:rPr>
                <w:rFonts w:cs="Calibri Light"/>
                <w:b/>
                <w:sz w:val="20"/>
                <w:szCs w:val="20"/>
              </w:rPr>
            </w:pPr>
            <w:r w:rsidRPr="003864ED">
              <w:rPr>
                <w:rFonts w:cs="Calibri Light"/>
                <w:sz w:val="20"/>
                <w:szCs w:val="20"/>
                <w:shd w:val="clear" w:color="auto" w:fill="FFFFFF"/>
              </w:rPr>
              <w:t xml:space="preserve">(2) </w:t>
            </w:r>
            <w:r w:rsidRPr="003864ED">
              <w:rPr>
                <w:rFonts w:cs="Calibri Light"/>
                <w:sz w:val="20"/>
                <w:szCs w:val="20"/>
                <w:shd w:val="clear" w:color="auto" w:fill="FFFFFF"/>
              </w:rPr>
              <w:tab/>
              <w:t>The financial statements prepared and audited in accordance with Regulation S-X may consist of only statements of revenues and expenses that exclude expenses not comparable to the proposed future operations such as depreciation, depletion and amortization, corporate overhead, income taxes, and interest for debt that will not be assumed by the registrant or its subsidiaries consolidated if:</w:t>
            </w:r>
          </w:p>
        </w:tc>
        <w:tc>
          <w:tcPr>
            <w:tcW w:w="1170" w:type="dxa"/>
            <w:gridSpan w:val="2"/>
            <w:tcBorders>
              <w:top w:val="single" w:sz="4" w:space="0" w:color="auto"/>
            </w:tcBorders>
            <w:vAlign w:val="bottom"/>
          </w:tcPr>
          <w:p w14:paraId="65F3A240" w14:textId="77777777" w:rsidR="008D747C" w:rsidRPr="004005A4" w:rsidRDefault="008D747C" w:rsidP="005158FB">
            <w:pPr>
              <w:spacing w:before="120" w:after="120" w:line="240" w:lineRule="atLeast"/>
              <w:jc w:val="center"/>
              <w:rPr>
                <w:rFonts w:cs="Calibri Light"/>
                <w:b/>
                <w:sz w:val="20"/>
                <w:szCs w:val="20"/>
              </w:rPr>
            </w:pPr>
          </w:p>
        </w:tc>
        <w:tc>
          <w:tcPr>
            <w:tcW w:w="236" w:type="dxa"/>
            <w:gridSpan w:val="2"/>
            <w:vAlign w:val="bottom"/>
          </w:tcPr>
          <w:p w14:paraId="4EA452BB" w14:textId="77777777" w:rsidR="008D747C" w:rsidRPr="004005A4" w:rsidRDefault="008D747C" w:rsidP="005158FB">
            <w:pPr>
              <w:spacing w:before="120" w:after="120" w:line="240" w:lineRule="atLeast"/>
              <w:jc w:val="center"/>
              <w:rPr>
                <w:rFonts w:cs="Calibri Light"/>
                <w:b/>
                <w:sz w:val="20"/>
                <w:szCs w:val="20"/>
              </w:rPr>
            </w:pPr>
          </w:p>
        </w:tc>
        <w:tc>
          <w:tcPr>
            <w:tcW w:w="1204" w:type="dxa"/>
            <w:gridSpan w:val="3"/>
            <w:tcBorders>
              <w:top w:val="single" w:sz="4" w:space="0" w:color="auto"/>
            </w:tcBorders>
            <w:vAlign w:val="bottom"/>
          </w:tcPr>
          <w:p w14:paraId="1106B5D7" w14:textId="77777777" w:rsidR="008D747C" w:rsidRPr="004005A4" w:rsidRDefault="008D747C" w:rsidP="005158FB">
            <w:pPr>
              <w:spacing w:before="120" w:after="120" w:line="240" w:lineRule="atLeast"/>
              <w:jc w:val="center"/>
              <w:rPr>
                <w:rFonts w:cs="Calibri Light"/>
                <w:b/>
                <w:sz w:val="20"/>
                <w:szCs w:val="20"/>
              </w:rPr>
            </w:pPr>
          </w:p>
        </w:tc>
      </w:tr>
      <w:tr w:rsidR="008D747C" w:rsidRPr="004005A4" w14:paraId="26C7CDBF" w14:textId="77777777" w:rsidTr="00CC36C1">
        <w:trPr>
          <w:gridAfter w:val="1"/>
          <w:wAfter w:w="46" w:type="dxa"/>
        </w:trPr>
        <w:tc>
          <w:tcPr>
            <w:tcW w:w="7470" w:type="dxa"/>
            <w:gridSpan w:val="2"/>
          </w:tcPr>
          <w:p w14:paraId="02699FBC" w14:textId="77777777" w:rsidR="008D747C" w:rsidRDefault="008D747C" w:rsidP="005158FB">
            <w:pPr>
              <w:pStyle w:val="standard"/>
              <w:spacing w:before="120" w:after="120" w:line="240" w:lineRule="atLeast"/>
              <w:ind w:left="1150" w:hanging="360"/>
              <w:rPr>
                <w:rFonts w:cs="Calibri Light"/>
                <w:b/>
                <w:sz w:val="20"/>
                <w:szCs w:val="20"/>
              </w:rPr>
            </w:pPr>
            <w:r w:rsidRPr="003864ED">
              <w:rPr>
                <w:rFonts w:cs="Calibri Light"/>
                <w:sz w:val="20"/>
                <w:szCs w:val="20"/>
                <w:shd w:val="clear" w:color="auto" w:fill="FFFFFF"/>
              </w:rPr>
              <w:t xml:space="preserve">(i) </w:t>
            </w:r>
            <w:r w:rsidRPr="003864ED">
              <w:rPr>
                <w:rFonts w:cs="Calibri Light"/>
                <w:sz w:val="20"/>
                <w:szCs w:val="20"/>
                <w:shd w:val="clear" w:color="auto" w:fill="FFFFFF"/>
              </w:rPr>
              <w:tab/>
              <w:t>The acquisition generates substantially all of its revenues from </w:t>
            </w:r>
            <w:r w:rsidRPr="003864ED">
              <w:rPr>
                <w:rStyle w:val="dart-i"/>
                <w:rFonts w:cs="Calibri Light"/>
                <w:i/>
                <w:sz w:val="20"/>
                <w:szCs w:val="20"/>
                <w:shd w:val="clear" w:color="auto" w:fill="FFFFFF"/>
              </w:rPr>
              <w:t>oil and gas producing activities</w:t>
            </w:r>
            <w:r w:rsidRPr="003864ED">
              <w:rPr>
                <w:rFonts w:cs="Calibri Light"/>
                <w:sz w:val="20"/>
                <w:szCs w:val="20"/>
                <w:shd w:val="clear" w:color="auto" w:fill="FFFFFF"/>
              </w:rPr>
              <w:t> (as defined in § 210.4-10(a)(16)); and</w:t>
            </w:r>
          </w:p>
        </w:tc>
        <w:tc>
          <w:tcPr>
            <w:tcW w:w="1170" w:type="dxa"/>
            <w:gridSpan w:val="2"/>
            <w:tcBorders>
              <w:bottom w:val="single" w:sz="4" w:space="0" w:color="auto"/>
            </w:tcBorders>
            <w:vAlign w:val="bottom"/>
          </w:tcPr>
          <w:p w14:paraId="2921AD1D" w14:textId="77777777" w:rsidR="008D747C" w:rsidRPr="004005A4" w:rsidRDefault="008D747C" w:rsidP="005158FB">
            <w:pPr>
              <w:spacing w:before="120" w:after="120" w:line="240" w:lineRule="atLeast"/>
              <w:jc w:val="center"/>
              <w:rPr>
                <w:rFonts w:cs="Calibri Light"/>
                <w:b/>
                <w:sz w:val="20"/>
                <w:szCs w:val="20"/>
              </w:rPr>
            </w:pPr>
          </w:p>
        </w:tc>
        <w:tc>
          <w:tcPr>
            <w:tcW w:w="236" w:type="dxa"/>
            <w:gridSpan w:val="2"/>
            <w:vAlign w:val="bottom"/>
          </w:tcPr>
          <w:p w14:paraId="0BFB05C3" w14:textId="77777777" w:rsidR="008D747C" w:rsidRPr="004005A4" w:rsidRDefault="008D747C" w:rsidP="005158FB">
            <w:pPr>
              <w:spacing w:before="120" w:after="120" w:line="240" w:lineRule="atLeast"/>
              <w:jc w:val="center"/>
              <w:rPr>
                <w:rFonts w:cs="Calibri Light"/>
                <w:b/>
                <w:sz w:val="20"/>
                <w:szCs w:val="20"/>
              </w:rPr>
            </w:pPr>
          </w:p>
        </w:tc>
        <w:tc>
          <w:tcPr>
            <w:tcW w:w="1204" w:type="dxa"/>
            <w:gridSpan w:val="3"/>
            <w:tcBorders>
              <w:bottom w:val="single" w:sz="4" w:space="0" w:color="auto"/>
            </w:tcBorders>
            <w:vAlign w:val="bottom"/>
          </w:tcPr>
          <w:p w14:paraId="3818B440" w14:textId="77777777" w:rsidR="008D747C" w:rsidRPr="004005A4" w:rsidRDefault="008D747C" w:rsidP="005158FB">
            <w:pPr>
              <w:spacing w:before="120" w:after="120" w:line="240" w:lineRule="atLeast"/>
              <w:jc w:val="center"/>
              <w:rPr>
                <w:rFonts w:cs="Calibri Light"/>
                <w:b/>
                <w:sz w:val="20"/>
                <w:szCs w:val="20"/>
              </w:rPr>
            </w:pPr>
          </w:p>
        </w:tc>
      </w:tr>
      <w:tr w:rsidR="008D747C" w:rsidRPr="004005A4" w14:paraId="7A558277" w14:textId="77777777" w:rsidTr="00CC36C1">
        <w:trPr>
          <w:gridAfter w:val="1"/>
          <w:wAfter w:w="46" w:type="dxa"/>
        </w:trPr>
        <w:tc>
          <w:tcPr>
            <w:tcW w:w="7470" w:type="dxa"/>
            <w:gridSpan w:val="2"/>
          </w:tcPr>
          <w:p w14:paraId="5A2CF1B3" w14:textId="77777777" w:rsidR="008D747C" w:rsidRDefault="008D747C" w:rsidP="005158FB">
            <w:pPr>
              <w:pStyle w:val="standard"/>
              <w:spacing w:before="120" w:after="120" w:line="240" w:lineRule="atLeast"/>
              <w:ind w:left="1150" w:hanging="360"/>
              <w:rPr>
                <w:rFonts w:cs="Calibri Light"/>
                <w:b/>
                <w:sz w:val="20"/>
                <w:szCs w:val="20"/>
              </w:rPr>
            </w:pPr>
            <w:r w:rsidRPr="003864ED">
              <w:rPr>
                <w:rFonts w:cs="Calibri Light"/>
                <w:sz w:val="20"/>
                <w:szCs w:val="20"/>
                <w:shd w:val="clear" w:color="auto" w:fill="FFFFFF"/>
              </w:rPr>
              <w:t xml:space="preserve">(ii) </w:t>
            </w:r>
            <w:r w:rsidRPr="003864ED">
              <w:rPr>
                <w:rFonts w:cs="Calibri Light"/>
                <w:sz w:val="20"/>
                <w:szCs w:val="20"/>
                <w:shd w:val="clear" w:color="auto" w:fill="FFFFFF"/>
              </w:rPr>
              <w:tab/>
              <w:t>The qualifying conditions specified in paragraph (e)(1) of this section are met.</w:t>
            </w:r>
          </w:p>
        </w:tc>
        <w:tc>
          <w:tcPr>
            <w:tcW w:w="1170" w:type="dxa"/>
            <w:gridSpan w:val="2"/>
            <w:tcBorders>
              <w:top w:val="single" w:sz="4" w:space="0" w:color="auto"/>
              <w:bottom w:val="single" w:sz="4" w:space="0" w:color="auto"/>
            </w:tcBorders>
            <w:vAlign w:val="bottom"/>
          </w:tcPr>
          <w:p w14:paraId="09414DA7" w14:textId="77777777" w:rsidR="008D747C" w:rsidRPr="004005A4" w:rsidRDefault="008D747C" w:rsidP="005158FB">
            <w:pPr>
              <w:spacing w:before="120" w:after="120" w:line="240" w:lineRule="atLeast"/>
              <w:jc w:val="center"/>
              <w:rPr>
                <w:rFonts w:cs="Calibri Light"/>
                <w:b/>
                <w:sz w:val="20"/>
                <w:szCs w:val="20"/>
              </w:rPr>
            </w:pPr>
          </w:p>
        </w:tc>
        <w:tc>
          <w:tcPr>
            <w:tcW w:w="236" w:type="dxa"/>
            <w:gridSpan w:val="2"/>
            <w:vAlign w:val="bottom"/>
          </w:tcPr>
          <w:p w14:paraId="294CA92E" w14:textId="77777777" w:rsidR="008D747C" w:rsidRPr="004005A4" w:rsidRDefault="008D747C" w:rsidP="005158FB">
            <w:pPr>
              <w:spacing w:before="120" w:after="120" w:line="240" w:lineRule="atLeast"/>
              <w:jc w:val="center"/>
              <w:rPr>
                <w:rFonts w:cs="Calibri Light"/>
                <w:b/>
                <w:sz w:val="20"/>
                <w:szCs w:val="20"/>
              </w:rPr>
            </w:pPr>
          </w:p>
        </w:tc>
        <w:tc>
          <w:tcPr>
            <w:tcW w:w="1204" w:type="dxa"/>
            <w:gridSpan w:val="3"/>
            <w:tcBorders>
              <w:top w:val="single" w:sz="4" w:space="0" w:color="auto"/>
              <w:bottom w:val="single" w:sz="4" w:space="0" w:color="auto"/>
            </w:tcBorders>
            <w:vAlign w:val="bottom"/>
          </w:tcPr>
          <w:p w14:paraId="7D03154F" w14:textId="77777777" w:rsidR="008D747C" w:rsidRPr="004005A4" w:rsidRDefault="008D747C" w:rsidP="005158FB">
            <w:pPr>
              <w:spacing w:before="120" w:after="120" w:line="240" w:lineRule="atLeast"/>
              <w:jc w:val="center"/>
              <w:rPr>
                <w:rFonts w:cs="Calibri Light"/>
                <w:b/>
                <w:sz w:val="20"/>
                <w:szCs w:val="20"/>
              </w:rPr>
            </w:pPr>
          </w:p>
        </w:tc>
      </w:tr>
      <w:tr w:rsidR="003E0489" w:rsidRPr="004005A4" w14:paraId="1136A1C5" w14:textId="77777777" w:rsidTr="00CC36C1">
        <w:trPr>
          <w:gridBefore w:val="1"/>
          <w:wBefore w:w="17" w:type="dxa"/>
        </w:trPr>
        <w:tc>
          <w:tcPr>
            <w:tcW w:w="7483" w:type="dxa"/>
            <w:gridSpan w:val="2"/>
          </w:tcPr>
          <w:p w14:paraId="03ABFD69" w14:textId="77777777" w:rsidR="003E0489" w:rsidRPr="004005A4" w:rsidRDefault="003E0489" w:rsidP="003E0489">
            <w:pPr>
              <w:pStyle w:val="standard"/>
              <w:spacing w:before="120" w:after="120" w:line="240" w:lineRule="atLeast"/>
              <w:rPr>
                <w:rFonts w:cs="Calibri Light"/>
                <w:sz w:val="20"/>
                <w:szCs w:val="20"/>
              </w:rPr>
            </w:pPr>
            <w:r w:rsidRPr="001E152E">
              <w:rPr>
                <w:rFonts w:cs="Calibri Light"/>
                <w:b/>
                <w:sz w:val="20"/>
                <w:szCs w:val="20"/>
              </w:rPr>
              <w:t xml:space="preserve">Rule 3-06 — Financial statements covering a period of 9 to 12 months — </w:t>
            </w:r>
            <w:r w:rsidRPr="001E152E">
              <w:rPr>
                <w:rFonts w:cs="Calibri Light"/>
                <w:sz w:val="20"/>
                <w:szCs w:val="20"/>
              </w:rPr>
              <w:t>(Not applicable to registered investment companies.)</w:t>
            </w:r>
          </w:p>
        </w:tc>
        <w:tc>
          <w:tcPr>
            <w:tcW w:w="1209" w:type="dxa"/>
            <w:gridSpan w:val="2"/>
            <w:vAlign w:val="bottom"/>
          </w:tcPr>
          <w:p w14:paraId="78255FA9"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4CD3D147"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vAlign w:val="bottom"/>
          </w:tcPr>
          <w:p w14:paraId="7510666F"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6C7F8BEF" w14:textId="77777777" w:rsidTr="00CC36C1">
        <w:trPr>
          <w:gridBefore w:val="1"/>
          <w:wBefore w:w="17" w:type="dxa"/>
        </w:trPr>
        <w:tc>
          <w:tcPr>
            <w:tcW w:w="7483" w:type="dxa"/>
            <w:gridSpan w:val="2"/>
          </w:tcPr>
          <w:p w14:paraId="77E8B657" w14:textId="6D1D7F2D" w:rsidR="003E0489" w:rsidRPr="004005A4" w:rsidRDefault="003E0489" w:rsidP="003E0489">
            <w:pPr>
              <w:pStyle w:val="standard"/>
              <w:spacing w:before="120" w:after="120" w:line="240" w:lineRule="atLeast"/>
              <w:rPr>
                <w:rFonts w:cs="Calibri Light"/>
                <w:sz w:val="20"/>
                <w:szCs w:val="20"/>
              </w:rPr>
            </w:pPr>
            <w:r w:rsidRPr="004005A4">
              <w:rPr>
                <w:rFonts w:cs="Calibri Light"/>
                <w:sz w:val="20"/>
                <w:szCs w:val="20"/>
              </w:rPr>
              <w:t xml:space="preserve">The filing of financial statements covering a period of nine to 12 months satisfies a requirement for </w:t>
            </w:r>
            <w:r w:rsidR="005625EF">
              <w:rPr>
                <w:rFonts w:cs="Calibri Light"/>
                <w:sz w:val="20"/>
                <w:szCs w:val="20"/>
              </w:rPr>
              <w:t xml:space="preserve">financial </w:t>
            </w:r>
            <w:r w:rsidRPr="004005A4">
              <w:rPr>
                <w:rFonts w:cs="Calibri Light"/>
                <w:sz w:val="20"/>
                <w:szCs w:val="20"/>
              </w:rPr>
              <w:t>statements for a period of one year if:</w:t>
            </w:r>
          </w:p>
        </w:tc>
        <w:tc>
          <w:tcPr>
            <w:tcW w:w="1209" w:type="dxa"/>
            <w:gridSpan w:val="2"/>
            <w:vAlign w:val="bottom"/>
          </w:tcPr>
          <w:p w14:paraId="35A81527"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0C40423A"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vAlign w:val="bottom"/>
          </w:tcPr>
          <w:p w14:paraId="1839625F"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4863B5AF" w14:textId="77777777" w:rsidTr="00CC36C1">
        <w:trPr>
          <w:gridBefore w:val="1"/>
          <w:wBefore w:w="17" w:type="dxa"/>
        </w:trPr>
        <w:tc>
          <w:tcPr>
            <w:tcW w:w="7483" w:type="dxa"/>
            <w:gridSpan w:val="2"/>
          </w:tcPr>
          <w:p w14:paraId="74283D37" w14:textId="3BF776DB" w:rsidR="003E0489" w:rsidRPr="004005A4" w:rsidRDefault="003E0489" w:rsidP="003E0489">
            <w:pPr>
              <w:pStyle w:val="level1"/>
              <w:numPr>
                <w:ilvl w:val="0"/>
                <w:numId w:val="96"/>
              </w:numPr>
              <w:tabs>
                <w:tab w:val="clear" w:pos="576"/>
              </w:tabs>
              <w:spacing w:after="120" w:line="240" w:lineRule="atLeast"/>
              <w:ind w:left="230" w:hanging="230"/>
              <w:rPr>
                <w:rFonts w:cs="Calibri Light"/>
                <w:sz w:val="20"/>
                <w:szCs w:val="20"/>
              </w:rPr>
            </w:pPr>
            <w:r w:rsidRPr="004005A4">
              <w:rPr>
                <w:rFonts w:cs="Calibri Light"/>
                <w:sz w:val="20"/>
                <w:szCs w:val="20"/>
              </w:rPr>
              <w:t>The issuer changed its fiscal year (see Change in Fiscal Years below).</w:t>
            </w:r>
          </w:p>
        </w:tc>
        <w:tc>
          <w:tcPr>
            <w:tcW w:w="1209" w:type="dxa"/>
            <w:gridSpan w:val="2"/>
            <w:tcBorders>
              <w:bottom w:val="single" w:sz="6" w:space="0" w:color="auto"/>
            </w:tcBorders>
            <w:vAlign w:val="bottom"/>
          </w:tcPr>
          <w:p w14:paraId="46C16EAD"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05BFBAE4"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277180B7"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7C6CC1AF" w14:textId="77777777" w:rsidTr="00CC36C1">
        <w:trPr>
          <w:gridBefore w:val="1"/>
          <w:wBefore w:w="17" w:type="dxa"/>
        </w:trPr>
        <w:tc>
          <w:tcPr>
            <w:tcW w:w="7483" w:type="dxa"/>
            <w:gridSpan w:val="2"/>
          </w:tcPr>
          <w:p w14:paraId="343DE62C" w14:textId="3F715056" w:rsidR="003E0489" w:rsidRPr="004005A4" w:rsidRDefault="003E0489" w:rsidP="003E0489">
            <w:pPr>
              <w:pStyle w:val="level1"/>
              <w:numPr>
                <w:ilvl w:val="0"/>
                <w:numId w:val="96"/>
              </w:numPr>
              <w:tabs>
                <w:tab w:val="clear" w:pos="576"/>
              </w:tabs>
              <w:spacing w:after="120" w:line="240" w:lineRule="atLeast"/>
              <w:ind w:left="230" w:hanging="230"/>
              <w:rPr>
                <w:rFonts w:cs="Calibri Light"/>
                <w:sz w:val="20"/>
                <w:szCs w:val="20"/>
              </w:rPr>
            </w:pPr>
            <w:r w:rsidRPr="004005A4">
              <w:rPr>
                <w:rFonts w:cs="Calibri Light"/>
                <w:sz w:val="20"/>
                <w:szCs w:val="20"/>
              </w:rPr>
              <w:lastRenderedPageBreak/>
              <w:t>The issuer made a significant business acquisition for which financial statements are required under S-X Rule 3-05 and the financial statements covering the interim period pertain to the business being acquired.</w:t>
            </w:r>
          </w:p>
        </w:tc>
        <w:tc>
          <w:tcPr>
            <w:tcW w:w="1209" w:type="dxa"/>
            <w:gridSpan w:val="2"/>
            <w:tcBorders>
              <w:top w:val="single" w:sz="6" w:space="0" w:color="auto"/>
              <w:bottom w:val="single" w:sz="4" w:space="0" w:color="auto"/>
            </w:tcBorders>
            <w:vAlign w:val="bottom"/>
          </w:tcPr>
          <w:p w14:paraId="45B3F988"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24789E31"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425971BA"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148B0334" w14:textId="77777777" w:rsidTr="00CC36C1">
        <w:trPr>
          <w:gridBefore w:val="1"/>
          <w:wBefore w:w="17" w:type="dxa"/>
        </w:trPr>
        <w:tc>
          <w:tcPr>
            <w:tcW w:w="7483" w:type="dxa"/>
            <w:gridSpan w:val="2"/>
          </w:tcPr>
          <w:p w14:paraId="734F63F6" w14:textId="3619B3B6" w:rsidR="003E0489" w:rsidRPr="004005A4" w:rsidRDefault="003E0489" w:rsidP="003E0489">
            <w:pPr>
              <w:pStyle w:val="level1"/>
              <w:numPr>
                <w:ilvl w:val="0"/>
                <w:numId w:val="96"/>
              </w:numPr>
              <w:tabs>
                <w:tab w:val="clear" w:pos="576"/>
              </w:tabs>
              <w:spacing w:after="120" w:line="240" w:lineRule="atLeast"/>
              <w:ind w:left="230" w:hanging="230"/>
              <w:rPr>
                <w:rFonts w:cs="Calibri Light"/>
                <w:sz w:val="20"/>
                <w:szCs w:val="20"/>
              </w:rPr>
            </w:pPr>
            <w:r w:rsidRPr="548EBB82">
              <w:rPr>
                <w:rFonts w:cs="Calibri Light"/>
                <w:sz w:val="20"/>
                <w:szCs w:val="20"/>
              </w:rPr>
              <w:t>The SEC so permits under S-X Rule 3-13 or 8-01(e).</w:t>
            </w:r>
          </w:p>
        </w:tc>
        <w:tc>
          <w:tcPr>
            <w:tcW w:w="1209" w:type="dxa"/>
            <w:gridSpan w:val="2"/>
            <w:tcBorders>
              <w:top w:val="single" w:sz="4" w:space="0" w:color="auto"/>
              <w:bottom w:val="single" w:sz="4" w:space="0" w:color="auto"/>
            </w:tcBorders>
            <w:vAlign w:val="bottom"/>
          </w:tcPr>
          <w:p w14:paraId="47BACB47"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641546D2"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F4AD2F0"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40BDC20E" w14:textId="77777777" w:rsidTr="00CC36C1">
        <w:trPr>
          <w:gridBefore w:val="1"/>
          <w:wBefore w:w="17" w:type="dxa"/>
        </w:trPr>
        <w:tc>
          <w:tcPr>
            <w:tcW w:w="7483" w:type="dxa"/>
            <w:gridSpan w:val="2"/>
          </w:tcPr>
          <w:p w14:paraId="34069657" w14:textId="0762C75E" w:rsidR="003E0489" w:rsidRPr="004005A4" w:rsidRDefault="003E0489" w:rsidP="003E0489">
            <w:pPr>
              <w:pStyle w:val="level1"/>
              <w:tabs>
                <w:tab w:val="clear" w:pos="576"/>
                <w:tab w:val="clear" w:pos="1152"/>
                <w:tab w:val="clear" w:pos="1728"/>
                <w:tab w:val="clear" w:pos="2304"/>
              </w:tabs>
              <w:spacing w:after="120" w:line="240" w:lineRule="atLeast"/>
              <w:ind w:left="230" w:firstLine="0"/>
              <w:rPr>
                <w:rFonts w:cs="Calibri Light"/>
                <w:sz w:val="20"/>
                <w:szCs w:val="20"/>
              </w:rPr>
            </w:pPr>
            <w:r w:rsidRPr="004005A4">
              <w:rPr>
                <w:rFonts w:cs="Calibri Light"/>
                <w:sz w:val="20"/>
                <w:szCs w:val="20"/>
              </w:rPr>
              <w:t>If there is a requirement to file financial statements for a time period exceeding one year but not exceeding three consecutive years, the financial statements for one of those years may cover a period of only nine to 12 months if the conditions described in paragraph (a), (b), or (c), above, exist and the other financial statements filed cover the full fiscal year(s) for all other years in the time period.</w:t>
            </w:r>
          </w:p>
        </w:tc>
        <w:tc>
          <w:tcPr>
            <w:tcW w:w="1209" w:type="dxa"/>
            <w:gridSpan w:val="2"/>
            <w:tcBorders>
              <w:top w:val="single" w:sz="4" w:space="0" w:color="auto"/>
              <w:bottom w:val="single" w:sz="4" w:space="0" w:color="auto"/>
            </w:tcBorders>
            <w:vAlign w:val="bottom"/>
          </w:tcPr>
          <w:p w14:paraId="7BC26723"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6BFB9A41"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E59A939"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6E4838F8" w14:textId="77777777" w:rsidTr="00CC36C1">
        <w:trPr>
          <w:gridBefore w:val="1"/>
          <w:wBefore w:w="17" w:type="dxa"/>
        </w:trPr>
        <w:tc>
          <w:tcPr>
            <w:tcW w:w="7483" w:type="dxa"/>
            <w:gridSpan w:val="2"/>
          </w:tcPr>
          <w:p w14:paraId="4ACA5E77" w14:textId="77777777" w:rsidR="003E0489" w:rsidRPr="004005A4" w:rsidRDefault="003E0489" w:rsidP="003E0489">
            <w:pPr>
              <w:pStyle w:val="FormTableHeaderRow"/>
              <w:rPr>
                <w:rFonts w:cs="Calibri Light"/>
                <w:b w:val="0"/>
                <w:sz w:val="20"/>
                <w:szCs w:val="20"/>
              </w:rPr>
            </w:pPr>
            <w:r w:rsidRPr="004005A4">
              <w:rPr>
                <w:rFonts w:cs="Calibri Light"/>
                <w:sz w:val="20"/>
                <w:szCs w:val="20"/>
              </w:rPr>
              <w:t>Change in Fiscal Years</w:t>
            </w:r>
          </w:p>
        </w:tc>
        <w:tc>
          <w:tcPr>
            <w:tcW w:w="1209" w:type="dxa"/>
            <w:gridSpan w:val="2"/>
            <w:tcBorders>
              <w:top w:val="single" w:sz="4" w:space="0" w:color="auto"/>
            </w:tcBorders>
            <w:vAlign w:val="bottom"/>
          </w:tcPr>
          <w:p w14:paraId="5096CABB"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43EC370F"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8090D18"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032864DA" w14:textId="77777777" w:rsidTr="00CC36C1">
        <w:trPr>
          <w:gridBefore w:val="1"/>
          <w:wBefore w:w="17" w:type="dxa"/>
        </w:trPr>
        <w:tc>
          <w:tcPr>
            <w:tcW w:w="7483" w:type="dxa"/>
            <w:gridSpan w:val="2"/>
          </w:tcPr>
          <w:p w14:paraId="2F3B9781" w14:textId="77777777" w:rsidR="003E0489" w:rsidRDefault="003E0489" w:rsidP="003E0489">
            <w:pPr>
              <w:pStyle w:val="level1"/>
              <w:tabs>
                <w:tab w:val="clear" w:pos="576"/>
                <w:tab w:val="clear" w:pos="1152"/>
                <w:tab w:val="clear" w:pos="1728"/>
                <w:tab w:val="clear" w:pos="2304"/>
              </w:tabs>
              <w:spacing w:after="120" w:line="240" w:lineRule="atLeast"/>
              <w:ind w:left="0" w:firstLine="0"/>
              <w:rPr>
                <w:rFonts w:cs="Calibri Light"/>
                <w:sz w:val="20"/>
                <w:szCs w:val="20"/>
              </w:rPr>
            </w:pPr>
            <w:r w:rsidRPr="004005A4">
              <w:rPr>
                <w:rFonts w:cs="Calibri Light"/>
                <w:sz w:val="20"/>
                <w:szCs w:val="20"/>
              </w:rPr>
              <w:t xml:space="preserve">Exchange Act Rules 13a-10 and 15d-10 and FRR Section 102.05. </w:t>
            </w:r>
          </w:p>
          <w:p w14:paraId="63BE6778" w14:textId="07719D1F" w:rsidR="003E0489" w:rsidRPr="004005A4" w:rsidRDefault="003E0489" w:rsidP="003E0489">
            <w:pPr>
              <w:pStyle w:val="level1"/>
              <w:tabs>
                <w:tab w:val="clear" w:pos="576"/>
                <w:tab w:val="clear" w:pos="1152"/>
                <w:tab w:val="clear" w:pos="1728"/>
                <w:tab w:val="clear" w:pos="2304"/>
              </w:tabs>
              <w:spacing w:after="120" w:line="240" w:lineRule="atLeast"/>
              <w:ind w:left="0" w:firstLine="0"/>
              <w:rPr>
                <w:rFonts w:cs="Calibri Light"/>
                <w:sz w:val="20"/>
                <w:szCs w:val="20"/>
              </w:rPr>
            </w:pPr>
            <w:r w:rsidRPr="004005A4">
              <w:rPr>
                <w:rFonts w:cs="Calibri Light"/>
                <w:b/>
                <w:sz w:val="20"/>
                <w:szCs w:val="20"/>
              </w:rPr>
              <w:t>Transition reports.</w:t>
            </w:r>
            <w:r w:rsidRPr="004005A4">
              <w:rPr>
                <w:rFonts w:cs="Calibri Light"/>
                <w:sz w:val="20"/>
                <w:szCs w:val="20"/>
              </w:rPr>
              <w:t xml:space="preserve">  A “transition period” is the short period that results from a change in fiscal year and “transition reports” are SEC filings covering such transition periods.  Note: Form 8-K, Item 5.03, requirements and Financial Reporting Manual 1360.</w:t>
            </w:r>
          </w:p>
        </w:tc>
        <w:tc>
          <w:tcPr>
            <w:tcW w:w="1209" w:type="dxa"/>
            <w:gridSpan w:val="2"/>
            <w:vAlign w:val="bottom"/>
          </w:tcPr>
          <w:p w14:paraId="1A945DA8"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48D9C18F"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vAlign w:val="bottom"/>
          </w:tcPr>
          <w:p w14:paraId="64E36862"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6F3303D1" w14:textId="77777777" w:rsidTr="00CC36C1">
        <w:trPr>
          <w:gridBefore w:val="1"/>
          <w:wBefore w:w="17" w:type="dxa"/>
        </w:trPr>
        <w:tc>
          <w:tcPr>
            <w:tcW w:w="7483" w:type="dxa"/>
            <w:gridSpan w:val="2"/>
          </w:tcPr>
          <w:p w14:paraId="3FB1AC3A" w14:textId="5C0A3EEE" w:rsidR="003E0489" w:rsidRPr="004005A4" w:rsidRDefault="003E0489" w:rsidP="003E0489">
            <w:pPr>
              <w:pStyle w:val="standard"/>
              <w:spacing w:before="120" w:after="120" w:line="240" w:lineRule="atLeast"/>
              <w:rPr>
                <w:rFonts w:cs="Calibri Light"/>
                <w:b/>
                <w:sz w:val="20"/>
                <w:szCs w:val="20"/>
              </w:rPr>
            </w:pPr>
            <w:r w:rsidRPr="004005A4">
              <w:rPr>
                <w:rFonts w:cs="Calibri Light"/>
                <w:b/>
                <w:sz w:val="20"/>
                <w:szCs w:val="20"/>
              </w:rPr>
              <w:t>Rule 3-09 — Separate financial statements of subsidiaries not consolidated and 50%-or-less-owned persons.</w:t>
            </w:r>
          </w:p>
        </w:tc>
        <w:tc>
          <w:tcPr>
            <w:tcW w:w="1209" w:type="dxa"/>
            <w:gridSpan w:val="2"/>
            <w:tcBorders>
              <w:top w:val="single" w:sz="4" w:space="0" w:color="auto"/>
            </w:tcBorders>
            <w:vAlign w:val="bottom"/>
          </w:tcPr>
          <w:p w14:paraId="1E290D48"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27EF5654"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3CF9FD2"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3F9EB15F" w14:textId="77777777" w:rsidTr="00CC36C1">
        <w:trPr>
          <w:gridBefore w:val="1"/>
          <w:wBefore w:w="17" w:type="dxa"/>
        </w:trPr>
        <w:tc>
          <w:tcPr>
            <w:tcW w:w="7483" w:type="dxa"/>
            <w:gridSpan w:val="2"/>
          </w:tcPr>
          <w:p w14:paraId="25EC94AE" w14:textId="705CF860" w:rsidR="00D6704E" w:rsidRDefault="003E0489" w:rsidP="003E0489">
            <w:pPr>
              <w:pStyle w:val="level1"/>
              <w:numPr>
                <w:ilvl w:val="0"/>
                <w:numId w:val="97"/>
              </w:numPr>
              <w:tabs>
                <w:tab w:val="clear" w:pos="576"/>
              </w:tabs>
              <w:spacing w:after="120" w:line="240" w:lineRule="atLeast"/>
              <w:ind w:left="232" w:hanging="232"/>
              <w:rPr>
                <w:rFonts w:cs="Calibri Light"/>
                <w:sz w:val="20"/>
                <w:szCs w:val="20"/>
              </w:rPr>
            </w:pPr>
            <w:r w:rsidRPr="004005A4">
              <w:rPr>
                <w:rFonts w:cs="Calibri Light"/>
                <w:sz w:val="20"/>
                <w:szCs w:val="20"/>
              </w:rPr>
              <w:t xml:space="preserve">Separate financial statements of majority owned unconsolidated subsidiaries (“subsidiary”) </w:t>
            </w:r>
            <w:r w:rsidR="001A7264">
              <w:rPr>
                <w:rFonts w:cs="Calibri Light"/>
                <w:sz w:val="20"/>
                <w:szCs w:val="20"/>
              </w:rPr>
              <w:t>must be filed</w:t>
            </w:r>
            <w:r w:rsidRPr="004005A4">
              <w:rPr>
                <w:rFonts w:cs="Calibri Light"/>
                <w:sz w:val="20"/>
                <w:szCs w:val="20"/>
              </w:rPr>
              <w:t xml:space="preserve"> if any of the conditions of the </w:t>
            </w:r>
            <w:r>
              <w:rPr>
                <w:rFonts w:cs="Calibri Light"/>
                <w:sz w:val="20"/>
                <w:szCs w:val="20"/>
              </w:rPr>
              <w:t>s</w:t>
            </w:r>
            <w:r w:rsidRPr="004005A4">
              <w:rPr>
                <w:rFonts w:cs="Calibri Light"/>
                <w:sz w:val="20"/>
                <w:szCs w:val="20"/>
              </w:rPr>
              <w:t xml:space="preserve">ignificant </w:t>
            </w:r>
            <w:r>
              <w:rPr>
                <w:rFonts w:cs="Calibri Light"/>
                <w:sz w:val="20"/>
                <w:szCs w:val="20"/>
              </w:rPr>
              <w:t>s</w:t>
            </w:r>
            <w:r w:rsidRPr="004005A4">
              <w:rPr>
                <w:rFonts w:cs="Calibri Light"/>
                <w:sz w:val="20"/>
                <w:szCs w:val="20"/>
              </w:rPr>
              <w:t xml:space="preserve">ubsidiary </w:t>
            </w:r>
            <w:r>
              <w:rPr>
                <w:rFonts w:cs="Calibri Light"/>
                <w:sz w:val="20"/>
                <w:szCs w:val="20"/>
              </w:rPr>
              <w:t>t</w:t>
            </w:r>
            <w:r w:rsidRPr="004005A4">
              <w:rPr>
                <w:rFonts w:cs="Calibri Light"/>
                <w:sz w:val="20"/>
                <w:szCs w:val="20"/>
              </w:rPr>
              <w:t>est</w:t>
            </w:r>
            <w:r>
              <w:rPr>
                <w:rFonts w:cs="Calibri Light"/>
                <w:sz w:val="20"/>
                <w:szCs w:val="20"/>
              </w:rPr>
              <w:t xml:space="preserve"> in Regulation S-X, Rule 1-02(w) (the “Significant Subsidiary Test”)</w:t>
            </w:r>
            <w:r w:rsidRPr="004005A4">
              <w:rPr>
                <w:rFonts w:cs="Calibri Light"/>
                <w:sz w:val="20"/>
                <w:szCs w:val="20"/>
              </w:rPr>
              <w:t xml:space="preserve">, substituting 20% for 10% in the test, is met. Similarly, separate financial statements of 50%-or-less-owned persons accounted for by the equity method (“investee”) </w:t>
            </w:r>
            <w:r w:rsidR="00BD3288">
              <w:rPr>
                <w:rFonts w:cs="Calibri Light"/>
                <w:sz w:val="20"/>
                <w:szCs w:val="20"/>
              </w:rPr>
              <w:t>must be filed</w:t>
            </w:r>
            <w:r w:rsidRPr="004005A4">
              <w:rPr>
                <w:rFonts w:cs="Calibri Light"/>
                <w:sz w:val="20"/>
                <w:szCs w:val="20"/>
              </w:rPr>
              <w:t xml:space="preserve"> if either the </w:t>
            </w:r>
            <w:r>
              <w:rPr>
                <w:rFonts w:cs="Calibri Light"/>
                <w:sz w:val="20"/>
                <w:szCs w:val="20"/>
              </w:rPr>
              <w:t>i</w:t>
            </w:r>
            <w:r w:rsidRPr="004005A4">
              <w:rPr>
                <w:rFonts w:cs="Calibri Light"/>
                <w:sz w:val="20"/>
                <w:szCs w:val="20"/>
              </w:rPr>
              <w:t xml:space="preserve">nvestment </w:t>
            </w:r>
            <w:r>
              <w:rPr>
                <w:rFonts w:cs="Calibri Light"/>
                <w:sz w:val="20"/>
                <w:szCs w:val="20"/>
              </w:rPr>
              <w:t xml:space="preserve">test </w:t>
            </w:r>
            <w:r w:rsidRPr="004005A4">
              <w:rPr>
                <w:rFonts w:cs="Calibri Light"/>
                <w:sz w:val="20"/>
                <w:szCs w:val="20"/>
              </w:rPr>
              <w:t xml:space="preserve">or </w:t>
            </w:r>
            <w:r>
              <w:rPr>
                <w:rFonts w:cs="Calibri Light"/>
                <w:sz w:val="20"/>
                <w:szCs w:val="20"/>
              </w:rPr>
              <w:t>i</w:t>
            </w:r>
            <w:r w:rsidRPr="004005A4">
              <w:rPr>
                <w:rFonts w:cs="Calibri Light"/>
                <w:sz w:val="20"/>
                <w:szCs w:val="20"/>
              </w:rPr>
              <w:t xml:space="preserve">ncome </w:t>
            </w:r>
            <w:r>
              <w:rPr>
                <w:rFonts w:cs="Calibri Light"/>
                <w:sz w:val="20"/>
                <w:szCs w:val="20"/>
              </w:rPr>
              <w:t>t</w:t>
            </w:r>
            <w:r w:rsidRPr="004005A4">
              <w:rPr>
                <w:rFonts w:cs="Calibri Light"/>
                <w:sz w:val="20"/>
                <w:szCs w:val="20"/>
              </w:rPr>
              <w:t>est of the Significant Subsidiary Test</w:t>
            </w:r>
            <w:r>
              <w:rPr>
                <w:rFonts w:cs="Calibri Light"/>
                <w:sz w:val="20"/>
                <w:szCs w:val="20"/>
              </w:rPr>
              <w:t xml:space="preserve"> (the “Investment Test” and “Income Test</w:t>
            </w:r>
            <w:r w:rsidR="00E27715">
              <w:rPr>
                <w:rFonts w:cs="Calibri Light"/>
                <w:sz w:val="20"/>
                <w:szCs w:val="20"/>
              </w:rPr>
              <w:t>,</w:t>
            </w:r>
            <w:r>
              <w:rPr>
                <w:rFonts w:cs="Calibri Light"/>
                <w:sz w:val="20"/>
                <w:szCs w:val="20"/>
              </w:rPr>
              <w:t>” respectively)</w:t>
            </w:r>
            <w:r w:rsidRPr="004005A4">
              <w:rPr>
                <w:rFonts w:cs="Calibri Light"/>
                <w:sz w:val="20"/>
                <w:szCs w:val="20"/>
              </w:rPr>
              <w:t xml:space="preserve">, substituting 20% for 10% in the test, is met. </w:t>
            </w:r>
          </w:p>
          <w:p w14:paraId="1326628A" w14:textId="430B5C9C" w:rsidR="003E0489" w:rsidRPr="00E07822" w:rsidRDefault="003E0489" w:rsidP="00E27715">
            <w:pPr>
              <w:pStyle w:val="level1"/>
              <w:tabs>
                <w:tab w:val="clear" w:pos="576"/>
              </w:tabs>
              <w:spacing w:after="120" w:line="240" w:lineRule="atLeast"/>
              <w:ind w:left="232" w:firstLine="0"/>
              <w:rPr>
                <w:rFonts w:cs="Calibri Light"/>
                <w:sz w:val="20"/>
                <w:szCs w:val="20"/>
              </w:rPr>
            </w:pPr>
            <w:r w:rsidRPr="004005A4">
              <w:rPr>
                <w:rFonts w:cs="Calibri Light"/>
                <w:sz w:val="20"/>
                <w:szCs w:val="20"/>
              </w:rPr>
              <w:t xml:space="preserve">(Note: The SEC staff would not object if an EGC presents two years of separate financial statements for a subsidiary or investee in its initial registration statement when under Rule 3-09 it would be required to present three years of separate financial statements for such a subsidiary or investee.) Refer to </w:t>
            </w:r>
            <w:bookmarkStart w:id="16" w:name="_Hlk28088530"/>
            <w:r w:rsidRPr="004005A4">
              <w:rPr>
                <w:rStyle w:val="Hyperlink"/>
                <w:rFonts w:cs="Calibri Light"/>
                <w:i/>
                <w:sz w:val="20"/>
                <w:szCs w:val="20"/>
              </w:rPr>
              <w:fldChar w:fldCharType="begin"/>
            </w:r>
            <w:r>
              <w:rPr>
                <w:rStyle w:val="Hyperlink"/>
                <w:rFonts w:cs="Calibri Light"/>
                <w:i/>
                <w:sz w:val="20"/>
                <w:szCs w:val="20"/>
              </w:rPr>
              <w:instrText>HYPERLINK "https://dart.deloitte.com/USDART/home/publications/roadmap/equity-method-investees-sec-reporting"</w:instrText>
            </w:r>
            <w:r w:rsidRPr="004005A4">
              <w:rPr>
                <w:rStyle w:val="Hyperlink"/>
                <w:rFonts w:cs="Calibri Light"/>
                <w:i/>
                <w:sz w:val="20"/>
                <w:szCs w:val="20"/>
              </w:rPr>
              <w:fldChar w:fldCharType="separate"/>
            </w:r>
            <w:r>
              <w:rPr>
                <w:rStyle w:val="Hyperlink"/>
                <w:rFonts w:cs="Calibri Light"/>
                <w:i/>
                <w:sz w:val="20"/>
                <w:szCs w:val="20"/>
              </w:rPr>
              <w:t>SEC Reporting Considerations for Equity Method Investees</w:t>
            </w:r>
            <w:r w:rsidRPr="004005A4">
              <w:rPr>
                <w:rStyle w:val="Hyperlink"/>
                <w:rFonts w:cs="Calibri Light"/>
                <w:i/>
                <w:sz w:val="20"/>
                <w:szCs w:val="20"/>
              </w:rPr>
              <w:fldChar w:fldCharType="end"/>
            </w:r>
            <w:r w:rsidRPr="004005A4">
              <w:rPr>
                <w:rFonts w:cs="Calibri Light"/>
                <w:sz w:val="20"/>
                <w:szCs w:val="20"/>
              </w:rPr>
              <w:t xml:space="preserve"> for more details. </w:t>
            </w:r>
            <w:bookmarkEnd w:id="16"/>
          </w:p>
        </w:tc>
        <w:tc>
          <w:tcPr>
            <w:tcW w:w="1209" w:type="dxa"/>
            <w:gridSpan w:val="2"/>
            <w:vAlign w:val="bottom"/>
          </w:tcPr>
          <w:p w14:paraId="429EF41E"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6707EE46"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vAlign w:val="bottom"/>
          </w:tcPr>
          <w:p w14:paraId="364CE94B"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59FBF04E" w14:textId="77777777" w:rsidTr="00CC36C1">
        <w:trPr>
          <w:gridBefore w:val="1"/>
          <w:wBefore w:w="17" w:type="dxa"/>
        </w:trPr>
        <w:tc>
          <w:tcPr>
            <w:tcW w:w="7483" w:type="dxa"/>
            <w:gridSpan w:val="2"/>
          </w:tcPr>
          <w:p w14:paraId="46075C28" w14:textId="39B1771B" w:rsidR="003E0489" w:rsidRPr="004005A4" w:rsidRDefault="003E0489" w:rsidP="00E27715">
            <w:pPr>
              <w:pStyle w:val="level1"/>
              <w:numPr>
                <w:ilvl w:val="0"/>
                <w:numId w:val="97"/>
              </w:numPr>
              <w:tabs>
                <w:tab w:val="clear" w:pos="576"/>
              </w:tabs>
              <w:spacing w:after="120" w:line="240" w:lineRule="atLeast"/>
              <w:ind w:left="232" w:hanging="232"/>
              <w:rPr>
                <w:rFonts w:cs="Calibri Light"/>
                <w:sz w:val="20"/>
                <w:szCs w:val="20"/>
              </w:rPr>
            </w:pPr>
            <w:r w:rsidRPr="004005A4">
              <w:rPr>
                <w:rFonts w:cs="Calibri Light"/>
                <w:sz w:val="20"/>
                <w:szCs w:val="20"/>
              </w:rPr>
              <w:t xml:space="preserve">Insofar as practicable, the separate financial statements </w:t>
            </w:r>
            <w:r w:rsidR="00106FBE">
              <w:rPr>
                <w:rFonts w:cs="Calibri Light"/>
                <w:sz w:val="20"/>
                <w:szCs w:val="20"/>
              </w:rPr>
              <w:t>shall</w:t>
            </w:r>
            <w:r w:rsidR="00106FBE" w:rsidRPr="004005A4">
              <w:rPr>
                <w:rFonts w:cs="Calibri Light"/>
                <w:sz w:val="20"/>
                <w:szCs w:val="20"/>
              </w:rPr>
              <w:t xml:space="preserve"> </w:t>
            </w:r>
            <w:r w:rsidRPr="004005A4">
              <w:rPr>
                <w:rFonts w:cs="Calibri Light"/>
                <w:sz w:val="20"/>
                <w:szCs w:val="20"/>
              </w:rPr>
              <w:t xml:space="preserve">be as of the same dates and for the same periods as the audited consolidated financial statements required by Rules 3-01 and 3-02.  However, these separate financial statements are required to be audited only for those </w:t>
            </w:r>
            <w:r w:rsidR="00CF2B4F">
              <w:rPr>
                <w:rFonts w:cs="Calibri Light"/>
                <w:sz w:val="20"/>
                <w:szCs w:val="20"/>
              </w:rPr>
              <w:t xml:space="preserve">fiscal </w:t>
            </w:r>
            <w:r w:rsidRPr="004005A4">
              <w:rPr>
                <w:rFonts w:cs="Calibri Light"/>
                <w:sz w:val="20"/>
                <w:szCs w:val="20"/>
              </w:rPr>
              <w:t xml:space="preserve">years in which the Investment </w:t>
            </w:r>
            <w:r>
              <w:rPr>
                <w:rFonts w:cs="Calibri Light"/>
                <w:sz w:val="20"/>
                <w:szCs w:val="20"/>
              </w:rPr>
              <w:t xml:space="preserve">Test </w:t>
            </w:r>
            <w:r w:rsidRPr="004005A4">
              <w:rPr>
                <w:rFonts w:cs="Calibri Light"/>
                <w:sz w:val="20"/>
                <w:szCs w:val="20"/>
              </w:rPr>
              <w:t xml:space="preserve">or Income Test, substituting 20% for 10% in the test, is met.  For </w:t>
            </w:r>
            <w:r w:rsidR="00CF2B4F">
              <w:rPr>
                <w:rFonts w:cs="Calibri Light"/>
                <w:sz w:val="20"/>
                <w:szCs w:val="20"/>
              </w:rPr>
              <w:t xml:space="preserve">purposes of a filing on </w:t>
            </w:r>
            <w:r w:rsidRPr="004005A4">
              <w:rPr>
                <w:rFonts w:cs="Calibri Light"/>
                <w:sz w:val="20"/>
                <w:szCs w:val="20"/>
              </w:rPr>
              <w:t xml:space="preserve">Form 10-K: </w:t>
            </w:r>
          </w:p>
          <w:p w14:paraId="236751C9" w14:textId="77777777" w:rsidR="003E0489" w:rsidRPr="004005A4" w:rsidRDefault="003E0489" w:rsidP="003E0489">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(1)</w:t>
            </w:r>
            <w:r w:rsidRPr="004005A4">
              <w:rPr>
                <w:rFonts w:cs="Calibri Light"/>
                <w:sz w:val="20"/>
                <w:szCs w:val="20"/>
              </w:rPr>
              <w:tab/>
              <w:t xml:space="preserve">If the registrant is an accelerated filer, but the 50%-or-less owned person is not an accelerated filer, the required financial statements may be filed as an amendment to the report within 90 days, or within six months if the 50%-or-less owned person is a foreign business, after the end of the registrant’s fiscal year. </w:t>
            </w:r>
            <w:r w:rsidRPr="004005A4" w:rsidDel="008D59F7">
              <w:rPr>
                <w:rFonts w:cs="Calibri Light"/>
                <w:sz w:val="20"/>
                <w:szCs w:val="20"/>
              </w:rPr>
              <w:t xml:space="preserve"> </w:t>
            </w:r>
          </w:p>
        </w:tc>
        <w:tc>
          <w:tcPr>
            <w:tcW w:w="1209" w:type="dxa"/>
            <w:gridSpan w:val="2"/>
            <w:tcBorders>
              <w:top w:val="single" w:sz="4" w:space="0" w:color="auto"/>
            </w:tcBorders>
            <w:vAlign w:val="bottom"/>
          </w:tcPr>
          <w:p w14:paraId="4DB94B09"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588068E4"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144DDC0"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010B2ED8" w14:textId="77777777" w:rsidTr="00CC36C1">
        <w:trPr>
          <w:gridBefore w:val="1"/>
          <w:wBefore w:w="17" w:type="dxa"/>
        </w:trPr>
        <w:tc>
          <w:tcPr>
            <w:tcW w:w="7483" w:type="dxa"/>
            <w:gridSpan w:val="2"/>
          </w:tcPr>
          <w:p w14:paraId="313ECD35" w14:textId="5CF8D013" w:rsidR="003E0489" w:rsidRPr="004005A4" w:rsidRDefault="003E0489" w:rsidP="003E0489">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lastRenderedPageBreak/>
              <w:t>(2)</w:t>
            </w:r>
            <w:r w:rsidRPr="004005A4">
              <w:rPr>
                <w:rFonts w:cs="Calibri Light"/>
                <w:sz w:val="20"/>
                <w:szCs w:val="20"/>
              </w:rPr>
              <w:tab/>
              <w:t>If the fiscal year of any 50%-or-less owned person ends within the registrant’s number of filing days (see definition below) before the date of the filing, or if the fiscal year</w:t>
            </w:r>
            <w:r w:rsidR="00CF2B4F">
              <w:rPr>
                <w:rFonts w:cs="Calibri Light"/>
                <w:sz w:val="20"/>
                <w:szCs w:val="20"/>
              </w:rPr>
              <w:t xml:space="preserve"> </w:t>
            </w:r>
            <w:r w:rsidRPr="004005A4">
              <w:rPr>
                <w:rFonts w:cs="Calibri Light"/>
                <w:sz w:val="20"/>
                <w:szCs w:val="20"/>
              </w:rPr>
              <w:t xml:space="preserve">ends after the date of the filing, the required financial statements may be filed as an amendment to the report within the subsidiary’s number of filing days, or within six months if the 50%-or-less owned person is a foreign business, after the end of such subsidiary’s or person’s fiscal year. </w:t>
            </w:r>
          </w:p>
          <w:p w14:paraId="5153412C" w14:textId="77777777" w:rsidR="003E0489" w:rsidRPr="004005A4" w:rsidRDefault="003E0489" w:rsidP="003E0489">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(3)</w:t>
            </w:r>
            <w:r w:rsidRPr="004005A4">
              <w:rPr>
                <w:rFonts w:cs="Calibri Light"/>
                <w:sz w:val="20"/>
                <w:szCs w:val="20"/>
              </w:rPr>
              <w:tab/>
              <w:t xml:space="preserve">The term registrant’s number of filing days means: </w:t>
            </w:r>
          </w:p>
          <w:p w14:paraId="01F80370" w14:textId="77777777" w:rsidR="003E0489" w:rsidRPr="004005A4" w:rsidRDefault="003E0489" w:rsidP="003E0489">
            <w:pPr>
              <w:pStyle w:val="level4"/>
              <w:tabs>
                <w:tab w:val="clear" w:pos="576"/>
                <w:tab w:val="clear" w:pos="1152"/>
                <w:tab w:val="clear" w:pos="1728"/>
              </w:tabs>
              <w:spacing w:after="120" w:line="240" w:lineRule="atLeast"/>
              <w:ind w:left="772" w:hanging="270"/>
              <w:rPr>
                <w:rFonts w:cs="Calibri Light"/>
                <w:sz w:val="20"/>
                <w:szCs w:val="20"/>
              </w:rPr>
            </w:pPr>
            <w:r w:rsidRPr="004005A4">
              <w:rPr>
                <w:rFonts w:cs="Calibri Light"/>
                <w:sz w:val="20"/>
                <w:szCs w:val="20"/>
              </w:rPr>
              <w:t>(a)</w:t>
            </w:r>
            <w:r w:rsidRPr="004005A4">
              <w:rPr>
                <w:rFonts w:cs="Calibri Light"/>
                <w:sz w:val="20"/>
                <w:szCs w:val="20"/>
              </w:rPr>
              <w:tab/>
              <w:t>60 days for large accelerated filers</w:t>
            </w:r>
          </w:p>
          <w:p w14:paraId="22A899FC" w14:textId="77777777" w:rsidR="003E0489" w:rsidRPr="004005A4" w:rsidRDefault="003E0489" w:rsidP="003E0489">
            <w:pPr>
              <w:pStyle w:val="level4"/>
              <w:tabs>
                <w:tab w:val="clear" w:pos="576"/>
                <w:tab w:val="clear" w:pos="1152"/>
                <w:tab w:val="clear" w:pos="1728"/>
              </w:tabs>
              <w:spacing w:after="120" w:line="240" w:lineRule="atLeast"/>
              <w:ind w:left="772" w:hanging="270"/>
              <w:rPr>
                <w:rFonts w:cs="Calibri Light"/>
                <w:sz w:val="20"/>
                <w:szCs w:val="20"/>
              </w:rPr>
            </w:pPr>
            <w:r w:rsidRPr="004005A4">
              <w:rPr>
                <w:rFonts w:cs="Calibri Light"/>
                <w:sz w:val="20"/>
                <w:szCs w:val="20"/>
              </w:rPr>
              <w:t>(b)</w:t>
            </w:r>
            <w:r w:rsidRPr="004005A4">
              <w:rPr>
                <w:rFonts w:cs="Calibri Light"/>
                <w:sz w:val="20"/>
                <w:szCs w:val="20"/>
              </w:rPr>
              <w:tab/>
              <w:t>75 days for accelerated filers</w:t>
            </w:r>
          </w:p>
          <w:p w14:paraId="3928182A" w14:textId="77777777" w:rsidR="003E0489" w:rsidRPr="004005A4" w:rsidRDefault="003E0489" w:rsidP="003E0489">
            <w:pPr>
              <w:pStyle w:val="level4"/>
              <w:tabs>
                <w:tab w:val="clear" w:pos="576"/>
                <w:tab w:val="clear" w:pos="1152"/>
                <w:tab w:val="clear" w:pos="1728"/>
              </w:tabs>
              <w:spacing w:after="120" w:line="240" w:lineRule="atLeast"/>
              <w:ind w:left="772" w:hanging="270"/>
              <w:rPr>
                <w:rFonts w:cs="Calibri Light"/>
                <w:sz w:val="20"/>
                <w:szCs w:val="20"/>
              </w:rPr>
            </w:pPr>
            <w:r w:rsidRPr="004005A4">
              <w:rPr>
                <w:rFonts w:cs="Calibri Light"/>
                <w:sz w:val="20"/>
                <w:szCs w:val="20"/>
              </w:rPr>
              <w:t>(c)</w:t>
            </w:r>
            <w:r w:rsidRPr="004005A4">
              <w:rPr>
                <w:rFonts w:cs="Calibri Light"/>
                <w:sz w:val="20"/>
                <w:szCs w:val="20"/>
              </w:rPr>
              <w:tab/>
              <w:t xml:space="preserve">90 days for all other registrants. </w:t>
            </w:r>
          </w:p>
          <w:p w14:paraId="5233D5E7" w14:textId="77777777" w:rsidR="003E0489" w:rsidRPr="004005A4" w:rsidRDefault="003E0489" w:rsidP="003E0489">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(4)</w:t>
            </w:r>
            <w:r w:rsidRPr="004005A4">
              <w:rPr>
                <w:rFonts w:cs="Calibri Light"/>
                <w:sz w:val="20"/>
                <w:szCs w:val="20"/>
              </w:rPr>
              <w:tab/>
              <w:t xml:space="preserve">The term subsidiary’s number of filing days means: </w:t>
            </w:r>
          </w:p>
          <w:p w14:paraId="29A1E62C" w14:textId="77777777" w:rsidR="003E0489" w:rsidRPr="004005A4" w:rsidRDefault="003E0489" w:rsidP="003E0489">
            <w:pPr>
              <w:pStyle w:val="level4"/>
              <w:tabs>
                <w:tab w:val="clear" w:pos="576"/>
                <w:tab w:val="clear" w:pos="1152"/>
                <w:tab w:val="clear" w:pos="1728"/>
              </w:tabs>
              <w:spacing w:after="120" w:line="240" w:lineRule="atLeast"/>
              <w:ind w:left="772" w:hanging="270"/>
              <w:rPr>
                <w:rFonts w:cs="Calibri Light"/>
                <w:sz w:val="20"/>
                <w:szCs w:val="20"/>
              </w:rPr>
            </w:pPr>
            <w:r w:rsidRPr="004005A4">
              <w:rPr>
                <w:rFonts w:cs="Calibri Light"/>
                <w:sz w:val="20"/>
                <w:szCs w:val="20"/>
              </w:rPr>
              <w:t>(a)</w:t>
            </w:r>
            <w:r w:rsidRPr="004005A4">
              <w:rPr>
                <w:rFonts w:cs="Calibri Light"/>
                <w:sz w:val="20"/>
                <w:szCs w:val="20"/>
              </w:rPr>
              <w:tab/>
              <w:t>60 days if the 50%-or-less owned person is a large accelerated filer</w:t>
            </w:r>
          </w:p>
          <w:p w14:paraId="4307E500" w14:textId="77777777" w:rsidR="003E0489" w:rsidRPr="004005A4" w:rsidRDefault="003E0489" w:rsidP="003E0489">
            <w:pPr>
              <w:pStyle w:val="level4"/>
              <w:tabs>
                <w:tab w:val="clear" w:pos="576"/>
                <w:tab w:val="clear" w:pos="1152"/>
                <w:tab w:val="clear" w:pos="1728"/>
              </w:tabs>
              <w:spacing w:after="120" w:line="240" w:lineRule="atLeast"/>
              <w:ind w:left="772" w:hanging="270"/>
              <w:rPr>
                <w:rFonts w:cs="Calibri Light"/>
                <w:sz w:val="20"/>
                <w:szCs w:val="20"/>
              </w:rPr>
            </w:pPr>
            <w:r w:rsidRPr="004005A4">
              <w:rPr>
                <w:rFonts w:cs="Calibri Light"/>
                <w:sz w:val="20"/>
                <w:szCs w:val="20"/>
              </w:rPr>
              <w:t>(b)</w:t>
            </w:r>
            <w:r w:rsidRPr="004005A4">
              <w:rPr>
                <w:rFonts w:cs="Calibri Light"/>
                <w:sz w:val="20"/>
                <w:szCs w:val="20"/>
              </w:rPr>
              <w:tab/>
              <w:t xml:space="preserve">75 days if the 50%-or-less owned person is an accelerated filer </w:t>
            </w:r>
          </w:p>
          <w:p w14:paraId="20E901A0" w14:textId="77777777" w:rsidR="003E0489" w:rsidRPr="004005A4" w:rsidRDefault="003E0489" w:rsidP="003E0489">
            <w:pPr>
              <w:pStyle w:val="level4"/>
              <w:tabs>
                <w:tab w:val="clear" w:pos="576"/>
                <w:tab w:val="clear" w:pos="1152"/>
                <w:tab w:val="clear" w:pos="1728"/>
              </w:tabs>
              <w:spacing w:after="120" w:line="240" w:lineRule="atLeast"/>
              <w:ind w:left="772" w:hanging="270"/>
              <w:rPr>
                <w:rFonts w:cs="Calibri Light"/>
                <w:sz w:val="20"/>
                <w:szCs w:val="20"/>
              </w:rPr>
            </w:pPr>
            <w:r w:rsidRPr="004005A4">
              <w:rPr>
                <w:rFonts w:cs="Calibri Light"/>
                <w:sz w:val="20"/>
                <w:szCs w:val="20"/>
              </w:rPr>
              <w:t>(c)</w:t>
            </w:r>
            <w:r w:rsidRPr="004005A4">
              <w:rPr>
                <w:rFonts w:cs="Calibri Light"/>
                <w:sz w:val="20"/>
                <w:szCs w:val="20"/>
              </w:rPr>
              <w:tab/>
              <w:t xml:space="preserve">90 days for all other 50%-or-less owned persons. </w:t>
            </w:r>
            <w:r w:rsidRPr="004005A4" w:rsidDel="008D59F7">
              <w:rPr>
                <w:rFonts w:cs="Calibri Light"/>
                <w:sz w:val="20"/>
                <w:szCs w:val="20"/>
              </w:rPr>
              <w:t xml:space="preserve"> </w:t>
            </w:r>
          </w:p>
        </w:tc>
        <w:tc>
          <w:tcPr>
            <w:tcW w:w="1209" w:type="dxa"/>
            <w:gridSpan w:val="2"/>
            <w:vAlign w:val="bottom"/>
          </w:tcPr>
          <w:p w14:paraId="25F01BB0"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0762EA22"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vAlign w:val="bottom"/>
          </w:tcPr>
          <w:p w14:paraId="78BCE0DB"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7A72875B" w14:textId="77777777" w:rsidTr="00CC36C1">
        <w:trPr>
          <w:gridBefore w:val="1"/>
          <w:wBefore w:w="17" w:type="dxa"/>
        </w:trPr>
        <w:tc>
          <w:tcPr>
            <w:tcW w:w="7483" w:type="dxa"/>
            <w:gridSpan w:val="2"/>
          </w:tcPr>
          <w:p w14:paraId="2510BC8F" w14:textId="10B3BACE" w:rsidR="003E0489" w:rsidRPr="004005A4" w:rsidRDefault="003E0489" w:rsidP="003E0489">
            <w:pPr>
              <w:pStyle w:val="level1"/>
              <w:numPr>
                <w:ilvl w:val="0"/>
                <w:numId w:val="97"/>
              </w:numPr>
              <w:tabs>
                <w:tab w:val="clear" w:pos="576"/>
              </w:tabs>
              <w:spacing w:after="120" w:line="240" w:lineRule="atLeast"/>
              <w:ind w:left="230" w:hanging="230"/>
              <w:rPr>
                <w:rFonts w:cs="Calibri Light"/>
                <w:sz w:val="20"/>
                <w:szCs w:val="20"/>
              </w:rPr>
            </w:pPr>
            <w:r w:rsidRPr="004005A4">
              <w:rPr>
                <w:rFonts w:cs="Calibri Light"/>
                <w:sz w:val="20"/>
                <w:szCs w:val="20"/>
              </w:rPr>
              <w:t xml:space="preserve">Notwithstanding the requirements for separate statements in paragraph (a) above, if financial statements of two or more subsidiaries are required, combined or consolidated statements of such subsidiaries may be filed subject to principles of inclusion and exclusion that clearly exhibit the financial position, cash flows, and results of operations of the combined or consolidated group.  Also, if financial statements of two or more investees are required, combined or consolidated statements of such investees may be filed subject to the same principles of inclusion or exclusion referred to above.  </w:t>
            </w:r>
          </w:p>
        </w:tc>
        <w:tc>
          <w:tcPr>
            <w:tcW w:w="1209" w:type="dxa"/>
            <w:gridSpan w:val="2"/>
            <w:tcBorders>
              <w:top w:val="single" w:sz="4" w:space="0" w:color="auto"/>
            </w:tcBorders>
            <w:vAlign w:val="bottom"/>
          </w:tcPr>
          <w:p w14:paraId="0E1E743F"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415E6001"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C95D0A7"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036B9C07" w14:textId="77777777" w:rsidTr="00CC36C1">
        <w:trPr>
          <w:gridBefore w:val="1"/>
          <w:wBefore w:w="17" w:type="dxa"/>
        </w:trPr>
        <w:tc>
          <w:tcPr>
            <w:tcW w:w="7483" w:type="dxa"/>
            <w:gridSpan w:val="2"/>
          </w:tcPr>
          <w:p w14:paraId="16BFB575" w14:textId="29FA04BD" w:rsidR="003E0489" w:rsidRPr="004005A4" w:rsidRDefault="003E0489" w:rsidP="003E0489">
            <w:pPr>
              <w:pStyle w:val="level1"/>
              <w:numPr>
                <w:ilvl w:val="0"/>
                <w:numId w:val="97"/>
              </w:numPr>
              <w:tabs>
                <w:tab w:val="clear" w:pos="576"/>
              </w:tabs>
              <w:spacing w:after="120" w:line="240" w:lineRule="atLeast"/>
              <w:ind w:left="230" w:hanging="230"/>
              <w:rPr>
                <w:rFonts w:cs="Calibri Light"/>
                <w:sz w:val="20"/>
                <w:szCs w:val="20"/>
              </w:rPr>
            </w:pPr>
            <w:r w:rsidRPr="004005A4">
              <w:rPr>
                <w:rFonts w:cs="Calibri Light"/>
                <w:sz w:val="20"/>
                <w:szCs w:val="20"/>
              </w:rPr>
              <w:t xml:space="preserve">If the </w:t>
            </w:r>
            <w:r w:rsidR="00CF2B4F">
              <w:rPr>
                <w:rFonts w:cs="Calibri Light"/>
                <w:sz w:val="20"/>
                <w:szCs w:val="20"/>
              </w:rPr>
              <w:t>50 percent or less owned person</w:t>
            </w:r>
            <w:r w:rsidR="00C50453">
              <w:rPr>
                <w:rFonts w:cs="Calibri Light"/>
                <w:sz w:val="20"/>
                <w:szCs w:val="20"/>
              </w:rPr>
              <w:t xml:space="preserve"> </w:t>
            </w:r>
            <w:r w:rsidRPr="004005A4">
              <w:rPr>
                <w:rFonts w:cs="Calibri Light"/>
                <w:sz w:val="20"/>
                <w:szCs w:val="20"/>
              </w:rPr>
              <w:t>is a foreign business, financial statements of the business that meet the requirements of Item 17 of Form 20-F will satisfy this section.</w:t>
            </w:r>
          </w:p>
        </w:tc>
        <w:tc>
          <w:tcPr>
            <w:tcW w:w="1209" w:type="dxa"/>
            <w:gridSpan w:val="2"/>
            <w:tcBorders>
              <w:top w:val="single" w:sz="4" w:space="0" w:color="auto"/>
              <w:bottom w:val="single" w:sz="4" w:space="0" w:color="auto"/>
            </w:tcBorders>
            <w:vAlign w:val="bottom"/>
          </w:tcPr>
          <w:p w14:paraId="53A105AC"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63636BDA"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82D7843"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773C6777" w14:textId="77777777" w:rsidTr="00CC36C1">
        <w:trPr>
          <w:gridBefore w:val="1"/>
          <w:wBefore w:w="17" w:type="dxa"/>
        </w:trPr>
        <w:tc>
          <w:tcPr>
            <w:tcW w:w="7483" w:type="dxa"/>
            <w:gridSpan w:val="2"/>
          </w:tcPr>
          <w:p w14:paraId="45D6F446" w14:textId="1A50166C" w:rsidR="003E0489" w:rsidRPr="004005A4" w:rsidRDefault="003E0489" w:rsidP="003E0489">
            <w:pPr>
              <w:pStyle w:val="standard"/>
              <w:spacing w:before="120" w:after="120" w:line="240" w:lineRule="atLeast"/>
              <w:rPr>
                <w:shd w:val="clear" w:color="auto" w:fill="FFFFFF"/>
              </w:rPr>
            </w:pPr>
            <w:r w:rsidRPr="004005A4">
              <w:rPr>
                <w:rFonts w:cs="Calibri Light"/>
                <w:b/>
                <w:sz w:val="20"/>
                <w:szCs w:val="20"/>
              </w:rPr>
              <w:t>Rule 3-10 — Financial statements of guarantors and issuers of guaranteed securities registered or being registered.</w:t>
            </w:r>
          </w:p>
        </w:tc>
        <w:tc>
          <w:tcPr>
            <w:tcW w:w="1209" w:type="dxa"/>
            <w:gridSpan w:val="2"/>
            <w:tcBorders>
              <w:top w:val="single" w:sz="4" w:space="0" w:color="auto"/>
            </w:tcBorders>
            <w:vAlign w:val="bottom"/>
          </w:tcPr>
          <w:p w14:paraId="6265F3B3"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7C4304CC"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321C0018"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013A460F" w14:textId="77777777" w:rsidTr="00CC36C1">
        <w:trPr>
          <w:gridBefore w:val="1"/>
          <w:wBefore w:w="17" w:type="dxa"/>
        </w:trPr>
        <w:tc>
          <w:tcPr>
            <w:tcW w:w="7483" w:type="dxa"/>
            <w:gridSpan w:val="2"/>
          </w:tcPr>
          <w:p w14:paraId="69448F8E" w14:textId="77947DE1" w:rsidR="003E0489" w:rsidRPr="001127E3" w:rsidRDefault="003E0489" w:rsidP="003E0489">
            <w:pPr>
              <w:pStyle w:val="Default"/>
              <w:spacing w:before="120" w:after="120" w:line="240" w:lineRule="atLeast"/>
              <w:ind w:left="234" w:hanging="234"/>
              <w:rPr>
                <w:rFonts w:ascii="Calibri Light" w:hAnsi="Calibri Light" w:cs="Calibri Light"/>
                <w:sz w:val="20"/>
                <w:szCs w:val="20"/>
              </w:rPr>
            </w:pPr>
            <w:r>
              <w:rPr>
                <w:rFonts w:ascii="Calibri Light" w:hAnsi="Calibri Light" w:cs="Calibri Light"/>
                <w:sz w:val="20"/>
                <w:szCs w:val="20"/>
              </w:rPr>
              <w:t>a.</w:t>
            </w:r>
            <w:r>
              <w:rPr>
                <w:rFonts w:ascii="Calibri Light" w:hAnsi="Calibri Light" w:cs="Calibri Light"/>
                <w:sz w:val="20"/>
                <w:szCs w:val="20"/>
              </w:rPr>
              <w:tab/>
            </w:r>
            <w:r w:rsidRPr="001127E3">
              <w:rPr>
                <w:rFonts w:ascii="Calibri Light" w:hAnsi="Calibri Light" w:cs="Calibri Light"/>
                <w:sz w:val="20"/>
                <w:szCs w:val="20"/>
              </w:rPr>
              <w:t xml:space="preserve">If an issuer or guarantor of a guaranteed security that is registered or being registered is required to file financial statements required by Regulation S-X with respect to the guarantee or guaranteed security, such financial statements may be omitted if the issuer or guarantor is a consolidated subsidiary of the parent company, the parent company’s consolidated financial statements have been filed, and the </w:t>
            </w:r>
            <w:r w:rsidR="007E74C5">
              <w:rPr>
                <w:rFonts w:ascii="Calibri Light" w:hAnsi="Calibri Light" w:cs="Calibri Light"/>
                <w:sz w:val="20"/>
                <w:szCs w:val="20"/>
              </w:rPr>
              <w:t xml:space="preserve">following </w:t>
            </w:r>
            <w:r w:rsidRPr="001127E3">
              <w:rPr>
                <w:rFonts w:ascii="Calibri Light" w:hAnsi="Calibri Light" w:cs="Calibri Light"/>
                <w:sz w:val="20"/>
                <w:szCs w:val="20"/>
              </w:rPr>
              <w:t xml:space="preserve">conditions have been met: </w:t>
            </w:r>
          </w:p>
          <w:p w14:paraId="68F31B9F" w14:textId="39529650" w:rsidR="003E0489" w:rsidRPr="0047433F" w:rsidRDefault="003E0489" w:rsidP="00A9278C">
            <w:pPr>
              <w:pStyle w:val="Default"/>
              <w:spacing w:before="120" w:after="120" w:line="240" w:lineRule="atLeast"/>
              <w:ind w:left="594" w:hanging="360"/>
              <w:rPr>
                <w:rFonts w:cs="Calibri Light"/>
                <w:bCs/>
                <w:sz w:val="20"/>
                <w:szCs w:val="20"/>
              </w:rPr>
            </w:pPr>
            <w:r w:rsidRPr="001127E3">
              <w:rPr>
                <w:rFonts w:ascii="Calibri Light" w:hAnsi="Calibri Light" w:cs="Calibri Light"/>
                <w:sz w:val="20"/>
                <w:szCs w:val="20"/>
              </w:rPr>
              <w:t xml:space="preserve">(1) </w:t>
            </w:r>
            <w:r w:rsidRPr="001127E3">
              <w:rPr>
                <w:rFonts w:ascii="Calibri Light" w:hAnsi="Calibri Light" w:cs="Calibri Light"/>
                <w:sz w:val="20"/>
                <w:szCs w:val="20"/>
              </w:rPr>
              <w:tab/>
              <w:t xml:space="preserve">The guaranteed security is debt or debt-like; and </w:t>
            </w:r>
          </w:p>
        </w:tc>
        <w:tc>
          <w:tcPr>
            <w:tcW w:w="1209" w:type="dxa"/>
            <w:gridSpan w:val="2"/>
            <w:vAlign w:val="bottom"/>
          </w:tcPr>
          <w:p w14:paraId="51779E65" w14:textId="77777777" w:rsidR="003E0489" w:rsidRPr="0047433F" w:rsidRDefault="003E0489" w:rsidP="003E0489">
            <w:pPr>
              <w:spacing w:before="120" w:after="120" w:line="240" w:lineRule="atLeast"/>
              <w:jc w:val="center"/>
              <w:rPr>
                <w:rFonts w:cs="Calibri Light"/>
                <w:bCs/>
                <w:sz w:val="20"/>
                <w:szCs w:val="20"/>
              </w:rPr>
            </w:pPr>
          </w:p>
        </w:tc>
        <w:tc>
          <w:tcPr>
            <w:tcW w:w="236" w:type="dxa"/>
            <w:gridSpan w:val="3"/>
            <w:vAlign w:val="bottom"/>
          </w:tcPr>
          <w:p w14:paraId="7504574A" w14:textId="77777777" w:rsidR="003E0489" w:rsidRPr="0047433F" w:rsidRDefault="003E0489" w:rsidP="003E0489">
            <w:pPr>
              <w:spacing w:before="120" w:after="120" w:line="240" w:lineRule="atLeast"/>
              <w:jc w:val="center"/>
              <w:rPr>
                <w:rFonts w:cs="Calibri Light"/>
                <w:bCs/>
                <w:sz w:val="20"/>
                <w:szCs w:val="20"/>
              </w:rPr>
            </w:pPr>
          </w:p>
        </w:tc>
        <w:tc>
          <w:tcPr>
            <w:tcW w:w="1181" w:type="dxa"/>
            <w:gridSpan w:val="2"/>
            <w:vAlign w:val="bottom"/>
          </w:tcPr>
          <w:p w14:paraId="4295A07A" w14:textId="77777777" w:rsidR="003E0489" w:rsidRPr="0047433F" w:rsidRDefault="003E0489" w:rsidP="003E0489">
            <w:pPr>
              <w:spacing w:before="120" w:after="120" w:line="240" w:lineRule="atLeast"/>
              <w:jc w:val="center"/>
              <w:rPr>
                <w:rFonts w:cs="Calibri Light"/>
                <w:bCs/>
                <w:sz w:val="20"/>
                <w:szCs w:val="20"/>
              </w:rPr>
            </w:pPr>
          </w:p>
        </w:tc>
      </w:tr>
      <w:tr w:rsidR="00A9278C" w:rsidRPr="004005A4" w14:paraId="3E0BC910" w14:textId="77777777" w:rsidTr="00CC36C1">
        <w:trPr>
          <w:gridBefore w:val="1"/>
          <w:wBefore w:w="17" w:type="dxa"/>
        </w:trPr>
        <w:tc>
          <w:tcPr>
            <w:tcW w:w="7483" w:type="dxa"/>
            <w:gridSpan w:val="2"/>
          </w:tcPr>
          <w:p w14:paraId="4C8003EB" w14:textId="7DF68EC7" w:rsidR="00A9278C" w:rsidRPr="001127E3" w:rsidRDefault="00A9278C" w:rsidP="003E0489">
            <w:pPr>
              <w:pStyle w:val="Default"/>
              <w:spacing w:before="120" w:after="120" w:line="240" w:lineRule="atLeast"/>
              <w:ind w:left="954" w:hanging="360"/>
              <w:rPr>
                <w:rFonts w:ascii="Calibri Light" w:hAnsi="Calibri Light" w:cs="Calibri Light"/>
                <w:sz w:val="20"/>
                <w:szCs w:val="20"/>
              </w:rPr>
            </w:pPr>
            <w:r w:rsidRPr="001127E3">
              <w:rPr>
                <w:rFonts w:ascii="Calibri Light" w:hAnsi="Calibri Light" w:cs="Calibri Light"/>
                <w:sz w:val="20"/>
                <w:szCs w:val="20"/>
              </w:rPr>
              <w:t xml:space="preserve">(i) </w:t>
            </w:r>
            <w:r w:rsidRPr="001127E3">
              <w:rPr>
                <w:rFonts w:ascii="Calibri Light" w:hAnsi="Calibri Light" w:cs="Calibri Light"/>
                <w:sz w:val="20"/>
                <w:szCs w:val="20"/>
              </w:rPr>
              <w:tab/>
              <w:t>The parent company issues the security or co-issues the security, jointly and severally, with one or more of its consolidated subsidiaries; or</w:t>
            </w:r>
          </w:p>
        </w:tc>
        <w:tc>
          <w:tcPr>
            <w:tcW w:w="1209" w:type="dxa"/>
            <w:gridSpan w:val="2"/>
            <w:tcBorders>
              <w:top w:val="single" w:sz="6" w:space="0" w:color="auto"/>
            </w:tcBorders>
            <w:vAlign w:val="bottom"/>
          </w:tcPr>
          <w:p w14:paraId="662329C8" w14:textId="77777777" w:rsidR="00A9278C" w:rsidRPr="0047433F" w:rsidRDefault="00A9278C" w:rsidP="003E0489">
            <w:pPr>
              <w:spacing w:before="120" w:after="120" w:line="240" w:lineRule="atLeast"/>
              <w:jc w:val="center"/>
              <w:rPr>
                <w:rFonts w:cs="Calibri Light"/>
                <w:bCs/>
                <w:sz w:val="20"/>
                <w:szCs w:val="20"/>
              </w:rPr>
            </w:pPr>
          </w:p>
        </w:tc>
        <w:tc>
          <w:tcPr>
            <w:tcW w:w="236" w:type="dxa"/>
            <w:gridSpan w:val="3"/>
            <w:vAlign w:val="bottom"/>
          </w:tcPr>
          <w:p w14:paraId="6E06CE92" w14:textId="77777777" w:rsidR="00A9278C" w:rsidRPr="0047433F" w:rsidRDefault="00A9278C" w:rsidP="003E0489">
            <w:pPr>
              <w:spacing w:before="120" w:after="120" w:line="240" w:lineRule="atLeast"/>
              <w:jc w:val="center"/>
              <w:rPr>
                <w:rFonts w:cs="Calibri Light"/>
                <w:bCs/>
                <w:sz w:val="20"/>
                <w:szCs w:val="20"/>
              </w:rPr>
            </w:pPr>
          </w:p>
        </w:tc>
        <w:tc>
          <w:tcPr>
            <w:tcW w:w="1181" w:type="dxa"/>
            <w:gridSpan w:val="2"/>
            <w:tcBorders>
              <w:top w:val="single" w:sz="6" w:space="0" w:color="auto"/>
            </w:tcBorders>
            <w:vAlign w:val="bottom"/>
          </w:tcPr>
          <w:p w14:paraId="162FACFB" w14:textId="77777777" w:rsidR="00A9278C" w:rsidRPr="0047433F" w:rsidRDefault="00A9278C" w:rsidP="003E0489">
            <w:pPr>
              <w:spacing w:before="120" w:after="120" w:line="240" w:lineRule="atLeast"/>
              <w:jc w:val="center"/>
              <w:rPr>
                <w:rFonts w:cs="Calibri Light"/>
                <w:bCs/>
                <w:sz w:val="20"/>
                <w:szCs w:val="20"/>
              </w:rPr>
            </w:pPr>
          </w:p>
        </w:tc>
      </w:tr>
      <w:tr w:rsidR="003E0489" w:rsidRPr="004005A4" w14:paraId="518E1C31" w14:textId="77777777" w:rsidTr="00CC36C1">
        <w:trPr>
          <w:gridBefore w:val="1"/>
          <w:wBefore w:w="17" w:type="dxa"/>
        </w:trPr>
        <w:tc>
          <w:tcPr>
            <w:tcW w:w="7483" w:type="dxa"/>
            <w:gridSpan w:val="2"/>
          </w:tcPr>
          <w:p w14:paraId="7DBBF686" w14:textId="6766DC15" w:rsidR="003E0489" w:rsidRPr="0047433F" w:rsidRDefault="003E0489" w:rsidP="003E0489">
            <w:pPr>
              <w:pStyle w:val="Default"/>
              <w:spacing w:before="120" w:after="120" w:line="240" w:lineRule="atLeast"/>
              <w:ind w:left="954" w:hanging="360"/>
              <w:rPr>
                <w:rFonts w:cs="Calibri Light"/>
                <w:bCs/>
                <w:sz w:val="20"/>
                <w:szCs w:val="20"/>
              </w:rPr>
            </w:pPr>
            <w:r w:rsidRPr="001127E3">
              <w:rPr>
                <w:rFonts w:ascii="Calibri Light" w:hAnsi="Calibri Light" w:cs="Calibri Light"/>
                <w:sz w:val="20"/>
                <w:szCs w:val="20"/>
              </w:rPr>
              <w:lastRenderedPageBreak/>
              <w:t xml:space="preserve">(ii) </w:t>
            </w:r>
            <w:r w:rsidRPr="001127E3">
              <w:rPr>
                <w:rFonts w:ascii="Calibri Light" w:hAnsi="Calibri Light" w:cs="Calibri Light"/>
                <w:sz w:val="20"/>
                <w:szCs w:val="20"/>
              </w:rPr>
              <w:tab/>
              <w:t xml:space="preserve">A consolidated subsidiary issues the security or co-issues the security with one or more other consolidated subsidiaries of the parent company, and the security is guaranteed fully and unconditionally by the parent company; </w:t>
            </w:r>
            <w:r w:rsidR="000D6387">
              <w:rPr>
                <w:rFonts w:ascii="Calibri Light" w:hAnsi="Calibri Light" w:cs="Calibri Light"/>
                <w:sz w:val="20"/>
                <w:szCs w:val="20"/>
              </w:rPr>
              <w:t>and</w:t>
            </w:r>
          </w:p>
        </w:tc>
        <w:tc>
          <w:tcPr>
            <w:tcW w:w="1209" w:type="dxa"/>
            <w:gridSpan w:val="2"/>
            <w:tcBorders>
              <w:top w:val="single" w:sz="6" w:space="0" w:color="auto"/>
            </w:tcBorders>
            <w:vAlign w:val="bottom"/>
          </w:tcPr>
          <w:p w14:paraId="2EED7834" w14:textId="77777777" w:rsidR="003E0489" w:rsidRPr="0047433F" w:rsidRDefault="003E0489" w:rsidP="003E0489">
            <w:pPr>
              <w:spacing w:before="120" w:after="120" w:line="240" w:lineRule="atLeast"/>
              <w:jc w:val="center"/>
              <w:rPr>
                <w:rFonts w:cs="Calibri Light"/>
                <w:bCs/>
                <w:sz w:val="20"/>
                <w:szCs w:val="20"/>
              </w:rPr>
            </w:pPr>
          </w:p>
        </w:tc>
        <w:tc>
          <w:tcPr>
            <w:tcW w:w="236" w:type="dxa"/>
            <w:gridSpan w:val="3"/>
            <w:vAlign w:val="bottom"/>
          </w:tcPr>
          <w:p w14:paraId="672930BD" w14:textId="77777777" w:rsidR="003E0489" w:rsidRPr="0047433F" w:rsidRDefault="003E0489" w:rsidP="003E0489">
            <w:pPr>
              <w:spacing w:before="120" w:after="120" w:line="240" w:lineRule="atLeast"/>
              <w:jc w:val="center"/>
              <w:rPr>
                <w:rFonts w:cs="Calibri Light"/>
                <w:bCs/>
                <w:sz w:val="20"/>
                <w:szCs w:val="20"/>
              </w:rPr>
            </w:pPr>
          </w:p>
        </w:tc>
        <w:tc>
          <w:tcPr>
            <w:tcW w:w="1181" w:type="dxa"/>
            <w:gridSpan w:val="2"/>
            <w:tcBorders>
              <w:top w:val="single" w:sz="6" w:space="0" w:color="auto"/>
            </w:tcBorders>
            <w:vAlign w:val="bottom"/>
          </w:tcPr>
          <w:p w14:paraId="323FB84C" w14:textId="77777777" w:rsidR="003E0489" w:rsidRPr="0047433F" w:rsidRDefault="003E0489" w:rsidP="003E0489">
            <w:pPr>
              <w:spacing w:before="120" w:after="120" w:line="240" w:lineRule="atLeast"/>
              <w:jc w:val="center"/>
              <w:rPr>
                <w:rFonts w:cs="Calibri Light"/>
                <w:bCs/>
                <w:sz w:val="20"/>
                <w:szCs w:val="20"/>
              </w:rPr>
            </w:pPr>
          </w:p>
        </w:tc>
      </w:tr>
      <w:tr w:rsidR="003E0489" w:rsidRPr="004005A4" w14:paraId="03F862A9" w14:textId="77777777" w:rsidTr="00CC36C1">
        <w:trPr>
          <w:gridBefore w:val="1"/>
          <w:wBefore w:w="17" w:type="dxa"/>
        </w:trPr>
        <w:tc>
          <w:tcPr>
            <w:tcW w:w="7483" w:type="dxa"/>
            <w:gridSpan w:val="2"/>
          </w:tcPr>
          <w:p w14:paraId="70C3CA0C" w14:textId="5CBE06EF" w:rsidR="003E0489" w:rsidRPr="0047433F" w:rsidRDefault="003E0489" w:rsidP="003E0489">
            <w:pPr>
              <w:pStyle w:val="Default"/>
              <w:tabs>
                <w:tab w:val="left" w:pos="684"/>
              </w:tabs>
              <w:spacing w:before="120" w:after="120" w:line="240" w:lineRule="atLeast"/>
              <w:ind w:firstLine="324"/>
              <w:rPr>
                <w:rFonts w:cs="Calibri Light"/>
                <w:bCs/>
                <w:sz w:val="20"/>
                <w:szCs w:val="20"/>
              </w:rPr>
            </w:pPr>
            <w:r w:rsidRPr="001127E3">
              <w:rPr>
                <w:rFonts w:ascii="Calibri Light" w:hAnsi="Calibri Light" w:cs="Calibri Light"/>
                <w:sz w:val="20"/>
                <w:szCs w:val="20"/>
              </w:rPr>
              <w:t>(</w:t>
            </w:r>
            <w:r>
              <w:rPr>
                <w:rFonts w:ascii="Calibri Light" w:hAnsi="Calibri Light" w:cs="Calibri Light"/>
                <w:sz w:val="20"/>
                <w:szCs w:val="20"/>
              </w:rPr>
              <w:t>2</w:t>
            </w:r>
            <w:r w:rsidRPr="001127E3">
              <w:rPr>
                <w:rFonts w:ascii="Calibri Light" w:hAnsi="Calibri Light" w:cs="Calibri Light"/>
                <w:sz w:val="20"/>
                <w:szCs w:val="20"/>
              </w:rPr>
              <w:t xml:space="preserve">) </w:t>
            </w:r>
            <w:r w:rsidRPr="001127E3">
              <w:rPr>
                <w:rFonts w:ascii="Calibri Light" w:hAnsi="Calibri Light" w:cs="Calibri Light"/>
                <w:sz w:val="20"/>
                <w:szCs w:val="20"/>
              </w:rPr>
              <w:tab/>
              <w:t>The parent company provides the disclosures specified in Rule 13-01.</w:t>
            </w:r>
          </w:p>
        </w:tc>
        <w:tc>
          <w:tcPr>
            <w:tcW w:w="1209" w:type="dxa"/>
            <w:gridSpan w:val="2"/>
            <w:tcBorders>
              <w:top w:val="single" w:sz="6" w:space="0" w:color="auto"/>
              <w:bottom w:val="single" w:sz="6" w:space="0" w:color="auto"/>
            </w:tcBorders>
            <w:vAlign w:val="bottom"/>
          </w:tcPr>
          <w:p w14:paraId="222B1E61" w14:textId="77777777" w:rsidR="003E0489" w:rsidRPr="0047433F" w:rsidRDefault="003E0489" w:rsidP="003E0489">
            <w:pPr>
              <w:spacing w:before="120" w:after="120" w:line="240" w:lineRule="atLeast"/>
              <w:jc w:val="center"/>
              <w:rPr>
                <w:rFonts w:cs="Calibri Light"/>
                <w:bCs/>
                <w:sz w:val="20"/>
                <w:szCs w:val="20"/>
              </w:rPr>
            </w:pPr>
          </w:p>
        </w:tc>
        <w:tc>
          <w:tcPr>
            <w:tcW w:w="236" w:type="dxa"/>
            <w:gridSpan w:val="3"/>
            <w:vAlign w:val="bottom"/>
          </w:tcPr>
          <w:p w14:paraId="6B3937FE" w14:textId="77777777" w:rsidR="003E0489" w:rsidRPr="0047433F" w:rsidRDefault="003E0489" w:rsidP="003E0489">
            <w:pPr>
              <w:spacing w:before="120" w:after="120" w:line="240" w:lineRule="atLeast"/>
              <w:jc w:val="center"/>
              <w:rPr>
                <w:rFonts w:cs="Calibri Light"/>
                <w:bCs/>
                <w:sz w:val="20"/>
                <w:szCs w:val="20"/>
              </w:rPr>
            </w:pPr>
          </w:p>
        </w:tc>
        <w:tc>
          <w:tcPr>
            <w:tcW w:w="1181" w:type="dxa"/>
            <w:gridSpan w:val="2"/>
            <w:tcBorders>
              <w:top w:val="single" w:sz="6" w:space="0" w:color="auto"/>
              <w:bottom w:val="single" w:sz="6" w:space="0" w:color="auto"/>
            </w:tcBorders>
            <w:vAlign w:val="bottom"/>
          </w:tcPr>
          <w:p w14:paraId="0D25F36D" w14:textId="77777777" w:rsidR="003E0489" w:rsidRPr="0047433F" w:rsidRDefault="003E0489" w:rsidP="003E0489">
            <w:pPr>
              <w:spacing w:before="120" w:after="120" w:line="240" w:lineRule="atLeast"/>
              <w:jc w:val="center"/>
              <w:rPr>
                <w:rFonts w:cs="Calibri Light"/>
                <w:bCs/>
                <w:sz w:val="20"/>
                <w:szCs w:val="20"/>
              </w:rPr>
            </w:pPr>
          </w:p>
        </w:tc>
      </w:tr>
      <w:tr w:rsidR="003E0489" w:rsidRPr="004005A4" w14:paraId="7FFC8C01" w14:textId="77777777" w:rsidTr="00CC36C1">
        <w:trPr>
          <w:gridBefore w:val="1"/>
          <w:wBefore w:w="17" w:type="dxa"/>
        </w:trPr>
        <w:tc>
          <w:tcPr>
            <w:tcW w:w="7483" w:type="dxa"/>
            <w:gridSpan w:val="2"/>
          </w:tcPr>
          <w:p w14:paraId="20C1507F" w14:textId="5FAB1D31" w:rsidR="003E0489" w:rsidRPr="001127E3" w:rsidRDefault="003E0489" w:rsidP="003E0489">
            <w:pPr>
              <w:pStyle w:val="Default"/>
              <w:spacing w:before="120" w:after="120" w:line="240" w:lineRule="atLeast"/>
              <w:ind w:left="360" w:hanging="360"/>
              <w:rPr>
                <w:rFonts w:ascii="Calibri Light" w:hAnsi="Calibri Light" w:cs="Calibri Light"/>
                <w:sz w:val="20"/>
                <w:szCs w:val="20"/>
              </w:rPr>
            </w:pPr>
            <w:r w:rsidRPr="001127E3">
              <w:rPr>
                <w:rFonts w:ascii="Calibri Light" w:hAnsi="Calibri Light" w:cs="Calibri Light"/>
                <w:sz w:val="20"/>
                <w:szCs w:val="20"/>
              </w:rPr>
              <w:t xml:space="preserve">b. </w:t>
            </w:r>
            <w:r w:rsidRPr="001127E3">
              <w:rPr>
                <w:rFonts w:ascii="Calibri Light" w:hAnsi="Calibri Light" w:cs="Calibri Light"/>
                <w:sz w:val="20"/>
                <w:szCs w:val="20"/>
              </w:rPr>
              <w:tab/>
              <w:t>For the purposes of a. and Rule 13-01:</w:t>
            </w:r>
          </w:p>
          <w:p w14:paraId="364D4549" w14:textId="758045E8" w:rsidR="003E0489" w:rsidRPr="0047433F" w:rsidRDefault="003E0489" w:rsidP="003E0489">
            <w:pPr>
              <w:pStyle w:val="Default"/>
              <w:spacing w:before="120" w:after="120" w:line="240" w:lineRule="atLeast"/>
              <w:ind w:left="720" w:hanging="360"/>
              <w:rPr>
                <w:rFonts w:cs="Calibri Light"/>
                <w:bCs/>
                <w:sz w:val="20"/>
                <w:szCs w:val="20"/>
              </w:rPr>
            </w:pPr>
            <w:r w:rsidRPr="001127E3">
              <w:rPr>
                <w:rFonts w:ascii="Calibri Light" w:hAnsi="Calibri Light" w:cs="Calibri Light"/>
                <w:sz w:val="20"/>
                <w:szCs w:val="20"/>
              </w:rPr>
              <w:t>(1)</w:t>
            </w:r>
            <w:r>
              <w:rPr>
                <w:rFonts w:ascii="Calibri Light" w:hAnsi="Calibri Light" w:cs="Calibri Light"/>
                <w:sz w:val="20"/>
                <w:szCs w:val="20"/>
              </w:rPr>
              <w:tab/>
            </w:r>
            <w:r w:rsidRPr="001127E3">
              <w:rPr>
                <w:rFonts w:ascii="Calibri Light" w:hAnsi="Calibri Light" w:cs="Calibri Light"/>
                <w:sz w:val="20"/>
                <w:szCs w:val="20"/>
              </w:rPr>
              <w:t>The “parent company” is the entity that:</w:t>
            </w:r>
          </w:p>
        </w:tc>
        <w:tc>
          <w:tcPr>
            <w:tcW w:w="1209" w:type="dxa"/>
            <w:gridSpan w:val="2"/>
            <w:tcBorders>
              <w:top w:val="single" w:sz="6" w:space="0" w:color="auto"/>
            </w:tcBorders>
            <w:vAlign w:val="bottom"/>
          </w:tcPr>
          <w:p w14:paraId="4D67C09C" w14:textId="77777777" w:rsidR="003E0489" w:rsidRPr="0047433F" w:rsidRDefault="003E0489" w:rsidP="003E0489">
            <w:pPr>
              <w:spacing w:before="120" w:after="120" w:line="240" w:lineRule="atLeast"/>
              <w:jc w:val="center"/>
              <w:rPr>
                <w:rFonts w:cs="Calibri Light"/>
                <w:bCs/>
                <w:sz w:val="20"/>
                <w:szCs w:val="20"/>
              </w:rPr>
            </w:pPr>
          </w:p>
        </w:tc>
        <w:tc>
          <w:tcPr>
            <w:tcW w:w="236" w:type="dxa"/>
            <w:gridSpan w:val="3"/>
            <w:vAlign w:val="bottom"/>
          </w:tcPr>
          <w:p w14:paraId="2054F844" w14:textId="77777777" w:rsidR="003E0489" w:rsidRPr="0047433F" w:rsidRDefault="003E0489" w:rsidP="003E0489">
            <w:pPr>
              <w:spacing w:before="120" w:after="120" w:line="240" w:lineRule="atLeast"/>
              <w:jc w:val="center"/>
              <w:rPr>
                <w:rFonts w:cs="Calibri Light"/>
                <w:bCs/>
                <w:sz w:val="20"/>
                <w:szCs w:val="20"/>
              </w:rPr>
            </w:pPr>
          </w:p>
        </w:tc>
        <w:tc>
          <w:tcPr>
            <w:tcW w:w="1181" w:type="dxa"/>
            <w:gridSpan w:val="2"/>
            <w:tcBorders>
              <w:top w:val="single" w:sz="6" w:space="0" w:color="auto"/>
            </w:tcBorders>
            <w:vAlign w:val="bottom"/>
          </w:tcPr>
          <w:p w14:paraId="76C50923" w14:textId="77777777" w:rsidR="003E0489" w:rsidRPr="0047433F" w:rsidRDefault="003E0489" w:rsidP="003E0489">
            <w:pPr>
              <w:spacing w:before="120" w:after="120" w:line="240" w:lineRule="atLeast"/>
              <w:jc w:val="center"/>
              <w:rPr>
                <w:rFonts w:cs="Calibri Light"/>
                <w:bCs/>
                <w:sz w:val="20"/>
                <w:szCs w:val="20"/>
              </w:rPr>
            </w:pPr>
          </w:p>
        </w:tc>
      </w:tr>
      <w:tr w:rsidR="003E0489" w:rsidRPr="004005A4" w14:paraId="0D3E1C7E" w14:textId="77777777" w:rsidTr="00CC36C1">
        <w:trPr>
          <w:gridBefore w:val="1"/>
          <w:wBefore w:w="17" w:type="dxa"/>
        </w:trPr>
        <w:tc>
          <w:tcPr>
            <w:tcW w:w="7483" w:type="dxa"/>
            <w:gridSpan w:val="2"/>
          </w:tcPr>
          <w:p w14:paraId="34CE0B08" w14:textId="3234A6D7" w:rsidR="003E0489" w:rsidRPr="0047433F" w:rsidRDefault="003E0489" w:rsidP="003E0489">
            <w:pPr>
              <w:pStyle w:val="Default"/>
              <w:spacing w:before="120" w:after="120" w:line="240" w:lineRule="atLeast"/>
              <w:ind w:left="1170" w:hanging="450"/>
              <w:rPr>
                <w:rFonts w:cs="Calibri Light"/>
                <w:bCs/>
                <w:sz w:val="20"/>
                <w:szCs w:val="20"/>
              </w:rPr>
            </w:pPr>
            <w:r w:rsidRPr="001127E3">
              <w:rPr>
                <w:rFonts w:ascii="Calibri Light" w:hAnsi="Calibri Light" w:cs="Calibri Light"/>
                <w:sz w:val="20"/>
                <w:szCs w:val="20"/>
              </w:rPr>
              <w:t xml:space="preserve">(i) </w:t>
            </w:r>
            <w:r w:rsidRPr="001127E3">
              <w:rPr>
                <w:rFonts w:ascii="Calibri Light" w:hAnsi="Calibri Light" w:cs="Calibri Light"/>
                <w:sz w:val="20"/>
                <w:szCs w:val="20"/>
              </w:rPr>
              <w:tab/>
              <w:t>Is an issuer or guarantor of the guaranteed security;</w:t>
            </w:r>
          </w:p>
        </w:tc>
        <w:tc>
          <w:tcPr>
            <w:tcW w:w="1209" w:type="dxa"/>
            <w:gridSpan w:val="2"/>
            <w:tcBorders>
              <w:bottom w:val="single" w:sz="6" w:space="0" w:color="auto"/>
            </w:tcBorders>
            <w:vAlign w:val="bottom"/>
          </w:tcPr>
          <w:p w14:paraId="5F8A0526" w14:textId="77777777" w:rsidR="003E0489" w:rsidRPr="0047433F" w:rsidRDefault="003E0489" w:rsidP="003E0489">
            <w:pPr>
              <w:spacing w:before="120" w:after="120" w:line="240" w:lineRule="atLeast"/>
              <w:jc w:val="center"/>
              <w:rPr>
                <w:rFonts w:cs="Calibri Light"/>
                <w:bCs/>
                <w:sz w:val="20"/>
                <w:szCs w:val="20"/>
              </w:rPr>
            </w:pPr>
          </w:p>
        </w:tc>
        <w:tc>
          <w:tcPr>
            <w:tcW w:w="236" w:type="dxa"/>
            <w:gridSpan w:val="3"/>
            <w:vAlign w:val="bottom"/>
          </w:tcPr>
          <w:p w14:paraId="4CF47B70" w14:textId="77777777" w:rsidR="003E0489" w:rsidRPr="0047433F" w:rsidRDefault="003E0489" w:rsidP="003E0489">
            <w:pPr>
              <w:spacing w:before="120" w:after="120" w:line="240" w:lineRule="atLeast"/>
              <w:jc w:val="center"/>
              <w:rPr>
                <w:rFonts w:cs="Calibri Light"/>
                <w:bCs/>
                <w:sz w:val="20"/>
                <w:szCs w:val="20"/>
              </w:rPr>
            </w:pPr>
          </w:p>
        </w:tc>
        <w:tc>
          <w:tcPr>
            <w:tcW w:w="1181" w:type="dxa"/>
            <w:gridSpan w:val="2"/>
            <w:tcBorders>
              <w:bottom w:val="single" w:sz="6" w:space="0" w:color="auto"/>
            </w:tcBorders>
            <w:vAlign w:val="bottom"/>
          </w:tcPr>
          <w:p w14:paraId="5A306276" w14:textId="77777777" w:rsidR="003E0489" w:rsidRPr="0047433F" w:rsidRDefault="003E0489" w:rsidP="003E0489">
            <w:pPr>
              <w:spacing w:before="120" w:after="120" w:line="240" w:lineRule="atLeast"/>
              <w:jc w:val="center"/>
              <w:rPr>
                <w:rFonts w:cs="Calibri Light"/>
                <w:bCs/>
                <w:sz w:val="20"/>
                <w:szCs w:val="20"/>
              </w:rPr>
            </w:pPr>
          </w:p>
        </w:tc>
      </w:tr>
      <w:tr w:rsidR="003E0489" w:rsidRPr="004005A4" w14:paraId="2B605886" w14:textId="77777777" w:rsidTr="00CC36C1">
        <w:trPr>
          <w:gridBefore w:val="1"/>
          <w:wBefore w:w="17" w:type="dxa"/>
        </w:trPr>
        <w:tc>
          <w:tcPr>
            <w:tcW w:w="7483" w:type="dxa"/>
            <w:gridSpan w:val="2"/>
          </w:tcPr>
          <w:p w14:paraId="2F8AD2BB" w14:textId="25041F9A" w:rsidR="003E0489" w:rsidRPr="0047433F" w:rsidRDefault="003E0489" w:rsidP="003E0489">
            <w:pPr>
              <w:pStyle w:val="Default"/>
              <w:spacing w:before="120" w:after="120" w:line="240" w:lineRule="atLeast"/>
              <w:ind w:left="1170" w:hanging="450"/>
              <w:rPr>
                <w:rFonts w:cs="Calibri Light"/>
                <w:bCs/>
                <w:sz w:val="20"/>
                <w:szCs w:val="20"/>
              </w:rPr>
            </w:pPr>
            <w:r w:rsidRPr="001127E3">
              <w:rPr>
                <w:rFonts w:ascii="Calibri Light" w:hAnsi="Calibri Light" w:cs="Calibri Light"/>
                <w:sz w:val="20"/>
                <w:szCs w:val="20"/>
              </w:rPr>
              <w:t xml:space="preserve">(ii) </w:t>
            </w:r>
            <w:r w:rsidRPr="001127E3">
              <w:rPr>
                <w:rFonts w:ascii="Calibri Light" w:hAnsi="Calibri Light" w:cs="Calibri Light"/>
                <w:sz w:val="20"/>
                <w:szCs w:val="20"/>
              </w:rPr>
              <w:tab/>
              <w:t xml:space="preserve">Is, or as a result of the subject Securities Act registration statement will be, an Exchange Act reporting company; and </w:t>
            </w:r>
          </w:p>
        </w:tc>
        <w:tc>
          <w:tcPr>
            <w:tcW w:w="1209" w:type="dxa"/>
            <w:gridSpan w:val="2"/>
            <w:tcBorders>
              <w:top w:val="single" w:sz="6" w:space="0" w:color="auto"/>
              <w:bottom w:val="single" w:sz="4" w:space="0" w:color="auto"/>
            </w:tcBorders>
            <w:vAlign w:val="bottom"/>
          </w:tcPr>
          <w:p w14:paraId="7BC31C95" w14:textId="77777777" w:rsidR="003E0489" w:rsidRPr="0047433F" w:rsidRDefault="003E0489" w:rsidP="003E0489">
            <w:pPr>
              <w:spacing w:before="120" w:after="120" w:line="240" w:lineRule="atLeast"/>
              <w:jc w:val="center"/>
              <w:rPr>
                <w:rFonts w:cs="Calibri Light"/>
                <w:bCs/>
                <w:sz w:val="20"/>
                <w:szCs w:val="20"/>
              </w:rPr>
            </w:pPr>
          </w:p>
        </w:tc>
        <w:tc>
          <w:tcPr>
            <w:tcW w:w="236" w:type="dxa"/>
            <w:gridSpan w:val="3"/>
            <w:vAlign w:val="bottom"/>
          </w:tcPr>
          <w:p w14:paraId="072C795E" w14:textId="77777777" w:rsidR="003E0489" w:rsidRPr="0047433F" w:rsidRDefault="003E0489" w:rsidP="003E0489">
            <w:pPr>
              <w:spacing w:before="120" w:after="120" w:line="240" w:lineRule="atLeast"/>
              <w:jc w:val="center"/>
              <w:rPr>
                <w:rFonts w:cs="Calibri Light"/>
                <w:bCs/>
                <w:sz w:val="20"/>
                <w:szCs w:val="20"/>
              </w:rPr>
            </w:pPr>
          </w:p>
        </w:tc>
        <w:tc>
          <w:tcPr>
            <w:tcW w:w="1181" w:type="dxa"/>
            <w:gridSpan w:val="2"/>
            <w:tcBorders>
              <w:top w:val="single" w:sz="6" w:space="0" w:color="auto"/>
              <w:bottom w:val="single" w:sz="4" w:space="0" w:color="auto"/>
            </w:tcBorders>
            <w:vAlign w:val="bottom"/>
          </w:tcPr>
          <w:p w14:paraId="5038BABA" w14:textId="77777777" w:rsidR="003E0489" w:rsidRPr="0047433F" w:rsidRDefault="003E0489" w:rsidP="003E0489">
            <w:pPr>
              <w:spacing w:before="120" w:after="120" w:line="240" w:lineRule="atLeast"/>
              <w:jc w:val="center"/>
              <w:rPr>
                <w:rFonts w:cs="Calibri Light"/>
                <w:bCs/>
                <w:sz w:val="20"/>
                <w:szCs w:val="20"/>
              </w:rPr>
            </w:pPr>
          </w:p>
        </w:tc>
      </w:tr>
      <w:tr w:rsidR="003E0489" w:rsidRPr="004005A4" w14:paraId="396D464B" w14:textId="77777777" w:rsidTr="00CC36C1">
        <w:trPr>
          <w:gridBefore w:val="1"/>
          <w:wBefore w:w="17" w:type="dxa"/>
        </w:trPr>
        <w:tc>
          <w:tcPr>
            <w:tcW w:w="7483" w:type="dxa"/>
            <w:gridSpan w:val="2"/>
          </w:tcPr>
          <w:p w14:paraId="25289DD7" w14:textId="06E77351" w:rsidR="003E0489" w:rsidRPr="0047433F" w:rsidRDefault="003E0489" w:rsidP="003E0489">
            <w:pPr>
              <w:pStyle w:val="Default"/>
              <w:spacing w:before="120" w:after="120" w:line="240" w:lineRule="atLeast"/>
              <w:ind w:left="1170" w:hanging="450"/>
              <w:rPr>
                <w:rFonts w:cs="Calibri Light"/>
                <w:bCs/>
                <w:sz w:val="20"/>
                <w:szCs w:val="20"/>
              </w:rPr>
            </w:pPr>
            <w:r w:rsidRPr="001127E3">
              <w:rPr>
                <w:rFonts w:ascii="Calibri Light" w:hAnsi="Calibri Light" w:cs="Calibri Light"/>
                <w:sz w:val="20"/>
                <w:szCs w:val="20"/>
              </w:rPr>
              <w:t>(iii)</w:t>
            </w:r>
            <w:r w:rsidRPr="001127E3">
              <w:rPr>
                <w:rFonts w:ascii="Calibri Light" w:hAnsi="Calibri Light" w:cs="Calibri Light"/>
                <w:sz w:val="20"/>
                <w:szCs w:val="20"/>
              </w:rPr>
              <w:tab/>
              <w:t>Consolidates each subsidiary issuer and/or subsidiary guarantor of the guaranteed security in its consolidated financial statements;</w:t>
            </w:r>
          </w:p>
        </w:tc>
        <w:tc>
          <w:tcPr>
            <w:tcW w:w="1209" w:type="dxa"/>
            <w:gridSpan w:val="2"/>
            <w:tcBorders>
              <w:top w:val="single" w:sz="4" w:space="0" w:color="auto"/>
              <w:bottom w:val="single" w:sz="6" w:space="0" w:color="auto"/>
            </w:tcBorders>
            <w:vAlign w:val="bottom"/>
          </w:tcPr>
          <w:p w14:paraId="223C1088" w14:textId="77777777" w:rsidR="003E0489" w:rsidRPr="0047433F" w:rsidRDefault="003E0489" w:rsidP="003E0489">
            <w:pPr>
              <w:spacing w:before="120" w:after="120" w:line="240" w:lineRule="atLeast"/>
              <w:jc w:val="center"/>
              <w:rPr>
                <w:rFonts w:cs="Calibri Light"/>
                <w:bCs/>
                <w:sz w:val="20"/>
                <w:szCs w:val="20"/>
              </w:rPr>
            </w:pPr>
          </w:p>
        </w:tc>
        <w:tc>
          <w:tcPr>
            <w:tcW w:w="236" w:type="dxa"/>
            <w:gridSpan w:val="3"/>
            <w:vAlign w:val="bottom"/>
          </w:tcPr>
          <w:p w14:paraId="7552F98F" w14:textId="77777777" w:rsidR="003E0489" w:rsidRPr="0047433F" w:rsidRDefault="003E0489" w:rsidP="003E0489">
            <w:pPr>
              <w:spacing w:before="120" w:after="120" w:line="240" w:lineRule="atLeast"/>
              <w:jc w:val="center"/>
              <w:rPr>
                <w:rFonts w:cs="Calibri Light"/>
                <w:bCs/>
                <w:sz w:val="20"/>
                <w:szCs w:val="20"/>
              </w:rPr>
            </w:pPr>
          </w:p>
        </w:tc>
        <w:tc>
          <w:tcPr>
            <w:tcW w:w="1181" w:type="dxa"/>
            <w:gridSpan w:val="2"/>
            <w:tcBorders>
              <w:top w:val="single" w:sz="4" w:space="0" w:color="auto"/>
              <w:bottom w:val="single" w:sz="6" w:space="0" w:color="auto"/>
            </w:tcBorders>
            <w:vAlign w:val="bottom"/>
          </w:tcPr>
          <w:p w14:paraId="0B3CE015" w14:textId="77777777" w:rsidR="003E0489" w:rsidRPr="0047433F" w:rsidRDefault="003E0489" w:rsidP="003E0489">
            <w:pPr>
              <w:spacing w:before="120" w:after="120" w:line="240" w:lineRule="atLeast"/>
              <w:jc w:val="center"/>
              <w:rPr>
                <w:rFonts w:cs="Calibri Light"/>
                <w:bCs/>
                <w:sz w:val="20"/>
                <w:szCs w:val="20"/>
              </w:rPr>
            </w:pPr>
          </w:p>
        </w:tc>
      </w:tr>
      <w:tr w:rsidR="003E0489" w:rsidRPr="004005A4" w14:paraId="77C318F6" w14:textId="77777777" w:rsidTr="00CC36C1">
        <w:trPr>
          <w:gridBefore w:val="1"/>
          <w:wBefore w:w="17" w:type="dxa"/>
        </w:trPr>
        <w:tc>
          <w:tcPr>
            <w:tcW w:w="7483" w:type="dxa"/>
            <w:gridSpan w:val="2"/>
          </w:tcPr>
          <w:p w14:paraId="2F11BD8A" w14:textId="7664B732" w:rsidR="003E0489" w:rsidRPr="0047433F" w:rsidRDefault="003E0489" w:rsidP="003E0489">
            <w:pPr>
              <w:pStyle w:val="Default"/>
              <w:spacing w:before="120" w:after="120" w:line="240" w:lineRule="atLeast"/>
              <w:ind w:left="720" w:hanging="360"/>
              <w:rPr>
                <w:rFonts w:cs="Calibri Light"/>
                <w:bCs/>
                <w:sz w:val="20"/>
                <w:szCs w:val="20"/>
              </w:rPr>
            </w:pPr>
            <w:r w:rsidRPr="001127E3">
              <w:rPr>
                <w:rFonts w:ascii="Calibri Light" w:hAnsi="Calibri Light" w:cs="Calibri Light"/>
                <w:sz w:val="20"/>
                <w:szCs w:val="20"/>
              </w:rPr>
              <w:t xml:space="preserve">(2) </w:t>
            </w:r>
            <w:r w:rsidRPr="001127E3">
              <w:rPr>
                <w:rFonts w:ascii="Calibri Light" w:hAnsi="Calibri Light" w:cs="Calibri Light"/>
                <w:sz w:val="20"/>
                <w:szCs w:val="20"/>
              </w:rPr>
              <w:tab/>
              <w:t>A security is “debt or debt-like” if it has the following characteristics:</w:t>
            </w:r>
          </w:p>
        </w:tc>
        <w:tc>
          <w:tcPr>
            <w:tcW w:w="1209" w:type="dxa"/>
            <w:gridSpan w:val="2"/>
            <w:tcBorders>
              <w:top w:val="single" w:sz="6" w:space="0" w:color="auto"/>
            </w:tcBorders>
            <w:vAlign w:val="bottom"/>
          </w:tcPr>
          <w:p w14:paraId="56A11F5D" w14:textId="77777777" w:rsidR="003E0489" w:rsidRPr="0047433F" w:rsidRDefault="003E0489" w:rsidP="003E0489">
            <w:pPr>
              <w:spacing w:before="120" w:after="120" w:line="240" w:lineRule="atLeast"/>
              <w:jc w:val="center"/>
              <w:rPr>
                <w:rFonts w:cs="Calibri Light"/>
                <w:bCs/>
                <w:sz w:val="20"/>
                <w:szCs w:val="20"/>
              </w:rPr>
            </w:pPr>
          </w:p>
        </w:tc>
        <w:tc>
          <w:tcPr>
            <w:tcW w:w="236" w:type="dxa"/>
            <w:gridSpan w:val="3"/>
            <w:vAlign w:val="bottom"/>
          </w:tcPr>
          <w:p w14:paraId="7E3D1084" w14:textId="77777777" w:rsidR="003E0489" w:rsidRPr="0047433F" w:rsidRDefault="003E0489" w:rsidP="003E0489">
            <w:pPr>
              <w:spacing w:before="120" w:after="120" w:line="240" w:lineRule="atLeast"/>
              <w:jc w:val="center"/>
              <w:rPr>
                <w:rFonts w:cs="Calibri Light"/>
                <w:bCs/>
                <w:sz w:val="20"/>
                <w:szCs w:val="20"/>
              </w:rPr>
            </w:pPr>
          </w:p>
        </w:tc>
        <w:tc>
          <w:tcPr>
            <w:tcW w:w="1181" w:type="dxa"/>
            <w:gridSpan w:val="2"/>
            <w:tcBorders>
              <w:top w:val="single" w:sz="6" w:space="0" w:color="auto"/>
            </w:tcBorders>
            <w:vAlign w:val="bottom"/>
          </w:tcPr>
          <w:p w14:paraId="07AFA113" w14:textId="77777777" w:rsidR="003E0489" w:rsidRPr="0047433F" w:rsidRDefault="003E0489" w:rsidP="003E0489">
            <w:pPr>
              <w:spacing w:before="120" w:after="120" w:line="240" w:lineRule="atLeast"/>
              <w:jc w:val="center"/>
              <w:rPr>
                <w:rFonts w:cs="Calibri Light"/>
                <w:bCs/>
                <w:sz w:val="20"/>
                <w:szCs w:val="20"/>
              </w:rPr>
            </w:pPr>
          </w:p>
        </w:tc>
      </w:tr>
      <w:tr w:rsidR="003E0489" w:rsidRPr="004005A4" w14:paraId="666D9472" w14:textId="77777777" w:rsidTr="00CC36C1">
        <w:trPr>
          <w:gridBefore w:val="1"/>
          <w:wBefore w:w="17" w:type="dxa"/>
        </w:trPr>
        <w:tc>
          <w:tcPr>
            <w:tcW w:w="7483" w:type="dxa"/>
            <w:gridSpan w:val="2"/>
          </w:tcPr>
          <w:p w14:paraId="36117764" w14:textId="5D9D11A4" w:rsidR="003E0489" w:rsidRPr="001127E3" w:rsidRDefault="003E0489" w:rsidP="003E0489">
            <w:pPr>
              <w:pStyle w:val="Default"/>
              <w:spacing w:before="120" w:after="120" w:line="240" w:lineRule="atLeast"/>
              <w:ind w:left="1080" w:hanging="360"/>
              <w:rPr>
                <w:rFonts w:ascii="Calibri Light" w:hAnsi="Calibri Light" w:cs="Calibri Light"/>
                <w:sz w:val="20"/>
                <w:szCs w:val="20"/>
              </w:rPr>
            </w:pPr>
            <w:r w:rsidRPr="001127E3">
              <w:rPr>
                <w:rFonts w:ascii="Calibri Light" w:hAnsi="Calibri Light" w:cs="Calibri Light"/>
                <w:sz w:val="20"/>
                <w:szCs w:val="20"/>
              </w:rPr>
              <w:t xml:space="preserve">(i) </w:t>
            </w:r>
            <w:r w:rsidRPr="001127E3">
              <w:rPr>
                <w:rFonts w:ascii="Calibri Light" w:hAnsi="Calibri Light" w:cs="Calibri Light"/>
                <w:sz w:val="20"/>
                <w:szCs w:val="20"/>
              </w:rPr>
              <w:tab/>
              <w:t>The issuer has a contractual obligation to pay a fixed sum at a fixed time; and</w:t>
            </w:r>
          </w:p>
        </w:tc>
        <w:tc>
          <w:tcPr>
            <w:tcW w:w="1209" w:type="dxa"/>
            <w:gridSpan w:val="2"/>
            <w:tcBorders>
              <w:bottom w:val="single" w:sz="6" w:space="0" w:color="auto"/>
            </w:tcBorders>
            <w:vAlign w:val="bottom"/>
          </w:tcPr>
          <w:p w14:paraId="571E112B" w14:textId="77777777" w:rsidR="003E0489" w:rsidRPr="0047433F" w:rsidRDefault="003E0489" w:rsidP="003E0489">
            <w:pPr>
              <w:spacing w:before="120" w:after="120" w:line="240" w:lineRule="atLeast"/>
              <w:jc w:val="center"/>
              <w:rPr>
                <w:rFonts w:cs="Calibri Light"/>
                <w:bCs/>
                <w:sz w:val="20"/>
                <w:szCs w:val="20"/>
              </w:rPr>
            </w:pPr>
          </w:p>
        </w:tc>
        <w:tc>
          <w:tcPr>
            <w:tcW w:w="236" w:type="dxa"/>
            <w:gridSpan w:val="3"/>
            <w:vAlign w:val="bottom"/>
          </w:tcPr>
          <w:p w14:paraId="37857EAE" w14:textId="77777777" w:rsidR="003E0489" w:rsidRPr="0047433F" w:rsidRDefault="003E0489" w:rsidP="003E0489">
            <w:pPr>
              <w:spacing w:before="120" w:after="120" w:line="240" w:lineRule="atLeast"/>
              <w:jc w:val="center"/>
              <w:rPr>
                <w:rFonts w:cs="Calibri Light"/>
                <w:bCs/>
                <w:sz w:val="20"/>
                <w:szCs w:val="20"/>
              </w:rPr>
            </w:pPr>
          </w:p>
        </w:tc>
        <w:tc>
          <w:tcPr>
            <w:tcW w:w="1181" w:type="dxa"/>
            <w:gridSpan w:val="2"/>
            <w:tcBorders>
              <w:bottom w:val="single" w:sz="6" w:space="0" w:color="auto"/>
            </w:tcBorders>
            <w:vAlign w:val="bottom"/>
          </w:tcPr>
          <w:p w14:paraId="1759ADCF" w14:textId="77777777" w:rsidR="003E0489" w:rsidRPr="0047433F" w:rsidRDefault="003E0489" w:rsidP="003E0489">
            <w:pPr>
              <w:spacing w:before="120" w:after="120" w:line="240" w:lineRule="atLeast"/>
              <w:jc w:val="center"/>
              <w:rPr>
                <w:rFonts w:cs="Calibri Light"/>
                <w:bCs/>
                <w:sz w:val="20"/>
                <w:szCs w:val="20"/>
              </w:rPr>
            </w:pPr>
          </w:p>
        </w:tc>
      </w:tr>
      <w:tr w:rsidR="003E0489" w:rsidRPr="004005A4" w14:paraId="7810BBBC" w14:textId="77777777" w:rsidTr="00CC36C1">
        <w:trPr>
          <w:gridBefore w:val="1"/>
          <w:wBefore w:w="17" w:type="dxa"/>
        </w:trPr>
        <w:tc>
          <w:tcPr>
            <w:tcW w:w="7483" w:type="dxa"/>
            <w:gridSpan w:val="2"/>
          </w:tcPr>
          <w:p w14:paraId="0F2489B5" w14:textId="6E640497" w:rsidR="003E0489" w:rsidRPr="001127E3" w:rsidRDefault="003E0489" w:rsidP="003E0489">
            <w:pPr>
              <w:pStyle w:val="Default"/>
              <w:spacing w:before="120" w:after="120" w:line="240" w:lineRule="atLeast"/>
              <w:ind w:left="1080" w:hanging="360"/>
              <w:rPr>
                <w:rFonts w:ascii="Calibri Light" w:hAnsi="Calibri Light" w:cs="Calibri Light"/>
                <w:sz w:val="20"/>
                <w:szCs w:val="20"/>
              </w:rPr>
            </w:pPr>
            <w:r w:rsidRPr="001127E3">
              <w:rPr>
                <w:rFonts w:ascii="Calibri Light" w:hAnsi="Calibri Light" w:cs="Calibri Light"/>
                <w:sz w:val="20"/>
                <w:szCs w:val="20"/>
              </w:rPr>
              <w:t xml:space="preserve">(ii) </w:t>
            </w:r>
            <w:r w:rsidRPr="001127E3">
              <w:rPr>
                <w:rFonts w:ascii="Calibri Light" w:hAnsi="Calibri Light" w:cs="Calibri Light"/>
                <w:sz w:val="20"/>
                <w:szCs w:val="20"/>
              </w:rPr>
              <w:tab/>
              <w:t>Where the obligation to make such payments is cumulative, a set amount of interest must be paid.</w:t>
            </w:r>
          </w:p>
        </w:tc>
        <w:tc>
          <w:tcPr>
            <w:tcW w:w="1209" w:type="dxa"/>
            <w:gridSpan w:val="2"/>
            <w:tcBorders>
              <w:top w:val="single" w:sz="6" w:space="0" w:color="auto"/>
              <w:bottom w:val="single" w:sz="4" w:space="0" w:color="auto"/>
            </w:tcBorders>
            <w:vAlign w:val="bottom"/>
          </w:tcPr>
          <w:p w14:paraId="07C397DC" w14:textId="77777777" w:rsidR="003E0489" w:rsidRPr="0047433F" w:rsidRDefault="003E0489" w:rsidP="003E0489">
            <w:pPr>
              <w:spacing w:before="120" w:after="120" w:line="240" w:lineRule="atLeast"/>
              <w:jc w:val="center"/>
              <w:rPr>
                <w:rFonts w:cs="Calibri Light"/>
                <w:bCs/>
                <w:sz w:val="20"/>
                <w:szCs w:val="20"/>
              </w:rPr>
            </w:pPr>
          </w:p>
        </w:tc>
        <w:tc>
          <w:tcPr>
            <w:tcW w:w="236" w:type="dxa"/>
            <w:gridSpan w:val="3"/>
            <w:vAlign w:val="bottom"/>
          </w:tcPr>
          <w:p w14:paraId="75A581C0" w14:textId="77777777" w:rsidR="003E0489" w:rsidRPr="0047433F" w:rsidRDefault="003E0489" w:rsidP="003E0489">
            <w:pPr>
              <w:spacing w:before="120" w:after="120" w:line="240" w:lineRule="atLeast"/>
              <w:jc w:val="center"/>
              <w:rPr>
                <w:rFonts w:cs="Calibri Light"/>
                <w:bCs/>
                <w:sz w:val="20"/>
                <w:szCs w:val="20"/>
              </w:rPr>
            </w:pPr>
          </w:p>
        </w:tc>
        <w:tc>
          <w:tcPr>
            <w:tcW w:w="1181" w:type="dxa"/>
            <w:gridSpan w:val="2"/>
            <w:tcBorders>
              <w:top w:val="single" w:sz="6" w:space="0" w:color="auto"/>
              <w:bottom w:val="single" w:sz="4" w:space="0" w:color="auto"/>
            </w:tcBorders>
            <w:vAlign w:val="bottom"/>
          </w:tcPr>
          <w:p w14:paraId="696F90BE" w14:textId="77777777" w:rsidR="003E0489" w:rsidRPr="0047433F" w:rsidRDefault="003E0489" w:rsidP="003E0489">
            <w:pPr>
              <w:spacing w:before="120" w:after="120" w:line="240" w:lineRule="atLeast"/>
              <w:jc w:val="center"/>
              <w:rPr>
                <w:rFonts w:cs="Calibri Light"/>
                <w:bCs/>
                <w:sz w:val="20"/>
                <w:szCs w:val="20"/>
              </w:rPr>
            </w:pPr>
          </w:p>
        </w:tc>
      </w:tr>
      <w:tr w:rsidR="003E0489" w:rsidRPr="004005A4" w:rsidDel="00A37B2B" w14:paraId="49754434" w14:textId="77777777" w:rsidTr="00CC36C1">
        <w:trPr>
          <w:gridBefore w:val="1"/>
          <w:wBefore w:w="17" w:type="dxa"/>
          <w:trHeight w:val="1243"/>
        </w:trPr>
        <w:tc>
          <w:tcPr>
            <w:tcW w:w="7483" w:type="dxa"/>
            <w:gridSpan w:val="2"/>
          </w:tcPr>
          <w:p w14:paraId="0AEB8DDE" w14:textId="77777777" w:rsidR="003E0489" w:rsidRPr="001127E3" w:rsidRDefault="003E0489" w:rsidP="003E0489">
            <w:pPr>
              <w:pStyle w:val="Default"/>
              <w:spacing w:before="120" w:after="120" w:line="240" w:lineRule="atLeast"/>
              <w:ind w:left="1080" w:hanging="360"/>
              <w:rPr>
                <w:rFonts w:ascii="Calibri Light" w:hAnsi="Calibri Light" w:cs="Calibri Light"/>
                <w:sz w:val="20"/>
                <w:szCs w:val="20"/>
              </w:rPr>
            </w:pPr>
            <w:r w:rsidRPr="001127E3">
              <w:rPr>
                <w:rFonts w:ascii="Calibri Light" w:hAnsi="Calibri Light" w:cs="Calibri Light"/>
                <w:i/>
                <w:iCs/>
                <w:sz w:val="20"/>
                <w:szCs w:val="20"/>
              </w:rPr>
              <w:tab/>
              <w:t>Note 1 to paragraph (b)(2)</w:t>
            </w:r>
            <w:r w:rsidRPr="001127E3">
              <w:rPr>
                <w:rFonts w:ascii="Calibri Light" w:hAnsi="Calibri Light" w:cs="Calibri Light"/>
                <w:sz w:val="20"/>
                <w:szCs w:val="20"/>
              </w:rPr>
              <w:t xml:space="preserve">. Neither the form of the security nor its title will determine whether a security is debt or debt-like. Instead, the substance of the obligation created by the security will be determinative. </w:t>
            </w:r>
          </w:p>
          <w:p w14:paraId="66B82BDB" w14:textId="30B98A7C" w:rsidR="003E0489" w:rsidRPr="004005A4" w:rsidDel="00A37B2B" w:rsidRDefault="003E0489" w:rsidP="003E0489">
            <w:pPr>
              <w:pStyle w:val="Default"/>
              <w:spacing w:before="120" w:after="120" w:line="240" w:lineRule="atLeast"/>
              <w:ind w:left="1080" w:hanging="360"/>
              <w:rPr>
                <w:rFonts w:cs="Calibri Light"/>
                <w:sz w:val="20"/>
                <w:szCs w:val="20"/>
              </w:rPr>
            </w:pPr>
            <w:r w:rsidRPr="001127E3">
              <w:rPr>
                <w:rFonts w:ascii="Calibri Light" w:hAnsi="Calibri Light" w:cs="Calibri Light"/>
                <w:i/>
                <w:iCs/>
                <w:sz w:val="20"/>
                <w:szCs w:val="20"/>
              </w:rPr>
              <w:tab/>
              <w:t>Note 2 to paragraph (b)(2)</w:t>
            </w:r>
            <w:r w:rsidRPr="001127E3">
              <w:rPr>
                <w:rFonts w:ascii="Calibri Light" w:hAnsi="Calibri Light" w:cs="Calibri Light"/>
                <w:sz w:val="20"/>
                <w:szCs w:val="20"/>
              </w:rPr>
              <w:t>. The phrase “set amount of interest” is not intended to mean “fixed amount of interest.” Floating and adjustable rate securities, as well as indexed securities, may meet the criteria specified in paragraph (b)(2)(ii) of this section as long as the payment obligation is set in the debt instrument and can be determined from objective indices or other factors that are outside the discretion of the obligor.</w:t>
            </w:r>
          </w:p>
        </w:tc>
        <w:tc>
          <w:tcPr>
            <w:tcW w:w="1209" w:type="dxa"/>
            <w:gridSpan w:val="2"/>
            <w:tcBorders>
              <w:top w:val="single" w:sz="4" w:space="0" w:color="auto"/>
            </w:tcBorders>
            <w:vAlign w:val="bottom"/>
          </w:tcPr>
          <w:p w14:paraId="427763B9" w14:textId="77777777" w:rsidR="003E0489" w:rsidRPr="004005A4" w:rsidDel="00A37B2B" w:rsidRDefault="003E0489" w:rsidP="003E0489">
            <w:pPr>
              <w:spacing w:before="120" w:after="120" w:line="240" w:lineRule="atLeast"/>
              <w:rPr>
                <w:rFonts w:cs="Calibri Light"/>
                <w:b/>
                <w:sz w:val="20"/>
                <w:szCs w:val="20"/>
              </w:rPr>
            </w:pPr>
          </w:p>
        </w:tc>
        <w:tc>
          <w:tcPr>
            <w:tcW w:w="236" w:type="dxa"/>
            <w:gridSpan w:val="3"/>
            <w:vAlign w:val="bottom"/>
          </w:tcPr>
          <w:p w14:paraId="79399103" w14:textId="77777777" w:rsidR="003E0489" w:rsidRPr="004005A4" w:rsidDel="00A37B2B"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07D1401" w14:textId="77777777" w:rsidR="003E0489" w:rsidRPr="004005A4" w:rsidDel="00A37B2B" w:rsidRDefault="003E0489" w:rsidP="003E0489">
            <w:pPr>
              <w:spacing w:before="120" w:after="120" w:line="240" w:lineRule="atLeast"/>
              <w:jc w:val="center"/>
              <w:rPr>
                <w:rFonts w:cs="Calibri Light"/>
                <w:b/>
                <w:sz w:val="20"/>
                <w:szCs w:val="20"/>
              </w:rPr>
            </w:pPr>
          </w:p>
        </w:tc>
      </w:tr>
      <w:tr w:rsidR="003E0489" w:rsidRPr="004005A4" w:rsidDel="00A37B2B" w14:paraId="2B8ECDA7" w14:textId="77777777" w:rsidTr="00CC36C1">
        <w:trPr>
          <w:gridBefore w:val="1"/>
          <w:wBefore w:w="17" w:type="dxa"/>
          <w:trHeight w:val="1243"/>
        </w:trPr>
        <w:tc>
          <w:tcPr>
            <w:tcW w:w="7483" w:type="dxa"/>
            <w:gridSpan w:val="2"/>
          </w:tcPr>
          <w:p w14:paraId="34193A2D" w14:textId="4AEC405E" w:rsidR="003E0489" w:rsidRPr="001127E3" w:rsidRDefault="003E0489" w:rsidP="003E0489">
            <w:pPr>
              <w:spacing w:before="120" w:after="120" w:line="240" w:lineRule="atLeast"/>
              <w:ind w:left="774" w:hanging="450"/>
              <w:rPr>
                <w:rFonts w:cs="Calibri Light"/>
                <w:i/>
                <w:iCs/>
                <w:sz w:val="20"/>
                <w:szCs w:val="20"/>
              </w:rPr>
            </w:pPr>
            <w:r w:rsidRPr="001127E3">
              <w:rPr>
                <w:rFonts w:cs="Calibri Light"/>
                <w:sz w:val="20"/>
                <w:szCs w:val="20"/>
              </w:rPr>
              <w:t xml:space="preserve">(3) </w:t>
            </w:r>
            <w:r w:rsidRPr="001127E3">
              <w:rPr>
                <w:rFonts w:cs="Calibri Light"/>
                <w:sz w:val="20"/>
                <w:szCs w:val="20"/>
              </w:rPr>
              <w:tab/>
              <w:t>A guarantee is “full and unconditional,” if, when an issuer of a guaranteed security has failed to make a scheduled payment, the guarantor is obligated to make the scheduled payment immediately and, if it does not, any holder of the guaranteed security may immediately bring suit directly against the guarantor for payment of all amounts due and payable.</w:t>
            </w:r>
          </w:p>
        </w:tc>
        <w:tc>
          <w:tcPr>
            <w:tcW w:w="1209" w:type="dxa"/>
            <w:gridSpan w:val="2"/>
            <w:vAlign w:val="bottom"/>
          </w:tcPr>
          <w:p w14:paraId="46D99236" w14:textId="77777777" w:rsidR="003E0489" w:rsidRPr="004005A4" w:rsidDel="00A37B2B" w:rsidRDefault="003E0489" w:rsidP="003E0489">
            <w:pPr>
              <w:spacing w:before="120" w:after="120" w:line="240" w:lineRule="atLeast"/>
              <w:rPr>
                <w:rFonts w:cs="Calibri Light"/>
                <w:b/>
                <w:sz w:val="20"/>
                <w:szCs w:val="20"/>
              </w:rPr>
            </w:pPr>
          </w:p>
        </w:tc>
        <w:tc>
          <w:tcPr>
            <w:tcW w:w="236" w:type="dxa"/>
            <w:gridSpan w:val="3"/>
            <w:vAlign w:val="bottom"/>
          </w:tcPr>
          <w:p w14:paraId="23CAEE7F" w14:textId="77777777" w:rsidR="003E0489" w:rsidRPr="004005A4" w:rsidDel="00A37B2B" w:rsidRDefault="003E0489" w:rsidP="003E0489">
            <w:pPr>
              <w:spacing w:before="120" w:after="120" w:line="240" w:lineRule="atLeast"/>
              <w:jc w:val="center"/>
              <w:rPr>
                <w:rFonts w:cs="Calibri Light"/>
                <w:b/>
                <w:sz w:val="20"/>
                <w:szCs w:val="20"/>
              </w:rPr>
            </w:pPr>
          </w:p>
        </w:tc>
        <w:tc>
          <w:tcPr>
            <w:tcW w:w="1181" w:type="dxa"/>
            <w:gridSpan w:val="2"/>
            <w:vAlign w:val="bottom"/>
          </w:tcPr>
          <w:p w14:paraId="3B2C3F8D" w14:textId="77777777" w:rsidR="003E0489" w:rsidRPr="004005A4" w:rsidDel="00A37B2B" w:rsidRDefault="003E0489" w:rsidP="003E0489">
            <w:pPr>
              <w:spacing w:before="120" w:after="120" w:line="240" w:lineRule="atLeast"/>
              <w:jc w:val="center"/>
              <w:rPr>
                <w:rFonts w:cs="Calibri Light"/>
                <w:b/>
                <w:sz w:val="20"/>
                <w:szCs w:val="20"/>
              </w:rPr>
            </w:pPr>
          </w:p>
        </w:tc>
      </w:tr>
      <w:tr w:rsidR="003E0489" w:rsidRPr="004005A4" w14:paraId="5316C94E" w14:textId="77777777" w:rsidTr="00CC36C1">
        <w:trPr>
          <w:gridBefore w:val="1"/>
          <w:wBefore w:w="17" w:type="dxa"/>
        </w:trPr>
        <w:tc>
          <w:tcPr>
            <w:tcW w:w="7483" w:type="dxa"/>
            <w:gridSpan w:val="2"/>
          </w:tcPr>
          <w:p w14:paraId="0FBC76FB" w14:textId="263B07EC" w:rsidR="003E0489" w:rsidRPr="004005A4" w:rsidRDefault="003E0489" w:rsidP="003E0489">
            <w:pPr>
              <w:pStyle w:val="standard"/>
              <w:keepNext/>
              <w:spacing w:before="120" w:after="120" w:line="240" w:lineRule="atLeast"/>
              <w:rPr>
                <w:rFonts w:cs="Calibri Light"/>
                <w:b/>
                <w:sz w:val="20"/>
                <w:szCs w:val="20"/>
              </w:rPr>
            </w:pPr>
            <w:r w:rsidRPr="00FC594D">
              <w:rPr>
                <w:rFonts w:cs="Calibri Light"/>
                <w:sz w:val="20"/>
                <w:szCs w:val="20"/>
              </w:rPr>
              <w:lastRenderedPageBreak/>
              <w:t xml:space="preserve">Refer to Article 13 below for </w:t>
            </w:r>
            <w:r>
              <w:rPr>
                <w:rFonts w:cs="Calibri Light"/>
                <w:sz w:val="20"/>
                <w:szCs w:val="20"/>
              </w:rPr>
              <w:t xml:space="preserve">required disclosures when an </w:t>
            </w:r>
            <w:r w:rsidRPr="00CC6497">
              <w:rPr>
                <w:rFonts w:cs="Calibri Light"/>
                <w:sz w:val="20"/>
                <w:szCs w:val="20"/>
              </w:rPr>
              <w:t xml:space="preserve">issuer or guarantor of a guaranteed security that is registered or being registered is required to file financial statements </w:t>
            </w:r>
            <w:r>
              <w:rPr>
                <w:rFonts w:cs="Calibri Light"/>
                <w:sz w:val="20"/>
                <w:szCs w:val="20"/>
              </w:rPr>
              <w:t>pursuant to</w:t>
            </w:r>
            <w:r w:rsidRPr="00CC6497">
              <w:rPr>
                <w:rFonts w:cs="Calibri Light"/>
                <w:sz w:val="20"/>
                <w:szCs w:val="20"/>
              </w:rPr>
              <w:t xml:space="preserve"> Regulation S-X with respect to the guarantee or guaranteed security,</w:t>
            </w:r>
            <w:r>
              <w:rPr>
                <w:rFonts w:cs="Calibri Light"/>
                <w:sz w:val="20"/>
                <w:szCs w:val="20"/>
              </w:rPr>
              <w:t xml:space="preserve"> and</w:t>
            </w:r>
            <w:r w:rsidRPr="00CC6497">
              <w:rPr>
                <w:rFonts w:cs="Calibri Light"/>
                <w:sz w:val="20"/>
                <w:szCs w:val="20"/>
              </w:rPr>
              <w:t xml:space="preserve"> such financial statements </w:t>
            </w:r>
            <w:r>
              <w:rPr>
                <w:rFonts w:cs="Calibri Light"/>
                <w:sz w:val="20"/>
                <w:szCs w:val="20"/>
              </w:rPr>
              <w:t>are</w:t>
            </w:r>
            <w:r w:rsidRPr="00CC6497">
              <w:rPr>
                <w:rFonts w:cs="Calibri Light"/>
                <w:sz w:val="20"/>
                <w:szCs w:val="20"/>
              </w:rPr>
              <w:t xml:space="preserve"> omitted </w:t>
            </w:r>
            <w:r>
              <w:rPr>
                <w:rFonts w:cs="Calibri Light"/>
                <w:sz w:val="20"/>
                <w:szCs w:val="20"/>
              </w:rPr>
              <w:t>based on the criteria above.</w:t>
            </w:r>
          </w:p>
        </w:tc>
        <w:tc>
          <w:tcPr>
            <w:tcW w:w="1209" w:type="dxa"/>
            <w:gridSpan w:val="2"/>
            <w:tcBorders>
              <w:top w:val="single" w:sz="4" w:space="0" w:color="auto"/>
            </w:tcBorders>
            <w:vAlign w:val="bottom"/>
          </w:tcPr>
          <w:p w14:paraId="4C2D3F11"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7ED95EBE"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4148A9E"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54F60AEB" w14:textId="77777777" w:rsidTr="00CC36C1">
        <w:trPr>
          <w:gridBefore w:val="1"/>
          <w:wBefore w:w="17" w:type="dxa"/>
        </w:trPr>
        <w:tc>
          <w:tcPr>
            <w:tcW w:w="7483" w:type="dxa"/>
            <w:gridSpan w:val="2"/>
          </w:tcPr>
          <w:p w14:paraId="75A922D1" w14:textId="77777777" w:rsidR="003E0489" w:rsidRPr="004005A4" w:rsidRDefault="003E0489" w:rsidP="003E0489">
            <w:pPr>
              <w:pStyle w:val="standard"/>
              <w:keepNext/>
              <w:spacing w:before="120" w:after="120" w:line="240" w:lineRule="atLeast"/>
              <w:rPr>
                <w:rFonts w:cs="Calibri Light"/>
                <w:b/>
                <w:sz w:val="20"/>
                <w:szCs w:val="20"/>
              </w:rPr>
            </w:pPr>
            <w:r w:rsidRPr="004005A4">
              <w:rPr>
                <w:rFonts w:cs="Calibri Light"/>
                <w:b/>
                <w:sz w:val="20"/>
                <w:szCs w:val="20"/>
              </w:rPr>
              <w:t>Rule 3-11 — Financial statements of an inactive registrant.</w:t>
            </w:r>
          </w:p>
        </w:tc>
        <w:tc>
          <w:tcPr>
            <w:tcW w:w="1209" w:type="dxa"/>
            <w:gridSpan w:val="2"/>
            <w:tcBorders>
              <w:top w:val="single" w:sz="4" w:space="0" w:color="auto"/>
            </w:tcBorders>
            <w:vAlign w:val="bottom"/>
          </w:tcPr>
          <w:p w14:paraId="74A99712"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29158427"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97B9453"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1FB399DD" w14:textId="77777777" w:rsidTr="00CC36C1">
        <w:trPr>
          <w:gridBefore w:val="1"/>
          <w:wBefore w:w="17" w:type="dxa"/>
        </w:trPr>
        <w:tc>
          <w:tcPr>
            <w:tcW w:w="7483" w:type="dxa"/>
            <w:gridSpan w:val="2"/>
          </w:tcPr>
          <w:p w14:paraId="7E0DC03F" w14:textId="5A977CDE" w:rsidR="003E0489" w:rsidRPr="004005A4" w:rsidRDefault="003E0489" w:rsidP="003E0489">
            <w:pPr>
              <w:pStyle w:val="standard"/>
              <w:keepNext/>
              <w:spacing w:before="120" w:after="120" w:line="240" w:lineRule="atLeast"/>
              <w:rPr>
                <w:rFonts w:cs="Calibri Light"/>
                <w:sz w:val="20"/>
                <w:szCs w:val="20"/>
              </w:rPr>
            </w:pPr>
            <w:r w:rsidRPr="004005A4">
              <w:rPr>
                <w:rFonts w:cs="Calibri Light"/>
                <w:sz w:val="20"/>
                <w:szCs w:val="20"/>
              </w:rPr>
              <w:t xml:space="preserve">For an inactive entity, the statements required for Exchange Act filings may be unaudited.  </w:t>
            </w:r>
          </w:p>
        </w:tc>
        <w:tc>
          <w:tcPr>
            <w:tcW w:w="1209" w:type="dxa"/>
            <w:gridSpan w:val="2"/>
            <w:tcBorders>
              <w:bottom w:val="single" w:sz="4" w:space="0" w:color="auto"/>
            </w:tcBorders>
            <w:vAlign w:val="bottom"/>
          </w:tcPr>
          <w:p w14:paraId="709519C9"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230B1940"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7BD46F02"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66C72F87" w14:textId="77777777" w:rsidTr="00CC36C1">
        <w:trPr>
          <w:gridBefore w:val="1"/>
          <w:wBefore w:w="17" w:type="dxa"/>
        </w:trPr>
        <w:tc>
          <w:tcPr>
            <w:tcW w:w="7483" w:type="dxa"/>
            <w:gridSpan w:val="2"/>
          </w:tcPr>
          <w:p w14:paraId="482269C2" w14:textId="77777777" w:rsidR="003E0489" w:rsidRPr="004005A4" w:rsidRDefault="003E0489" w:rsidP="003E0489">
            <w:pPr>
              <w:pStyle w:val="standard"/>
              <w:keepNext/>
              <w:spacing w:before="120" w:after="120" w:line="240" w:lineRule="atLeast"/>
              <w:rPr>
                <w:rFonts w:cs="Calibri Light"/>
                <w:b/>
                <w:sz w:val="20"/>
                <w:szCs w:val="20"/>
              </w:rPr>
            </w:pPr>
            <w:r w:rsidRPr="004005A4">
              <w:rPr>
                <w:rFonts w:cs="Calibri Light"/>
                <w:b/>
                <w:sz w:val="20"/>
                <w:szCs w:val="20"/>
              </w:rPr>
              <w:t>Rule 3-12 — Age of financial statements at effective date of registration statement or at mailing date of proxy statement.</w:t>
            </w:r>
          </w:p>
        </w:tc>
        <w:tc>
          <w:tcPr>
            <w:tcW w:w="1209" w:type="dxa"/>
            <w:gridSpan w:val="2"/>
            <w:tcBorders>
              <w:top w:val="single" w:sz="4" w:space="0" w:color="auto"/>
            </w:tcBorders>
            <w:vAlign w:val="bottom"/>
          </w:tcPr>
          <w:p w14:paraId="6B401356"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1432BE9C"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9C71D97"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546E755C" w14:textId="77777777" w:rsidTr="00CC36C1">
        <w:trPr>
          <w:gridBefore w:val="1"/>
          <w:wBefore w:w="17" w:type="dxa"/>
        </w:trPr>
        <w:tc>
          <w:tcPr>
            <w:tcW w:w="7483" w:type="dxa"/>
            <w:gridSpan w:val="2"/>
          </w:tcPr>
          <w:p w14:paraId="027729AF" w14:textId="1AA20D02" w:rsidR="003E0489" w:rsidRPr="004005A4" w:rsidRDefault="003E0489" w:rsidP="003E0489">
            <w:pPr>
              <w:pStyle w:val="standard"/>
              <w:numPr>
                <w:ilvl w:val="0"/>
                <w:numId w:val="101"/>
              </w:numPr>
              <w:tabs>
                <w:tab w:val="clear" w:pos="576"/>
              </w:tabs>
              <w:spacing w:before="120" w:after="120" w:line="240" w:lineRule="atLeast"/>
              <w:ind w:left="232" w:hanging="232"/>
              <w:rPr>
                <w:rFonts w:eastAsia="Arial Unicode MS" w:cs="Calibri Light"/>
                <w:sz w:val="20"/>
                <w:szCs w:val="20"/>
              </w:rPr>
            </w:pPr>
            <w:r w:rsidRPr="004005A4">
              <w:rPr>
                <w:rFonts w:cs="Calibri Light"/>
                <w:sz w:val="20"/>
                <w:szCs w:val="20"/>
              </w:rPr>
              <w:t xml:space="preserve">If the financial statements in a filing are as of a date the number of days specified in paragraph (g) of this section or more prior to the date the filing is expected to become effective or proposed mailing date in the case of a proxy statement, the financial statements should be updated, except as specified in the following paragraphs, with a balance sheet as of an interim date within the number of days specified in paragraph (g) of this section and with statements of comprehensive income and cash flows for the interim period between the end of the most recent fiscal year and the date of the interim balance sheet provided and for the corresponding period of the preceding fiscal year. Such interim financial statements may be unaudited and need not be presented in greater detail than is required by S-X Rule 10-01 — see </w:t>
            </w:r>
            <w:r w:rsidRPr="004005A4">
              <w:rPr>
                <w:rFonts w:cs="Calibri Light"/>
                <w:i/>
                <w:sz w:val="20"/>
                <w:szCs w:val="20"/>
              </w:rPr>
              <w:t>Checklist for Quarterly Report on Form 10-Q</w:t>
            </w:r>
            <w:r w:rsidRPr="004005A4">
              <w:rPr>
                <w:rFonts w:cs="Calibri Light"/>
                <w:sz w:val="20"/>
                <w:szCs w:val="20"/>
              </w:rPr>
              <w:t xml:space="preserve">.  However, the latest interim statements must be at least as current as the most recent </w:t>
            </w:r>
            <w:r w:rsidRPr="004005A4">
              <w:rPr>
                <w:rFonts w:cs="Calibri Light"/>
                <w:spacing w:val="-2"/>
                <w:sz w:val="20"/>
                <w:szCs w:val="20"/>
              </w:rPr>
              <w:t>statements filed on Form 10-Q.  [See S-X Rule 3-01.]</w:t>
            </w:r>
          </w:p>
        </w:tc>
        <w:tc>
          <w:tcPr>
            <w:tcW w:w="1209" w:type="dxa"/>
            <w:gridSpan w:val="2"/>
            <w:tcBorders>
              <w:bottom w:val="single" w:sz="4" w:space="0" w:color="auto"/>
            </w:tcBorders>
            <w:vAlign w:val="bottom"/>
          </w:tcPr>
          <w:p w14:paraId="3086D7AC"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400CA4B3"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40172EE2"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0AAE9902" w14:textId="77777777" w:rsidTr="00CC36C1">
        <w:trPr>
          <w:gridBefore w:val="1"/>
          <w:wBefore w:w="17" w:type="dxa"/>
        </w:trPr>
        <w:tc>
          <w:tcPr>
            <w:tcW w:w="7483" w:type="dxa"/>
            <w:gridSpan w:val="2"/>
          </w:tcPr>
          <w:p w14:paraId="2C991B6C" w14:textId="3F3CE04E" w:rsidR="003E0489" w:rsidRPr="004005A4" w:rsidRDefault="003E0489" w:rsidP="003E0489">
            <w:pPr>
              <w:pStyle w:val="standard"/>
              <w:numPr>
                <w:ilvl w:val="0"/>
                <w:numId w:val="101"/>
              </w:numPr>
              <w:tabs>
                <w:tab w:val="clear" w:pos="576"/>
              </w:tabs>
              <w:spacing w:before="120" w:after="120" w:line="240" w:lineRule="atLeast"/>
              <w:ind w:left="232" w:hanging="232"/>
              <w:rPr>
                <w:rFonts w:eastAsia="Arial Unicode MS" w:cs="Calibri Light"/>
                <w:sz w:val="20"/>
                <w:szCs w:val="20"/>
              </w:rPr>
            </w:pPr>
            <w:r w:rsidRPr="004005A4">
              <w:rPr>
                <w:rFonts w:cs="Calibri Light"/>
                <w:sz w:val="20"/>
                <w:szCs w:val="20"/>
              </w:rPr>
              <w:t xml:space="preserve">Where the anticipated effective date of a filing, or in the case of a proxy statement the proposed mailing date, falls within the number of days subsequent to the end of the fiscal year specified in paragraph (g) of this section, the filing need not include financial statements more current than as of the end of the third fiscal quarter of the most recently completed fiscal year unless the audited financial statements for such fiscal year are available or unless the anticipated effective date or proposed mailing date falls after 45 days subsequent to the end of the fiscal year and the registrant does not meet the conditions prescribed under Regulation S-X, Rule 3-01(c).  If the anticipated effective date or proposed mailing date falls after 45 days subsequent to the end of the fiscal year and the registrant does not meet the conditions in Regulation S-X, Rule 3-01(c), the filing must include audited financial statements for the most recently completed fiscal year. </w:t>
            </w:r>
          </w:p>
        </w:tc>
        <w:tc>
          <w:tcPr>
            <w:tcW w:w="1209" w:type="dxa"/>
            <w:gridSpan w:val="2"/>
            <w:tcBorders>
              <w:top w:val="single" w:sz="4" w:space="0" w:color="auto"/>
              <w:bottom w:val="single" w:sz="4" w:space="0" w:color="auto"/>
            </w:tcBorders>
            <w:vAlign w:val="bottom"/>
          </w:tcPr>
          <w:p w14:paraId="08BDBF47"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725FAD61"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B8B50FB"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180A171C" w14:textId="77777777" w:rsidTr="00CC36C1">
        <w:trPr>
          <w:gridBefore w:val="1"/>
          <w:wBefore w:w="17" w:type="dxa"/>
        </w:trPr>
        <w:tc>
          <w:tcPr>
            <w:tcW w:w="7483" w:type="dxa"/>
            <w:gridSpan w:val="2"/>
          </w:tcPr>
          <w:p w14:paraId="6730A3D0" w14:textId="451CA6DB" w:rsidR="003E0489" w:rsidRPr="004005A4" w:rsidRDefault="003E0489" w:rsidP="003E0489">
            <w:pPr>
              <w:pStyle w:val="standard"/>
              <w:numPr>
                <w:ilvl w:val="0"/>
                <w:numId w:val="101"/>
              </w:numPr>
              <w:tabs>
                <w:tab w:val="clear" w:pos="576"/>
              </w:tabs>
              <w:spacing w:before="120" w:after="120" w:line="240" w:lineRule="atLeast"/>
              <w:ind w:left="232" w:hanging="232"/>
              <w:rPr>
                <w:rFonts w:cs="Calibri Light"/>
                <w:sz w:val="20"/>
                <w:szCs w:val="20"/>
              </w:rPr>
            </w:pPr>
            <w:r w:rsidRPr="004005A4">
              <w:rPr>
                <w:rFonts w:cs="Calibri Light"/>
                <w:sz w:val="20"/>
                <w:szCs w:val="20"/>
              </w:rPr>
              <w:t>If a filing is made near the end of a year and audited statements for that year are not included, the filing must be updated with audited statements if they become available before the expected effective date, or proposed mailing date of a proxy.</w:t>
            </w:r>
          </w:p>
        </w:tc>
        <w:tc>
          <w:tcPr>
            <w:tcW w:w="1209" w:type="dxa"/>
            <w:gridSpan w:val="2"/>
            <w:tcBorders>
              <w:top w:val="single" w:sz="4" w:space="0" w:color="auto"/>
              <w:bottom w:val="single" w:sz="6" w:space="0" w:color="auto"/>
            </w:tcBorders>
            <w:vAlign w:val="bottom"/>
          </w:tcPr>
          <w:p w14:paraId="50094458"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0E8FBF62"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3BADDD28"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1E19AFA5" w14:textId="77777777" w:rsidTr="00CC36C1">
        <w:trPr>
          <w:gridBefore w:val="1"/>
          <w:wBefore w:w="17" w:type="dxa"/>
        </w:trPr>
        <w:tc>
          <w:tcPr>
            <w:tcW w:w="7483" w:type="dxa"/>
            <w:gridSpan w:val="2"/>
          </w:tcPr>
          <w:p w14:paraId="56253CE6" w14:textId="5B77B565" w:rsidR="003E0489" w:rsidRPr="004005A4" w:rsidRDefault="003E0489" w:rsidP="003E0489">
            <w:pPr>
              <w:pStyle w:val="standard"/>
              <w:numPr>
                <w:ilvl w:val="0"/>
                <w:numId w:val="101"/>
              </w:numPr>
              <w:tabs>
                <w:tab w:val="clear" w:pos="576"/>
              </w:tabs>
              <w:spacing w:before="120" w:after="120" w:line="240" w:lineRule="atLeast"/>
              <w:ind w:left="232" w:hanging="232"/>
              <w:rPr>
                <w:rFonts w:cs="Calibri Light"/>
                <w:sz w:val="20"/>
                <w:szCs w:val="20"/>
              </w:rPr>
            </w:pPr>
            <w:r w:rsidRPr="004005A4">
              <w:rPr>
                <w:rFonts w:cs="Calibri Light"/>
                <w:sz w:val="20"/>
                <w:szCs w:val="20"/>
              </w:rPr>
              <w:t xml:space="preserve">The most recent audited financial statements included in a Securities Act registration statement or in a Form 10 registration statement may not be more than one year and 45 days old when the registration becomes effective if the issuer was not subject, </w:t>
            </w:r>
            <w:r w:rsidRPr="004005A4">
              <w:rPr>
                <w:rFonts w:cs="Calibri Light"/>
                <w:sz w:val="20"/>
                <w:szCs w:val="20"/>
              </w:rPr>
              <w:lastRenderedPageBreak/>
              <w:t>immediately prior to the time of filing the registration statements, to the Exchange Act reporting requirements.</w:t>
            </w:r>
          </w:p>
        </w:tc>
        <w:tc>
          <w:tcPr>
            <w:tcW w:w="1209" w:type="dxa"/>
            <w:gridSpan w:val="2"/>
            <w:tcBorders>
              <w:top w:val="single" w:sz="6" w:space="0" w:color="auto"/>
            </w:tcBorders>
            <w:vAlign w:val="bottom"/>
          </w:tcPr>
          <w:p w14:paraId="6D9E3871"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69E82EAD"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0B5384C8"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107A461E" w14:textId="77777777" w:rsidTr="00CC36C1">
        <w:trPr>
          <w:gridBefore w:val="1"/>
          <w:wBefore w:w="17" w:type="dxa"/>
        </w:trPr>
        <w:tc>
          <w:tcPr>
            <w:tcW w:w="7483" w:type="dxa"/>
            <w:gridSpan w:val="2"/>
          </w:tcPr>
          <w:p w14:paraId="5A740F40" w14:textId="4495152E" w:rsidR="003E0489" w:rsidRPr="004005A4" w:rsidRDefault="003E0489" w:rsidP="003E0489">
            <w:pPr>
              <w:pStyle w:val="standard"/>
              <w:numPr>
                <w:ilvl w:val="0"/>
                <w:numId w:val="101"/>
              </w:numPr>
              <w:tabs>
                <w:tab w:val="clear" w:pos="576"/>
              </w:tabs>
              <w:spacing w:before="120" w:after="120" w:line="240" w:lineRule="atLeast"/>
              <w:ind w:left="232" w:hanging="232"/>
              <w:rPr>
                <w:rFonts w:cs="Calibri Light"/>
                <w:sz w:val="20"/>
                <w:szCs w:val="20"/>
              </w:rPr>
            </w:pPr>
            <w:r w:rsidRPr="004005A4">
              <w:rPr>
                <w:rFonts w:cs="Calibri Light"/>
                <w:sz w:val="20"/>
                <w:szCs w:val="20"/>
              </w:rPr>
              <w:t xml:space="preserve">Registered management investment companies, see S-X Rule 3-18 in lieu of this section.  </w:t>
            </w:r>
          </w:p>
        </w:tc>
        <w:tc>
          <w:tcPr>
            <w:tcW w:w="1209" w:type="dxa"/>
            <w:gridSpan w:val="2"/>
            <w:tcBorders>
              <w:top w:val="single" w:sz="4" w:space="0" w:color="auto"/>
              <w:bottom w:val="single" w:sz="6" w:space="0" w:color="auto"/>
            </w:tcBorders>
            <w:vAlign w:val="bottom"/>
          </w:tcPr>
          <w:p w14:paraId="317A00F0"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3082C63D"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23FBDDD7"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1CE0F6DF" w14:textId="77777777" w:rsidTr="00CC36C1">
        <w:trPr>
          <w:gridBefore w:val="1"/>
          <w:wBefore w:w="17" w:type="dxa"/>
        </w:trPr>
        <w:tc>
          <w:tcPr>
            <w:tcW w:w="7483" w:type="dxa"/>
            <w:gridSpan w:val="2"/>
          </w:tcPr>
          <w:p w14:paraId="3DE0AB8A" w14:textId="3A7490D1" w:rsidR="003E0489" w:rsidRPr="004005A4" w:rsidRDefault="003E0489" w:rsidP="003E0489">
            <w:pPr>
              <w:pStyle w:val="standard"/>
              <w:numPr>
                <w:ilvl w:val="0"/>
                <w:numId w:val="101"/>
              </w:numPr>
              <w:tabs>
                <w:tab w:val="clear" w:pos="576"/>
              </w:tabs>
              <w:spacing w:before="120" w:after="120" w:line="240" w:lineRule="atLeast"/>
              <w:ind w:left="232" w:hanging="232"/>
              <w:rPr>
                <w:rFonts w:cs="Calibri Light"/>
                <w:sz w:val="20"/>
                <w:szCs w:val="20"/>
              </w:rPr>
            </w:pPr>
            <w:r w:rsidRPr="004005A4">
              <w:rPr>
                <w:rFonts w:cs="Calibri Light"/>
                <w:sz w:val="20"/>
                <w:szCs w:val="20"/>
              </w:rPr>
              <w:t>Any foreign private issuer may file financial statements whose age is specified in Item 8.A of Form 20-F.  Financial statements of a foreign business that are furnished pursuant to S-X Rule 3-05 or 3-09 because it is an acquired business or 50 percent-or-less-owned person may be of the age specified in Item 8.A of Form 20-F.</w:t>
            </w:r>
          </w:p>
        </w:tc>
        <w:tc>
          <w:tcPr>
            <w:tcW w:w="1209" w:type="dxa"/>
            <w:gridSpan w:val="2"/>
            <w:tcBorders>
              <w:top w:val="single" w:sz="6" w:space="0" w:color="auto"/>
            </w:tcBorders>
            <w:vAlign w:val="bottom"/>
          </w:tcPr>
          <w:p w14:paraId="6F21A146"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7834F9F4"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23660BD7"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5EA477DD" w14:textId="77777777" w:rsidTr="00CC36C1">
        <w:trPr>
          <w:gridBefore w:val="1"/>
          <w:wBefore w:w="17" w:type="dxa"/>
        </w:trPr>
        <w:tc>
          <w:tcPr>
            <w:tcW w:w="7483" w:type="dxa"/>
            <w:gridSpan w:val="2"/>
          </w:tcPr>
          <w:p w14:paraId="7D6B9296" w14:textId="76D3CAE2" w:rsidR="003E0489" w:rsidRPr="004005A4" w:rsidRDefault="003E0489" w:rsidP="003E0489">
            <w:pPr>
              <w:pStyle w:val="standard"/>
              <w:numPr>
                <w:ilvl w:val="0"/>
                <w:numId w:val="101"/>
              </w:numPr>
              <w:tabs>
                <w:tab w:val="clear" w:pos="576"/>
                <w:tab w:val="clear" w:pos="1152"/>
                <w:tab w:val="clear" w:pos="1728"/>
                <w:tab w:val="clear" w:pos="2304"/>
                <w:tab w:val="clear" w:pos="2880"/>
              </w:tabs>
              <w:spacing w:before="120" w:after="120" w:line="240" w:lineRule="atLeast"/>
              <w:ind w:left="232" w:hanging="232"/>
              <w:rPr>
                <w:rFonts w:cs="Calibri Light"/>
                <w:sz w:val="20"/>
                <w:szCs w:val="20"/>
              </w:rPr>
            </w:pPr>
            <w:r w:rsidRPr="004005A4">
              <w:rPr>
                <w:rFonts w:cs="Calibri Light"/>
                <w:sz w:val="20"/>
                <w:szCs w:val="20"/>
              </w:rPr>
              <w:t>(1)</w:t>
            </w:r>
            <w:r w:rsidRPr="004005A4">
              <w:rPr>
                <w:rFonts w:cs="Calibri Light"/>
                <w:sz w:val="20"/>
                <w:szCs w:val="20"/>
              </w:rPr>
              <w:tab/>
              <w:t xml:space="preserve">For purposes of paragraph (a) of this section, the number of days shall be: </w:t>
            </w:r>
          </w:p>
          <w:p w14:paraId="22E392EF" w14:textId="77777777" w:rsidR="003E0489" w:rsidRPr="004005A4" w:rsidRDefault="003E0489" w:rsidP="003E0489">
            <w:pPr>
              <w:pStyle w:val="level4"/>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(a)</w:t>
            </w:r>
            <w:r w:rsidRPr="004005A4">
              <w:rPr>
                <w:rFonts w:cs="Calibri Light"/>
                <w:sz w:val="20"/>
                <w:szCs w:val="20"/>
              </w:rPr>
              <w:tab/>
              <w:t>130 days for large accelerated filers</w:t>
            </w:r>
          </w:p>
          <w:p w14:paraId="0F8899D8" w14:textId="77777777" w:rsidR="003E0489" w:rsidRPr="004005A4" w:rsidRDefault="003E0489" w:rsidP="003E0489">
            <w:pPr>
              <w:pStyle w:val="level3"/>
              <w:tabs>
                <w:tab w:val="clear" w:pos="576"/>
                <w:tab w:val="clear" w:pos="1152"/>
              </w:tabs>
              <w:spacing w:after="120" w:line="240" w:lineRule="atLeast"/>
              <w:ind w:left="862" w:hanging="270"/>
              <w:rPr>
                <w:rFonts w:cs="Calibri Light"/>
                <w:sz w:val="20"/>
                <w:szCs w:val="20"/>
              </w:rPr>
            </w:pPr>
            <w:r w:rsidRPr="004005A4">
              <w:rPr>
                <w:rFonts w:cs="Calibri Light"/>
                <w:sz w:val="20"/>
                <w:szCs w:val="20"/>
              </w:rPr>
              <w:t>(b)</w:t>
            </w:r>
            <w:r w:rsidRPr="004005A4">
              <w:rPr>
                <w:rFonts w:cs="Calibri Light"/>
                <w:sz w:val="20"/>
                <w:szCs w:val="20"/>
              </w:rPr>
              <w:tab/>
              <w:t xml:space="preserve">135 days for all other registrants. </w:t>
            </w:r>
          </w:p>
          <w:p w14:paraId="06829DBB" w14:textId="77777777" w:rsidR="003E0489" w:rsidRPr="004005A4" w:rsidRDefault="003E0489" w:rsidP="003E0489">
            <w:pPr>
              <w:pStyle w:val="standard"/>
              <w:tabs>
                <w:tab w:val="clear" w:pos="576"/>
                <w:tab w:val="clear" w:pos="1152"/>
                <w:tab w:val="clear" w:pos="1728"/>
                <w:tab w:val="clear" w:pos="2304"/>
                <w:tab w:val="clear" w:pos="2880"/>
              </w:tabs>
              <w:spacing w:before="120" w:after="120" w:line="240" w:lineRule="atLeast"/>
              <w:ind w:left="232"/>
              <w:rPr>
                <w:rFonts w:cs="Calibri Light"/>
                <w:sz w:val="20"/>
                <w:szCs w:val="20"/>
              </w:rPr>
            </w:pPr>
            <w:r w:rsidRPr="004005A4">
              <w:rPr>
                <w:rFonts w:cs="Calibri Light"/>
                <w:sz w:val="20"/>
                <w:szCs w:val="20"/>
              </w:rPr>
              <w:t>(2)</w:t>
            </w:r>
            <w:r w:rsidRPr="004005A4">
              <w:rPr>
                <w:rFonts w:cs="Calibri Light"/>
                <w:sz w:val="20"/>
                <w:szCs w:val="20"/>
              </w:rPr>
              <w:tab/>
              <w:t xml:space="preserve">For purposes of paragraph (b) of this section, the number of days shall be: </w:t>
            </w:r>
          </w:p>
          <w:p w14:paraId="5BE9D37E" w14:textId="77777777" w:rsidR="003E0489" w:rsidRPr="004005A4" w:rsidRDefault="003E0489" w:rsidP="003E0489">
            <w:pPr>
              <w:pStyle w:val="level4"/>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(a)</w:t>
            </w:r>
            <w:r w:rsidRPr="004005A4">
              <w:rPr>
                <w:rFonts w:cs="Calibri Light"/>
                <w:sz w:val="20"/>
                <w:szCs w:val="20"/>
              </w:rPr>
              <w:tab/>
              <w:t>60 days for large accelerated filers</w:t>
            </w:r>
          </w:p>
          <w:p w14:paraId="34636A55" w14:textId="77777777" w:rsidR="003E0489" w:rsidRPr="004005A4" w:rsidRDefault="003E0489" w:rsidP="003E0489">
            <w:pPr>
              <w:pStyle w:val="level4"/>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(b)</w:t>
            </w:r>
            <w:r w:rsidRPr="004005A4">
              <w:rPr>
                <w:rFonts w:cs="Calibri Light"/>
                <w:sz w:val="20"/>
                <w:szCs w:val="20"/>
              </w:rPr>
              <w:tab/>
              <w:t xml:space="preserve">75 days for accelerated filers </w:t>
            </w:r>
          </w:p>
          <w:p w14:paraId="64F30562" w14:textId="77777777" w:rsidR="003E0489" w:rsidRPr="004005A4" w:rsidRDefault="003E0489" w:rsidP="003E0489">
            <w:pPr>
              <w:pStyle w:val="level4"/>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(c)</w:t>
            </w:r>
            <w:r w:rsidRPr="004005A4">
              <w:rPr>
                <w:rFonts w:cs="Calibri Light"/>
                <w:sz w:val="20"/>
                <w:szCs w:val="20"/>
              </w:rPr>
              <w:tab/>
              <w:t xml:space="preserve">90 days for all other registrants. </w:t>
            </w:r>
          </w:p>
        </w:tc>
        <w:tc>
          <w:tcPr>
            <w:tcW w:w="1209" w:type="dxa"/>
            <w:gridSpan w:val="2"/>
            <w:tcBorders>
              <w:top w:val="single" w:sz="4" w:space="0" w:color="auto"/>
            </w:tcBorders>
            <w:vAlign w:val="bottom"/>
          </w:tcPr>
          <w:p w14:paraId="5A227DE1"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7844158C"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6FBA2E1"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4EAF19AD" w14:textId="77777777" w:rsidTr="00CC36C1">
        <w:trPr>
          <w:gridBefore w:val="1"/>
          <w:wBefore w:w="17" w:type="dxa"/>
        </w:trPr>
        <w:tc>
          <w:tcPr>
            <w:tcW w:w="7483" w:type="dxa"/>
            <w:gridSpan w:val="2"/>
          </w:tcPr>
          <w:p w14:paraId="6697493A" w14:textId="77777777" w:rsidR="003E0489" w:rsidRPr="004005A4" w:rsidRDefault="003E0489" w:rsidP="003E0489">
            <w:pPr>
              <w:pStyle w:val="boldstandard"/>
              <w:keepNext/>
              <w:spacing w:before="120" w:after="120" w:line="240" w:lineRule="atLeast"/>
              <w:rPr>
                <w:rFonts w:cs="Calibri Light"/>
                <w:sz w:val="20"/>
                <w:szCs w:val="20"/>
              </w:rPr>
            </w:pPr>
            <w:r w:rsidRPr="004005A4">
              <w:rPr>
                <w:rFonts w:cs="Calibri Light"/>
                <w:sz w:val="20"/>
                <w:szCs w:val="20"/>
              </w:rPr>
              <w:t>Rule 3-13 — Filing of other financial statements in certain cases.</w:t>
            </w:r>
          </w:p>
        </w:tc>
        <w:tc>
          <w:tcPr>
            <w:tcW w:w="1209" w:type="dxa"/>
            <w:gridSpan w:val="2"/>
            <w:tcBorders>
              <w:top w:val="single" w:sz="4" w:space="0" w:color="auto"/>
            </w:tcBorders>
            <w:vAlign w:val="bottom"/>
          </w:tcPr>
          <w:p w14:paraId="54E11E25"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5B4E56BE"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762A70A"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08F8CB6C" w14:textId="77777777" w:rsidTr="00CC36C1">
        <w:trPr>
          <w:gridBefore w:val="1"/>
          <w:wBefore w:w="17" w:type="dxa"/>
        </w:trPr>
        <w:tc>
          <w:tcPr>
            <w:tcW w:w="7483" w:type="dxa"/>
            <w:gridSpan w:val="2"/>
          </w:tcPr>
          <w:p w14:paraId="2E78E308" w14:textId="3852B261" w:rsidR="003E0489" w:rsidRPr="004005A4" w:rsidRDefault="003E0489" w:rsidP="003E0489">
            <w:pPr>
              <w:pStyle w:val="standard"/>
              <w:keepNext/>
              <w:spacing w:before="120" w:after="120" w:line="240" w:lineRule="atLeast"/>
              <w:rPr>
                <w:rFonts w:cs="Calibri Light"/>
                <w:sz w:val="20"/>
                <w:szCs w:val="20"/>
              </w:rPr>
            </w:pPr>
            <w:r w:rsidRPr="004005A4">
              <w:rPr>
                <w:rFonts w:cs="Calibri Light"/>
                <w:sz w:val="20"/>
                <w:szCs w:val="20"/>
              </w:rPr>
              <w:t xml:space="preserve">Upon written request, the SEC may permit the omission of one or more </w:t>
            </w:r>
            <w:r w:rsidR="00113263">
              <w:rPr>
                <w:rFonts w:cs="Calibri Light"/>
                <w:sz w:val="20"/>
                <w:szCs w:val="20"/>
              </w:rPr>
              <w:t xml:space="preserve">financial </w:t>
            </w:r>
            <w:r w:rsidRPr="004005A4">
              <w:rPr>
                <w:rFonts w:cs="Calibri Light"/>
                <w:sz w:val="20"/>
                <w:szCs w:val="20"/>
              </w:rPr>
              <w:t>statements required, or the filing of other appropriate statements.  The SEC may require the filing of other statements in addition to, or in lieu of, the statements required in any case in which such statements are needed for an adequate presentation, or for the protection of investors.</w:t>
            </w:r>
          </w:p>
        </w:tc>
        <w:tc>
          <w:tcPr>
            <w:tcW w:w="1209" w:type="dxa"/>
            <w:gridSpan w:val="2"/>
            <w:vAlign w:val="bottom"/>
          </w:tcPr>
          <w:p w14:paraId="6EAA73EF"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1C2E8359"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vAlign w:val="bottom"/>
          </w:tcPr>
          <w:p w14:paraId="3F71B9FC"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3B5E003B" w14:textId="77777777" w:rsidTr="00CC36C1">
        <w:trPr>
          <w:gridBefore w:val="1"/>
          <w:wBefore w:w="17" w:type="dxa"/>
        </w:trPr>
        <w:tc>
          <w:tcPr>
            <w:tcW w:w="7483" w:type="dxa"/>
            <w:gridSpan w:val="2"/>
          </w:tcPr>
          <w:p w14:paraId="4BA09DAA" w14:textId="77777777" w:rsidR="003E0489" w:rsidRPr="004005A4" w:rsidRDefault="003E0489" w:rsidP="003E0489">
            <w:pPr>
              <w:pStyle w:val="boldstandard"/>
              <w:spacing w:before="120" w:after="120" w:line="240" w:lineRule="atLeast"/>
              <w:rPr>
                <w:rFonts w:cs="Calibri Light"/>
                <w:sz w:val="20"/>
                <w:szCs w:val="20"/>
              </w:rPr>
            </w:pPr>
            <w:r w:rsidRPr="004005A4">
              <w:rPr>
                <w:rFonts w:cs="Calibri Light"/>
                <w:sz w:val="20"/>
                <w:szCs w:val="20"/>
              </w:rPr>
              <w:t>Rule 3-14 — Special instructions for real estate operations to be acquired.</w:t>
            </w:r>
          </w:p>
        </w:tc>
        <w:tc>
          <w:tcPr>
            <w:tcW w:w="1209" w:type="dxa"/>
            <w:gridSpan w:val="2"/>
            <w:tcBorders>
              <w:top w:val="single" w:sz="4" w:space="0" w:color="auto"/>
            </w:tcBorders>
            <w:vAlign w:val="bottom"/>
          </w:tcPr>
          <w:p w14:paraId="6BCD5BC5"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40468CAD"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D8FA947"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34DCA7C4" w14:textId="77777777" w:rsidTr="00CC36C1">
        <w:trPr>
          <w:gridBefore w:val="1"/>
          <w:wBefore w:w="17" w:type="dxa"/>
        </w:trPr>
        <w:tc>
          <w:tcPr>
            <w:tcW w:w="7483" w:type="dxa"/>
            <w:gridSpan w:val="2"/>
          </w:tcPr>
          <w:p w14:paraId="203B9F98" w14:textId="5AED0B7A" w:rsidR="003E0489" w:rsidRPr="004005A4" w:rsidRDefault="003E0489" w:rsidP="003E0489">
            <w:pPr>
              <w:pStyle w:val="standard"/>
              <w:spacing w:before="120" w:after="120" w:line="240" w:lineRule="atLeast"/>
              <w:rPr>
                <w:rFonts w:cs="Calibri Light"/>
                <w:sz w:val="20"/>
                <w:szCs w:val="20"/>
              </w:rPr>
            </w:pPr>
            <w:r w:rsidRPr="004005A4">
              <w:rPr>
                <w:rFonts w:cs="Calibri Light"/>
                <w:sz w:val="20"/>
                <w:szCs w:val="20"/>
              </w:rPr>
              <w:t xml:space="preserve">If, during the period for which statements of comprehensive income are required, the registrant has acquired one or more properties that in total are significant or, since the date of the latest balance sheet required, has acquired or proposes to acquire one or more properties that in total are significant, furnish with respect to such properties information as required under this rule.  </w:t>
            </w:r>
            <w:r>
              <w:rPr>
                <w:rFonts w:cs="Calibri Light"/>
                <w:sz w:val="20"/>
                <w:szCs w:val="20"/>
              </w:rPr>
              <w:t xml:space="preserve">Refer to Chapter 3, “Real Estate Operations Acquired or to be Acquired” of Deloitte’s </w:t>
            </w:r>
            <w:hyperlink r:id="rId42" w:history="1">
              <w:r w:rsidRPr="00000739">
                <w:rPr>
                  <w:rStyle w:val="Hyperlink"/>
                  <w:rFonts w:cs="Calibri Light"/>
                  <w:i/>
                  <w:iCs/>
                  <w:sz w:val="20"/>
                  <w:szCs w:val="20"/>
                </w:rPr>
                <w:t>SEC Reporting Considerations for Business Acquisitions</w:t>
              </w:r>
            </w:hyperlink>
            <w:r>
              <w:rPr>
                <w:rStyle w:val="Hyperlink"/>
                <w:rFonts w:cs="Calibri Light"/>
                <w:i/>
                <w:iCs/>
                <w:sz w:val="20"/>
                <w:szCs w:val="20"/>
              </w:rPr>
              <w:t xml:space="preserve"> </w:t>
            </w:r>
            <w:r w:rsidRPr="00E27715">
              <w:rPr>
                <w:rStyle w:val="Hyperlink"/>
                <w:rFonts w:cs="Calibri Light"/>
                <w:color w:val="auto"/>
                <w:sz w:val="20"/>
                <w:szCs w:val="20"/>
                <w:u w:val="none"/>
              </w:rPr>
              <w:t>Roadmap</w:t>
            </w:r>
            <w:r w:rsidRPr="00E27715">
              <w:rPr>
                <w:rFonts w:cs="Calibri Light"/>
                <w:sz w:val="20"/>
                <w:szCs w:val="20"/>
              </w:rPr>
              <w:t>.</w:t>
            </w:r>
          </w:p>
        </w:tc>
        <w:tc>
          <w:tcPr>
            <w:tcW w:w="1209" w:type="dxa"/>
            <w:gridSpan w:val="2"/>
            <w:tcBorders>
              <w:bottom w:val="single" w:sz="4" w:space="0" w:color="auto"/>
            </w:tcBorders>
            <w:vAlign w:val="bottom"/>
          </w:tcPr>
          <w:p w14:paraId="2A663AA0"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2EE3CCA4"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742E721D"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7D07CB06" w14:textId="77777777" w:rsidTr="00CC36C1">
        <w:trPr>
          <w:gridBefore w:val="1"/>
          <w:wBefore w:w="17" w:type="dxa"/>
        </w:trPr>
        <w:tc>
          <w:tcPr>
            <w:tcW w:w="7483" w:type="dxa"/>
            <w:gridSpan w:val="2"/>
          </w:tcPr>
          <w:p w14:paraId="101CCCF8" w14:textId="77777777" w:rsidR="003E0489" w:rsidRPr="004005A4" w:rsidRDefault="003E0489" w:rsidP="003E0489">
            <w:pPr>
              <w:pStyle w:val="boldstandard"/>
              <w:spacing w:before="120" w:after="120" w:line="240" w:lineRule="atLeast"/>
              <w:rPr>
                <w:rFonts w:cs="Calibri Light"/>
                <w:sz w:val="20"/>
                <w:szCs w:val="20"/>
              </w:rPr>
            </w:pPr>
            <w:r w:rsidRPr="004005A4">
              <w:rPr>
                <w:rFonts w:cs="Calibri Light"/>
                <w:sz w:val="20"/>
                <w:szCs w:val="20"/>
              </w:rPr>
              <w:t>Rule 3-15 — Special provision as to real estate investment trusts.</w:t>
            </w:r>
          </w:p>
        </w:tc>
        <w:tc>
          <w:tcPr>
            <w:tcW w:w="1209" w:type="dxa"/>
            <w:gridSpan w:val="2"/>
            <w:tcBorders>
              <w:top w:val="single" w:sz="4" w:space="0" w:color="auto"/>
            </w:tcBorders>
            <w:vAlign w:val="bottom"/>
          </w:tcPr>
          <w:p w14:paraId="3BEFF380"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7F5D522F"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A26C95D"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75BF602D" w14:textId="77777777" w:rsidTr="00CC36C1">
        <w:trPr>
          <w:gridBefore w:val="1"/>
          <w:wBefore w:w="17" w:type="dxa"/>
        </w:trPr>
        <w:tc>
          <w:tcPr>
            <w:tcW w:w="7483" w:type="dxa"/>
            <w:gridSpan w:val="2"/>
          </w:tcPr>
          <w:p w14:paraId="33500C4E" w14:textId="477CE8FB" w:rsidR="003E0489" w:rsidRPr="004005A4" w:rsidRDefault="003E0489" w:rsidP="003E0489">
            <w:pPr>
              <w:pStyle w:val="boldstandard"/>
              <w:numPr>
                <w:ilvl w:val="0"/>
                <w:numId w:val="41"/>
              </w:numPr>
              <w:tabs>
                <w:tab w:val="clear" w:pos="576"/>
              </w:tabs>
              <w:spacing w:before="120" w:after="120" w:line="240" w:lineRule="atLeast"/>
              <w:ind w:left="322" w:hanging="322"/>
              <w:rPr>
                <w:rFonts w:cs="Calibri Light"/>
                <w:b w:val="0"/>
                <w:sz w:val="20"/>
                <w:szCs w:val="20"/>
              </w:rPr>
            </w:pPr>
            <w:r w:rsidRPr="004005A4">
              <w:rPr>
                <w:rFonts w:cs="Calibri Light"/>
                <w:b w:val="0"/>
                <w:sz w:val="20"/>
                <w:szCs w:val="20"/>
              </w:rPr>
              <w:t>[Reserved]</w:t>
            </w:r>
          </w:p>
        </w:tc>
        <w:tc>
          <w:tcPr>
            <w:tcW w:w="1209" w:type="dxa"/>
            <w:gridSpan w:val="2"/>
            <w:vAlign w:val="bottom"/>
          </w:tcPr>
          <w:p w14:paraId="20F4DF5C"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6D2989C9"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vAlign w:val="bottom"/>
          </w:tcPr>
          <w:p w14:paraId="6D97DB27"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175859B5" w14:textId="77777777" w:rsidTr="00CC36C1">
        <w:trPr>
          <w:gridBefore w:val="1"/>
          <w:wBefore w:w="17" w:type="dxa"/>
        </w:trPr>
        <w:tc>
          <w:tcPr>
            <w:tcW w:w="7483" w:type="dxa"/>
            <w:gridSpan w:val="2"/>
          </w:tcPr>
          <w:p w14:paraId="4CA5CE42" w14:textId="20554BB9" w:rsidR="003E0489" w:rsidRPr="004005A4" w:rsidRDefault="003E0489" w:rsidP="003E0489">
            <w:pPr>
              <w:pStyle w:val="boldstandard"/>
              <w:numPr>
                <w:ilvl w:val="0"/>
                <w:numId w:val="41"/>
              </w:numPr>
              <w:tabs>
                <w:tab w:val="clear" w:pos="576"/>
              </w:tabs>
              <w:spacing w:before="120" w:after="120" w:line="240" w:lineRule="atLeast"/>
              <w:ind w:left="322" w:hanging="322"/>
              <w:rPr>
                <w:rFonts w:cs="Calibri Light"/>
                <w:b w:val="0"/>
                <w:sz w:val="20"/>
                <w:szCs w:val="20"/>
              </w:rPr>
            </w:pPr>
            <w:r w:rsidRPr="004005A4">
              <w:rPr>
                <w:rFonts w:cs="Calibri Light"/>
                <w:b w:val="0"/>
                <w:sz w:val="20"/>
                <w:szCs w:val="20"/>
              </w:rPr>
              <w:t>[Reserved]</w:t>
            </w:r>
          </w:p>
        </w:tc>
        <w:tc>
          <w:tcPr>
            <w:tcW w:w="1209" w:type="dxa"/>
            <w:gridSpan w:val="2"/>
            <w:vAlign w:val="bottom"/>
          </w:tcPr>
          <w:p w14:paraId="0FE68F06"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1B0992E1"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vAlign w:val="bottom"/>
          </w:tcPr>
          <w:p w14:paraId="59546FF8"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4DCAC51D" w14:textId="77777777" w:rsidTr="00CC36C1">
        <w:trPr>
          <w:gridBefore w:val="1"/>
          <w:wBefore w:w="17" w:type="dxa"/>
        </w:trPr>
        <w:tc>
          <w:tcPr>
            <w:tcW w:w="7483" w:type="dxa"/>
            <w:gridSpan w:val="2"/>
          </w:tcPr>
          <w:p w14:paraId="488EC63E" w14:textId="7D0978A7" w:rsidR="003E0489" w:rsidRPr="004005A4" w:rsidRDefault="003E0489" w:rsidP="003E0489">
            <w:pPr>
              <w:pStyle w:val="boldstandard"/>
              <w:numPr>
                <w:ilvl w:val="0"/>
                <w:numId w:val="41"/>
              </w:numPr>
              <w:tabs>
                <w:tab w:val="clear" w:pos="576"/>
              </w:tabs>
              <w:spacing w:before="120" w:after="120" w:line="240" w:lineRule="atLeast"/>
              <w:ind w:left="322" w:hanging="322"/>
              <w:rPr>
                <w:rFonts w:cs="Calibri Light"/>
                <w:b w:val="0"/>
                <w:sz w:val="20"/>
                <w:szCs w:val="20"/>
              </w:rPr>
            </w:pPr>
            <w:r w:rsidRPr="004005A4">
              <w:rPr>
                <w:rFonts w:cs="Calibri Light"/>
                <w:b w:val="0"/>
                <w:sz w:val="20"/>
                <w:szCs w:val="20"/>
              </w:rPr>
              <w:lastRenderedPageBreak/>
              <w:t>The tax status of distributions per unit shall be stated (e.g., ordinary income, capital gain, return of capital).</w:t>
            </w:r>
          </w:p>
        </w:tc>
        <w:tc>
          <w:tcPr>
            <w:tcW w:w="1209" w:type="dxa"/>
            <w:gridSpan w:val="2"/>
            <w:tcBorders>
              <w:bottom w:val="single" w:sz="4" w:space="0" w:color="auto"/>
            </w:tcBorders>
            <w:vAlign w:val="bottom"/>
          </w:tcPr>
          <w:p w14:paraId="28581A62"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56F8DD9E"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245AE332"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5F5C3F2B" w14:textId="77777777" w:rsidTr="00CC36C1">
        <w:trPr>
          <w:gridBefore w:val="1"/>
          <w:wBefore w:w="17" w:type="dxa"/>
        </w:trPr>
        <w:tc>
          <w:tcPr>
            <w:tcW w:w="7483" w:type="dxa"/>
            <w:gridSpan w:val="2"/>
          </w:tcPr>
          <w:p w14:paraId="76F8BC1A" w14:textId="77777777" w:rsidR="003E0489" w:rsidRPr="004005A4" w:rsidRDefault="003E0489" w:rsidP="003E0489">
            <w:pPr>
              <w:pStyle w:val="boldstandard"/>
              <w:keepNext/>
              <w:spacing w:before="120" w:after="120" w:line="240" w:lineRule="atLeast"/>
              <w:rPr>
                <w:rFonts w:cs="Calibri Light"/>
                <w:sz w:val="20"/>
                <w:szCs w:val="20"/>
              </w:rPr>
            </w:pPr>
            <w:r w:rsidRPr="004005A4">
              <w:rPr>
                <w:rFonts w:cs="Calibri Light"/>
                <w:sz w:val="20"/>
                <w:szCs w:val="20"/>
              </w:rPr>
              <w:t>Rule 3-16 — Financial statements of affiliates whose securities collateralize an issue registered or being registered.</w:t>
            </w:r>
          </w:p>
        </w:tc>
        <w:tc>
          <w:tcPr>
            <w:tcW w:w="1209" w:type="dxa"/>
            <w:gridSpan w:val="2"/>
            <w:tcBorders>
              <w:top w:val="single" w:sz="4" w:space="0" w:color="auto"/>
            </w:tcBorders>
            <w:vAlign w:val="bottom"/>
          </w:tcPr>
          <w:p w14:paraId="3F553818"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4355B3EE"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9E488AD"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2C5409B1" w14:textId="77777777" w:rsidTr="00CC36C1">
        <w:trPr>
          <w:gridBefore w:val="1"/>
          <w:wBefore w:w="17" w:type="dxa"/>
        </w:trPr>
        <w:tc>
          <w:tcPr>
            <w:tcW w:w="7483" w:type="dxa"/>
            <w:gridSpan w:val="2"/>
          </w:tcPr>
          <w:p w14:paraId="5618418C" w14:textId="1314A49C" w:rsidR="003E0489" w:rsidRDefault="003E0489" w:rsidP="003E0489">
            <w:pPr>
              <w:pStyle w:val="boldstandard"/>
              <w:spacing w:before="120" w:after="120" w:line="240" w:lineRule="atLeast"/>
              <w:rPr>
                <w:rFonts w:cs="Calibri Light"/>
                <w:b w:val="0"/>
                <w:bCs/>
                <w:sz w:val="20"/>
                <w:szCs w:val="20"/>
              </w:rPr>
            </w:pPr>
            <w:r w:rsidRPr="0001711D">
              <w:rPr>
                <w:rFonts w:cs="Calibri Light"/>
                <w:b w:val="0"/>
                <w:bCs/>
                <w:sz w:val="20"/>
                <w:szCs w:val="20"/>
              </w:rPr>
              <w:t>The requirements of this section shall apply to each registered security issued and outstanding before January 4, 2021, unless the requirements of</w:t>
            </w:r>
            <w:r>
              <w:rPr>
                <w:rFonts w:cs="Calibri Light"/>
                <w:b w:val="0"/>
                <w:bCs/>
                <w:sz w:val="20"/>
                <w:szCs w:val="20"/>
              </w:rPr>
              <w:t xml:space="preserve"> Rule </w:t>
            </w:r>
            <w:r w:rsidRPr="0001711D">
              <w:rPr>
                <w:rFonts w:cs="Calibri Light"/>
                <w:b w:val="0"/>
                <w:bCs/>
                <w:sz w:val="20"/>
                <w:szCs w:val="20"/>
              </w:rPr>
              <w:t>13-02 apply.</w:t>
            </w:r>
          </w:p>
          <w:p w14:paraId="4D802502" w14:textId="558D74A1" w:rsidR="003E0489" w:rsidRPr="004005A4" w:rsidRDefault="003E0489" w:rsidP="003E0489">
            <w:pPr>
              <w:pStyle w:val="ListParagraph"/>
              <w:numPr>
                <w:ilvl w:val="0"/>
                <w:numId w:val="128"/>
              </w:numPr>
              <w:shd w:val="clear" w:color="auto" w:fill="FFFFFF"/>
              <w:spacing w:before="120" w:after="120"/>
              <w:contextualSpacing w:val="0"/>
              <w:rPr>
                <w:rFonts w:cs="Calibri Light"/>
                <w:b/>
                <w:bCs/>
                <w:sz w:val="20"/>
                <w:szCs w:val="20"/>
              </w:rPr>
            </w:pPr>
            <w:r w:rsidRPr="00B81662">
              <w:rPr>
                <w:rFonts w:cs="Calibri Light"/>
                <w:bCs/>
                <w:sz w:val="20"/>
                <w:szCs w:val="20"/>
              </w:rPr>
              <w:t>For each of the registrant's affiliates whose securities constitute a substantial portion of the collateral for any class of securities registered or being registered, there shall be filed the financial statements that would be required if the affiliate were a registrant and required to file financial statements. However, financial statements need not be filed pursuant to this section for any person whose statements are otherwise separately included in the filing on an individual basis or on a basis consolidated with its subsidiaries</w:t>
            </w:r>
            <w:r w:rsidRPr="00BC2603">
              <w:rPr>
                <w:rFonts w:cs="Calibri Light"/>
                <w:bCs/>
                <w:sz w:val="20"/>
                <w:szCs w:val="20"/>
              </w:rPr>
              <w:t>.</w:t>
            </w:r>
          </w:p>
        </w:tc>
        <w:tc>
          <w:tcPr>
            <w:tcW w:w="1209" w:type="dxa"/>
            <w:gridSpan w:val="2"/>
            <w:tcBorders>
              <w:bottom w:val="single" w:sz="4" w:space="0" w:color="auto"/>
            </w:tcBorders>
            <w:vAlign w:val="bottom"/>
          </w:tcPr>
          <w:p w14:paraId="481891B9"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719B316F"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69C4573F"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18903243" w14:textId="77777777" w:rsidTr="00CC36C1">
        <w:trPr>
          <w:gridBefore w:val="1"/>
          <w:wBefore w:w="17" w:type="dxa"/>
        </w:trPr>
        <w:tc>
          <w:tcPr>
            <w:tcW w:w="7483" w:type="dxa"/>
            <w:gridSpan w:val="2"/>
          </w:tcPr>
          <w:p w14:paraId="1613DF8A" w14:textId="4C4FEE73" w:rsidR="003E0489" w:rsidRPr="0001711D" w:rsidRDefault="003E0489" w:rsidP="003E0489">
            <w:pPr>
              <w:pStyle w:val="ListParagraph"/>
              <w:numPr>
                <w:ilvl w:val="0"/>
                <w:numId w:val="128"/>
              </w:numPr>
              <w:shd w:val="clear" w:color="auto" w:fill="FFFFFF"/>
              <w:spacing w:before="120" w:after="120"/>
              <w:contextualSpacing w:val="0"/>
              <w:rPr>
                <w:rFonts w:cs="Calibri Light"/>
                <w:b/>
                <w:bCs/>
                <w:sz w:val="20"/>
                <w:szCs w:val="20"/>
              </w:rPr>
            </w:pPr>
            <w:r w:rsidRPr="0001711D">
              <w:rPr>
                <w:rFonts w:cs="Calibri Light"/>
                <w:bCs/>
                <w:sz w:val="20"/>
                <w:szCs w:val="20"/>
              </w:rPr>
              <w:t>For the purposes of this section, securities of a person shall be deemed to constitute a substantial portion of collateral if the aggregate principal amount, par value, or book value of the securities as carried by the registrant, or the market value of such securities, whichever is the greatest, equals 20 percent or more of the principal amount of the secured class of securities.</w:t>
            </w:r>
          </w:p>
        </w:tc>
        <w:tc>
          <w:tcPr>
            <w:tcW w:w="1209" w:type="dxa"/>
            <w:gridSpan w:val="2"/>
            <w:tcBorders>
              <w:bottom w:val="single" w:sz="4" w:space="0" w:color="auto"/>
            </w:tcBorders>
            <w:vAlign w:val="bottom"/>
          </w:tcPr>
          <w:p w14:paraId="13736A62"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4DC4DC63"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144790F1"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21E5AD5E" w14:textId="77777777" w:rsidTr="00CC36C1">
        <w:trPr>
          <w:gridBefore w:val="1"/>
          <w:wBefore w:w="17" w:type="dxa"/>
        </w:trPr>
        <w:tc>
          <w:tcPr>
            <w:tcW w:w="7483" w:type="dxa"/>
            <w:gridSpan w:val="2"/>
          </w:tcPr>
          <w:p w14:paraId="2F04A42B" w14:textId="77777777" w:rsidR="003E0489" w:rsidRPr="004005A4" w:rsidRDefault="003E0489" w:rsidP="003E0489">
            <w:pPr>
              <w:pStyle w:val="standard"/>
              <w:spacing w:before="120" w:after="120" w:line="240" w:lineRule="atLeast"/>
              <w:rPr>
                <w:rFonts w:cs="Calibri Light"/>
                <w:sz w:val="20"/>
                <w:szCs w:val="20"/>
              </w:rPr>
            </w:pPr>
            <w:r w:rsidRPr="004005A4">
              <w:rPr>
                <w:rFonts w:cs="Calibri Light"/>
                <w:b/>
                <w:sz w:val="20"/>
                <w:szCs w:val="20"/>
              </w:rPr>
              <w:t>Rule 3-17 — Financial statements of natural persons</w:t>
            </w:r>
            <w:r w:rsidRPr="004005A4">
              <w:rPr>
                <w:rFonts w:cs="Calibri Light"/>
                <w:sz w:val="20"/>
                <w:szCs w:val="20"/>
              </w:rPr>
              <w:t>.</w:t>
            </w:r>
          </w:p>
        </w:tc>
        <w:tc>
          <w:tcPr>
            <w:tcW w:w="1209" w:type="dxa"/>
            <w:gridSpan w:val="2"/>
            <w:tcBorders>
              <w:top w:val="single" w:sz="4" w:space="0" w:color="auto"/>
            </w:tcBorders>
            <w:vAlign w:val="bottom"/>
          </w:tcPr>
          <w:p w14:paraId="601AC96E"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7EAE698F"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41482AC"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56ABB047" w14:textId="77777777" w:rsidTr="00CC36C1">
        <w:trPr>
          <w:gridBefore w:val="1"/>
          <w:wBefore w:w="17" w:type="dxa"/>
        </w:trPr>
        <w:tc>
          <w:tcPr>
            <w:tcW w:w="7483" w:type="dxa"/>
            <w:gridSpan w:val="2"/>
          </w:tcPr>
          <w:p w14:paraId="0338C16C" w14:textId="5C1A25FF" w:rsidR="003E0489" w:rsidRPr="004005A4" w:rsidRDefault="003E0489" w:rsidP="003E0489">
            <w:pPr>
              <w:pStyle w:val="standard"/>
              <w:numPr>
                <w:ilvl w:val="0"/>
                <w:numId w:val="102"/>
              </w:numPr>
              <w:tabs>
                <w:tab w:val="clear" w:pos="576"/>
              </w:tabs>
              <w:spacing w:before="120" w:after="120" w:line="240" w:lineRule="atLeast"/>
              <w:ind w:left="322" w:hanging="322"/>
              <w:rPr>
                <w:rFonts w:cs="Calibri Light"/>
                <w:b/>
                <w:sz w:val="20"/>
                <w:szCs w:val="20"/>
              </w:rPr>
            </w:pPr>
            <w:r w:rsidRPr="004005A4">
              <w:rPr>
                <w:rFonts w:cs="Calibri Light"/>
                <w:sz w:val="20"/>
                <w:szCs w:val="20"/>
              </w:rPr>
              <w:t>In lieu of the financial statements otherwise required, a natural person may file an unaudited balance sheet as of a date within 90 days of date of filing and unaudited statements of comprehensive income for each of the three most recent fiscal years.</w:t>
            </w:r>
          </w:p>
        </w:tc>
        <w:tc>
          <w:tcPr>
            <w:tcW w:w="1209" w:type="dxa"/>
            <w:gridSpan w:val="2"/>
            <w:tcBorders>
              <w:bottom w:val="single" w:sz="4" w:space="0" w:color="auto"/>
            </w:tcBorders>
            <w:vAlign w:val="bottom"/>
          </w:tcPr>
          <w:p w14:paraId="336110A5"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2DC85D91"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7ABA4310"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28994B22" w14:textId="77777777" w:rsidTr="00CC36C1">
        <w:trPr>
          <w:gridBefore w:val="1"/>
          <w:wBefore w:w="17" w:type="dxa"/>
        </w:trPr>
        <w:tc>
          <w:tcPr>
            <w:tcW w:w="7483" w:type="dxa"/>
            <w:gridSpan w:val="2"/>
          </w:tcPr>
          <w:p w14:paraId="13966A30" w14:textId="171AAC2A" w:rsidR="003E0489" w:rsidRPr="004005A4" w:rsidRDefault="003E0489" w:rsidP="003E0489">
            <w:pPr>
              <w:pStyle w:val="standard"/>
              <w:numPr>
                <w:ilvl w:val="0"/>
                <w:numId w:val="102"/>
              </w:numPr>
              <w:tabs>
                <w:tab w:val="clear" w:pos="576"/>
              </w:tabs>
              <w:spacing w:before="120" w:after="120" w:line="240" w:lineRule="atLeast"/>
              <w:ind w:left="322" w:hanging="322"/>
              <w:rPr>
                <w:rFonts w:cs="Calibri Light"/>
                <w:b/>
                <w:sz w:val="20"/>
                <w:szCs w:val="20"/>
              </w:rPr>
            </w:pPr>
            <w:r w:rsidRPr="004005A4">
              <w:rPr>
                <w:rFonts w:cs="Calibri Light"/>
                <w:sz w:val="20"/>
                <w:szCs w:val="20"/>
              </w:rPr>
              <w:t>Financial statements conforming with the instructions as to financial statements of subsidiaries not consolidated and 50 percent or less owned persons under §210.3-09 (a) shall be separately presented for: (1) each business owned as a sole proprietor, (2) each partnership, business trust, unincorporated association, or similar business organization of which the person holds a controlling interest and (3) each corporation of which the person, directly or indirectly, owns securities representing more than 50 percent of the voting power.</w:t>
            </w:r>
          </w:p>
        </w:tc>
        <w:tc>
          <w:tcPr>
            <w:tcW w:w="1209" w:type="dxa"/>
            <w:gridSpan w:val="2"/>
            <w:tcBorders>
              <w:top w:val="single" w:sz="4" w:space="0" w:color="auto"/>
              <w:bottom w:val="single" w:sz="4" w:space="0" w:color="auto"/>
            </w:tcBorders>
            <w:vAlign w:val="bottom"/>
          </w:tcPr>
          <w:p w14:paraId="0C74777A"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6B183419"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A938671"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306DD4B9" w14:textId="77777777" w:rsidTr="00CC36C1">
        <w:trPr>
          <w:gridBefore w:val="1"/>
          <w:wBefore w:w="17" w:type="dxa"/>
        </w:trPr>
        <w:tc>
          <w:tcPr>
            <w:tcW w:w="7483" w:type="dxa"/>
            <w:gridSpan w:val="2"/>
          </w:tcPr>
          <w:p w14:paraId="1BE42607" w14:textId="0102D035" w:rsidR="003E0489" w:rsidRPr="004005A4" w:rsidRDefault="003E0489" w:rsidP="003E0489">
            <w:pPr>
              <w:pStyle w:val="standard"/>
              <w:numPr>
                <w:ilvl w:val="0"/>
                <w:numId w:val="102"/>
              </w:numPr>
              <w:tabs>
                <w:tab w:val="clear" w:pos="576"/>
              </w:tabs>
              <w:spacing w:before="120" w:after="120" w:line="240" w:lineRule="atLeast"/>
              <w:ind w:left="322" w:hanging="322"/>
              <w:rPr>
                <w:rFonts w:cs="Calibri Light"/>
                <w:b/>
                <w:sz w:val="20"/>
                <w:szCs w:val="20"/>
              </w:rPr>
            </w:pPr>
            <w:r w:rsidRPr="004005A4">
              <w:rPr>
                <w:rFonts w:cs="Calibri Light"/>
                <w:sz w:val="20"/>
                <w:szCs w:val="20"/>
              </w:rPr>
              <w:t xml:space="preserve">Separate financial statements may be omitted, however, for each corporation, business trust, unincorporated association, or similar business organization if the person’s total investment in such entity does not exceed 5% of his total assets </w:t>
            </w:r>
            <w:r w:rsidRPr="004005A4">
              <w:rPr>
                <w:rFonts w:cs="Calibri Light"/>
                <w:i/>
                <w:iCs/>
                <w:sz w:val="20"/>
                <w:szCs w:val="20"/>
              </w:rPr>
              <w:t>and</w:t>
            </w:r>
            <w:r w:rsidRPr="004005A4">
              <w:rPr>
                <w:rFonts w:cs="Calibri Light"/>
                <w:sz w:val="20"/>
                <w:szCs w:val="20"/>
              </w:rPr>
              <w:t xml:space="preserve"> the person’s total income from such entity does not exceed 5% of his gross income; </w:t>
            </w:r>
            <w:r w:rsidRPr="004005A4">
              <w:rPr>
                <w:rFonts w:cs="Calibri Light"/>
                <w:i/>
                <w:iCs/>
                <w:sz w:val="20"/>
                <w:szCs w:val="20"/>
              </w:rPr>
              <w:t>provided</w:t>
            </w:r>
            <w:r w:rsidRPr="004005A4">
              <w:rPr>
                <w:rFonts w:cs="Calibri Light"/>
                <w:iCs/>
                <w:sz w:val="20"/>
                <w:szCs w:val="20"/>
              </w:rPr>
              <w:t>,</w:t>
            </w:r>
            <w:r w:rsidRPr="004005A4">
              <w:rPr>
                <w:rFonts w:cs="Calibri Light"/>
                <w:sz w:val="20"/>
                <w:szCs w:val="20"/>
              </w:rPr>
              <w:t xml:space="preserve"> that the person’s aggregate investment in and income from all such omitted entities shall not exceed 15% of his total assets and gross income, respectively.</w:t>
            </w:r>
          </w:p>
        </w:tc>
        <w:tc>
          <w:tcPr>
            <w:tcW w:w="1209" w:type="dxa"/>
            <w:gridSpan w:val="2"/>
            <w:tcBorders>
              <w:top w:val="single" w:sz="4" w:space="0" w:color="auto"/>
              <w:bottom w:val="single" w:sz="4" w:space="0" w:color="auto"/>
            </w:tcBorders>
            <w:vAlign w:val="bottom"/>
          </w:tcPr>
          <w:p w14:paraId="1A93A9BF"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2DE3B7A4"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408CB59"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57643AFA" w14:textId="77777777" w:rsidTr="00CC36C1">
        <w:trPr>
          <w:gridBefore w:val="1"/>
          <w:wBefore w:w="17" w:type="dxa"/>
        </w:trPr>
        <w:tc>
          <w:tcPr>
            <w:tcW w:w="7483" w:type="dxa"/>
            <w:gridSpan w:val="2"/>
          </w:tcPr>
          <w:p w14:paraId="00868A50" w14:textId="77777777" w:rsidR="003E0489" w:rsidRPr="004005A4" w:rsidRDefault="003E0489" w:rsidP="003E0489">
            <w:pPr>
              <w:pStyle w:val="standard"/>
              <w:spacing w:before="120" w:after="120" w:line="240" w:lineRule="atLeast"/>
              <w:rPr>
                <w:rFonts w:cs="Calibri Light"/>
                <w:b/>
                <w:sz w:val="20"/>
                <w:szCs w:val="20"/>
              </w:rPr>
            </w:pPr>
            <w:r w:rsidRPr="004005A4">
              <w:rPr>
                <w:rFonts w:cs="Calibri Light"/>
                <w:b/>
                <w:sz w:val="20"/>
                <w:szCs w:val="20"/>
              </w:rPr>
              <w:t>Rule 3-18 — Special provisions as to registered management investment companies and companies required to be registered as management investment companies</w:t>
            </w:r>
            <w:r w:rsidRPr="004005A4">
              <w:rPr>
                <w:rFonts w:cs="Calibri Light"/>
                <w:sz w:val="20"/>
                <w:szCs w:val="20"/>
              </w:rPr>
              <w:t>.</w:t>
            </w:r>
          </w:p>
        </w:tc>
        <w:tc>
          <w:tcPr>
            <w:tcW w:w="1209" w:type="dxa"/>
            <w:gridSpan w:val="2"/>
            <w:tcBorders>
              <w:top w:val="single" w:sz="4" w:space="0" w:color="auto"/>
            </w:tcBorders>
            <w:vAlign w:val="bottom"/>
          </w:tcPr>
          <w:p w14:paraId="4474CF04"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5036AFE2"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D0657D4"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2737265A" w14:textId="77777777" w:rsidTr="00CC36C1">
        <w:trPr>
          <w:gridBefore w:val="1"/>
          <w:wBefore w:w="17" w:type="dxa"/>
        </w:trPr>
        <w:tc>
          <w:tcPr>
            <w:tcW w:w="7483" w:type="dxa"/>
            <w:gridSpan w:val="2"/>
          </w:tcPr>
          <w:p w14:paraId="3B37764B" w14:textId="77777777" w:rsidR="003E0489" w:rsidRPr="004005A4" w:rsidRDefault="003E0489" w:rsidP="003E0489">
            <w:pPr>
              <w:pStyle w:val="standard"/>
              <w:numPr>
                <w:ilvl w:val="0"/>
                <w:numId w:val="103"/>
              </w:numPr>
              <w:tabs>
                <w:tab w:val="clear" w:pos="576"/>
              </w:tabs>
              <w:spacing w:before="120" w:after="120" w:line="240" w:lineRule="atLeast"/>
              <w:ind w:left="412"/>
              <w:rPr>
                <w:rFonts w:cs="Calibri Light"/>
                <w:sz w:val="20"/>
                <w:szCs w:val="20"/>
              </w:rPr>
            </w:pPr>
            <w:r w:rsidRPr="004005A4">
              <w:rPr>
                <w:rFonts w:cs="Calibri Light"/>
                <w:sz w:val="20"/>
                <w:szCs w:val="20"/>
              </w:rPr>
              <w:lastRenderedPageBreak/>
              <w:t>For filings by registered management investment companies, the following financial statements shall be filed:</w:t>
            </w:r>
          </w:p>
          <w:p w14:paraId="59C1DD2F" w14:textId="77777777" w:rsidR="003E0489" w:rsidRPr="004005A4" w:rsidRDefault="003E0489" w:rsidP="003E0489">
            <w:pPr>
              <w:pStyle w:val="standard"/>
              <w:tabs>
                <w:tab w:val="clear" w:pos="576"/>
                <w:tab w:val="clear" w:pos="1152"/>
                <w:tab w:val="clear" w:pos="1728"/>
                <w:tab w:val="clear" w:pos="2304"/>
                <w:tab w:val="clear" w:pos="2880"/>
              </w:tabs>
              <w:spacing w:before="120" w:after="120" w:line="240" w:lineRule="atLeast"/>
              <w:ind w:left="682" w:hanging="270"/>
              <w:rPr>
                <w:rFonts w:cs="Calibri Light"/>
                <w:sz w:val="20"/>
                <w:szCs w:val="20"/>
              </w:rPr>
            </w:pPr>
            <w:r w:rsidRPr="004005A4">
              <w:rPr>
                <w:rFonts w:cs="Calibri Light"/>
                <w:sz w:val="20"/>
                <w:szCs w:val="20"/>
              </w:rPr>
              <w:t>(1)</w:t>
            </w:r>
            <w:r w:rsidRPr="004005A4">
              <w:rPr>
                <w:rFonts w:cs="Calibri Light"/>
                <w:sz w:val="20"/>
                <w:szCs w:val="20"/>
              </w:rPr>
              <w:tab/>
              <w:t>An audited balance sheet or statement of assets and liabilities as of the end of the most recent fiscal year.</w:t>
            </w:r>
          </w:p>
          <w:p w14:paraId="7D4F27EA" w14:textId="4740BBA8" w:rsidR="003E0489" w:rsidRPr="004005A4" w:rsidRDefault="003E0489" w:rsidP="003E0489">
            <w:pPr>
              <w:pStyle w:val="standard"/>
              <w:tabs>
                <w:tab w:val="clear" w:pos="576"/>
                <w:tab w:val="clear" w:pos="1152"/>
                <w:tab w:val="clear" w:pos="1728"/>
                <w:tab w:val="clear" w:pos="2304"/>
                <w:tab w:val="clear" w:pos="2880"/>
              </w:tabs>
              <w:spacing w:before="120" w:after="120" w:line="240" w:lineRule="atLeast"/>
              <w:ind w:left="682" w:hanging="270"/>
              <w:rPr>
                <w:rFonts w:cs="Calibri Light"/>
                <w:b/>
                <w:bCs/>
                <w:sz w:val="20"/>
                <w:szCs w:val="20"/>
              </w:rPr>
            </w:pPr>
            <w:r w:rsidRPr="548EBB82">
              <w:rPr>
                <w:rFonts w:cs="Calibri Light"/>
                <w:sz w:val="20"/>
                <w:szCs w:val="20"/>
              </w:rPr>
              <w:t>(2)</w:t>
            </w:r>
            <w:r>
              <w:tab/>
            </w:r>
            <w:r w:rsidRPr="548EBB82">
              <w:rPr>
                <w:rFonts w:cs="Calibri Light"/>
                <w:sz w:val="20"/>
                <w:szCs w:val="20"/>
              </w:rPr>
              <w:t>An audited statement of operations for the most recent fiscal year conforming to the requirements of S-X Rule 6-07.</w:t>
            </w:r>
          </w:p>
          <w:p w14:paraId="60BB4606" w14:textId="77777777" w:rsidR="003E0489" w:rsidRPr="004005A4" w:rsidRDefault="003E0489" w:rsidP="003E0489">
            <w:pPr>
              <w:pStyle w:val="standard"/>
              <w:tabs>
                <w:tab w:val="clear" w:pos="576"/>
                <w:tab w:val="clear" w:pos="1152"/>
                <w:tab w:val="clear" w:pos="1728"/>
                <w:tab w:val="clear" w:pos="2304"/>
                <w:tab w:val="clear" w:pos="2880"/>
              </w:tabs>
              <w:spacing w:before="120" w:after="120" w:line="240" w:lineRule="atLeast"/>
              <w:ind w:left="682" w:hanging="270"/>
              <w:rPr>
                <w:rFonts w:cs="Calibri Light"/>
                <w:b/>
                <w:sz w:val="20"/>
                <w:szCs w:val="20"/>
              </w:rPr>
            </w:pPr>
            <w:r w:rsidRPr="004005A4">
              <w:rPr>
                <w:rFonts w:cs="Calibri Light"/>
                <w:sz w:val="20"/>
                <w:szCs w:val="20"/>
              </w:rPr>
              <w:t>(3)</w:t>
            </w:r>
            <w:r w:rsidRPr="004005A4">
              <w:rPr>
                <w:rFonts w:cs="Calibri Light"/>
                <w:sz w:val="20"/>
                <w:szCs w:val="20"/>
              </w:rPr>
              <w:tab/>
              <w:t>An audited statement of cash flows for the most recent fiscal year, if necessary to comply with GAAP. [Further references in this rule to the requirement for such statement are likewise applicable only to the extent that they are consistent with the requirements of GAAP.]</w:t>
            </w:r>
          </w:p>
          <w:p w14:paraId="0B7A4480" w14:textId="196BF4AD" w:rsidR="003E0489" w:rsidRPr="004005A4" w:rsidRDefault="003E0489" w:rsidP="003E0489">
            <w:pPr>
              <w:pStyle w:val="standard"/>
              <w:tabs>
                <w:tab w:val="clear" w:pos="576"/>
                <w:tab w:val="clear" w:pos="1152"/>
                <w:tab w:val="clear" w:pos="1728"/>
                <w:tab w:val="clear" w:pos="2304"/>
                <w:tab w:val="clear" w:pos="2880"/>
              </w:tabs>
              <w:spacing w:before="120" w:after="120" w:line="240" w:lineRule="atLeast"/>
              <w:ind w:left="682" w:hanging="270"/>
              <w:rPr>
                <w:rFonts w:cs="Calibri Light"/>
                <w:b/>
                <w:bCs/>
                <w:sz w:val="20"/>
                <w:szCs w:val="20"/>
              </w:rPr>
            </w:pPr>
            <w:r w:rsidRPr="548EBB82">
              <w:rPr>
                <w:rFonts w:cs="Calibri Light"/>
                <w:sz w:val="20"/>
                <w:szCs w:val="20"/>
              </w:rPr>
              <w:t>(4)</w:t>
            </w:r>
            <w:r>
              <w:tab/>
            </w:r>
            <w:r w:rsidRPr="548EBB82">
              <w:rPr>
                <w:rFonts w:cs="Calibri Light"/>
                <w:sz w:val="20"/>
                <w:szCs w:val="20"/>
              </w:rPr>
              <w:t>Audited statements of changes in net assets conforming to the requirements of S-X Rule 6-09 for the two most recent fiscal years.</w:t>
            </w:r>
          </w:p>
        </w:tc>
        <w:tc>
          <w:tcPr>
            <w:tcW w:w="1209" w:type="dxa"/>
            <w:gridSpan w:val="2"/>
            <w:tcBorders>
              <w:bottom w:val="single" w:sz="4" w:space="0" w:color="auto"/>
            </w:tcBorders>
            <w:vAlign w:val="bottom"/>
          </w:tcPr>
          <w:p w14:paraId="6CA2A0B0"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35FB7700"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0B11069B"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6FB923E4" w14:textId="77777777" w:rsidTr="00CC36C1">
        <w:trPr>
          <w:gridBefore w:val="1"/>
          <w:wBefore w:w="17" w:type="dxa"/>
        </w:trPr>
        <w:tc>
          <w:tcPr>
            <w:tcW w:w="7483" w:type="dxa"/>
            <w:gridSpan w:val="2"/>
          </w:tcPr>
          <w:p w14:paraId="09C70D76" w14:textId="1A482AB8" w:rsidR="003E0489" w:rsidRPr="004005A4" w:rsidRDefault="003E0489" w:rsidP="0001501A">
            <w:pPr>
              <w:pStyle w:val="standard"/>
              <w:numPr>
                <w:ilvl w:val="0"/>
                <w:numId w:val="103"/>
              </w:numPr>
              <w:tabs>
                <w:tab w:val="clear" w:pos="576"/>
              </w:tabs>
              <w:spacing w:before="120" w:after="120" w:line="240" w:lineRule="atLeast"/>
              <w:ind w:left="417"/>
              <w:rPr>
                <w:rFonts w:cs="Calibri Light"/>
                <w:b/>
                <w:sz w:val="20"/>
                <w:szCs w:val="20"/>
              </w:rPr>
            </w:pPr>
            <w:r w:rsidRPr="004005A4">
              <w:rPr>
                <w:rFonts w:cs="Calibri Light"/>
                <w:sz w:val="20"/>
                <w:szCs w:val="20"/>
              </w:rPr>
              <w:t>If the filing is made within 60 days after the end of the registrant’s fiscal year and audited financial statements for the most recent fiscal year are not available, the balance sheet or statement of assets and liabilities may be as of the end of the preceding fiscal year and the filing shall include an additional balance sheet or statement of assets and liabilities as of an interim date within 245 days of the date of filing. In addition, the statements of operations and cash flows (if required by GAAP) shall be provided for the preceding fiscal year and the statement of changes in net assets shall be provided for the two preceding fiscal years and each of the statements shall be provided for the interim period between the end of the preceding fiscal year and the date of the most recent balance sheet or statement of assets and liabilities being filed. Financial statements for the corresponding period of the preceding fiscal year need not be provided.</w:t>
            </w:r>
          </w:p>
        </w:tc>
        <w:tc>
          <w:tcPr>
            <w:tcW w:w="1209" w:type="dxa"/>
            <w:gridSpan w:val="2"/>
            <w:tcBorders>
              <w:top w:val="single" w:sz="4" w:space="0" w:color="auto"/>
              <w:bottom w:val="single" w:sz="4" w:space="0" w:color="auto"/>
            </w:tcBorders>
            <w:vAlign w:val="bottom"/>
          </w:tcPr>
          <w:p w14:paraId="345C1546"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4BA8FB1E"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CB67BD3"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0DD62FED" w14:textId="77777777" w:rsidTr="00CC36C1">
        <w:trPr>
          <w:gridBefore w:val="1"/>
          <w:wBefore w:w="17" w:type="dxa"/>
        </w:trPr>
        <w:tc>
          <w:tcPr>
            <w:tcW w:w="7483" w:type="dxa"/>
            <w:gridSpan w:val="2"/>
          </w:tcPr>
          <w:p w14:paraId="2CA2E4A8" w14:textId="48204D74" w:rsidR="003E0489" w:rsidRPr="004005A4" w:rsidRDefault="003E0489" w:rsidP="003E0489">
            <w:pPr>
              <w:pStyle w:val="standard"/>
              <w:tabs>
                <w:tab w:val="clear" w:pos="576"/>
              </w:tabs>
              <w:spacing w:before="120" w:after="120" w:line="240" w:lineRule="atLeast"/>
              <w:ind w:left="412" w:hanging="270"/>
              <w:rPr>
                <w:rFonts w:cs="Calibri Light"/>
                <w:b/>
                <w:sz w:val="20"/>
                <w:szCs w:val="20"/>
              </w:rPr>
            </w:pPr>
            <w:r w:rsidRPr="004005A4">
              <w:rPr>
                <w:rFonts w:cs="Calibri Light"/>
                <w:sz w:val="20"/>
                <w:szCs w:val="20"/>
              </w:rPr>
              <w:t>c</w:t>
            </w:r>
            <w:r>
              <w:rPr>
                <w:rFonts w:cs="Calibri Light"/>
                <w:sz w:val="20"/>
                <w:szCs w:val="20"/>
              </w:rPr>
              <w:t>.</w:t>
            </w:r>
            <w:r w:rsidRPr="004005A4">
              <w:rPr>
                <w:rFonts w:cs="Calibri Light"/>
                <w:sz w:val="20"/>
                <w:szCs w:val="20"/>
              </w:rPr>
              <w:tab/>
              <w:t>If the most current balance sheet or statement of assets and liabilities in a filing is as of a date 245 days or more prior to the date the filing is expected to become effective, the financial statements shall be updated with a balance sheet or statement of assets and liabilities as of an interim date within 245 days. In addition, the statements of operations, cash flows, and changes in net assets shall be provided for the interim period between the end of the most recent fiscal year for which a balance sheet or statement of assets and liabilities is presented and the date of the most recent interim balance sheet or statement of assets and liabilities filed.</w:t>
            </w:r>
          </w:p>
        </w:tc>
        <w:tc>
          <w:tcPr>
            <w:tcW w:w="1209" w:type="dxa"/>
            <w:gridSpan w:val="2"/>
            <w:tcBorders>
              <w:top w:val="single" w:sz="4" w:space="0" w:color="auto"/>
              <w:bottom w:val="single" w:sz="4" w:space="0" w:color="auto"/>
            </w:tcBorders>
            <w:vAlign w:val="bottom"/>
          </w:tcPr>
          <w:p w14:paraId="002ABA35"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02362713"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285B0A2"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60E1D8F6" w14:textId="77777777" w:rsidTr="00CC36C1">
        <w:trPr>
          <w:gridBefore w:val="1"/>
          <w:wBefore w:w="17" w:type="dxa"/>
        </w:trPr>
        <w:tc>
          <w:tcPr>
            <w:tcW w:w="7483" w:type="dxa"/>
            <w:gridSpan w:val="2"/>
          </w:tcPr>
          <w:p w14:paraId="6CF95F1A" w14:textId="3239C9EE" w:rsidR="003E0489" w:rsidRPr="004005A4" w:rsidRDefault="003E0489" w:rsidP="003E0489">
            <w:pPr>
              <w:pStyle w:val="standard"/>
              <w:tabs>
                <w:tab w:val="clear" w:pos="576"/>
              </w:tabs>
              <w:spacing w:before="120" w:after="120" w:line="240" w:lineRule="atLeast"/>
              <w:ind w:left="412" w:hanging="270"/>
              <w:rPr>
                <w:rFonts w:cs="Calibri Light"/>
                <w:b/>
                <w:sz w:val="20"/>
                <w:szCs w:val="20"/>
              </w:rPr>
            </w:pPr>
            <w:r w:rsidRPr="004005A4">
              <w:rPr>
                <w:rFonts w:cs="Calibri Light"/>
                <w:sz w:val="20"/>
                <w:szCs w:val="20"/>
              </w:rPr>
              <w:t>d</w:t>
            </w:r>
            <w:r>
              <w:rPr>
                <w:rFonts w:cs="Calibri Light"/>
                <w:sz w:val="20"/>
                <w:szCs w:val="20"/>
              </w:rPr>
              <w:t>.</w:t>
            </w:r>
            <w:r w:rsidRPr="004005A4">
              <w:rPr>
                <w:rFonts w:cs="Calibri Light"/>
                <w:sz w:val="20"/>
                <w:szCs w:val="20"/>
              </w:rPr>
              <w:tab/>
              <w:t>Interim financial statements provided in accordance with these requirements may be unaudited but shall be presented in the same detail as required by S-X Rule 6-01 to 6-1</w:t>
            </w:r>
            <w:r>
              <w:rPr>
                <w:rFonts w:cs="Calibri Light"/>
                <w:sz w:val="20"/>
                <w:szCs w:val="20"/>
              </w:rPr>
              <w:t>1</w:t>
            </w:r>
            <w:r w:rsidRPr="004005A4">
              <w:rPr>
                <w:rFonts w:cs="Calibri Light"/>
                <w:sz w:val="20"/>
                <w:szCs w:val="20"/>
              </w:rPr>
              <w:t>. When unaudited financial statements are presented in a registration statement, they shall include the statement required by S-X Rule 3-03(d).</w:t>
            </w:r>
          </w:p>
        </w:tc>
        <w:tc>
          <w:tcPr>
            <w:tcW w:w="1209" w:type="dxa"/>
            <w:gridSpan w:val="2"/>
            <w:tcBorders>
              <w:top w:val="single" w:sz="4" w:space="0" w:color="auto"/>
              <w:bottom w:val="single" w:sz="4" w:space="0" w:color="auto"/>
            </w:tcBorders>
            <w:vAlign w:val="bottom"/>
          </w:tcPr>
          <w:p w14:paraId="35C257A4"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7BA8F755"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C256008"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37BD6688" w14:textId="77777777" w:rsidTr="00CC36C1">
        <w:trPr>
          <w:gridBefore w:val="1"/>
          <w:wBefore w:w="17" w:type="dxa"/>
        </w:trPr>
        <w:tc>
          <w:tcPr>
            <w:tcW w:w="7483" w:type="dxa"/>
            <w:gridSpan w:val="2"/>
          </w:tcPr>
          <w:p w14:paraId="534D4F33" w14:textId="77777777" w:rsidR="003E0489" w:rsidRPr="004005A4" w:rsidRDefault="003E0489" w:rsidP="003E0489">
            <w:pPr>
              <w:pStyle w:val="standard"/>
              <w:keepNext/>
              <w:spacing w:before="120" w:after="120" w:line="240" w:lineRule="atLeast"/>
              <w:rPr>
                <w:rFonts w:cs="Calibri Light"/>
                <w:b/>
                <w:sz w:val="20"/>
                <w:szCs w:val="20"/>
              </w:rPr>
            </w:pPr>
            <w:r w:rsidRPr="004005A4">
              <w:rPr>
                <w:rFonts w:cs="Calibri Light"/>
                <w:b/>
                <w:sz w:val="20"/>
                <w:szCs w:val="20"/>
              </w:rPr>
              <w:lastRenderedPageBreak/>
              <w:t>Rule 3-20 — Currency for financial statements of foreign private issuers</w:t>
            </w:r>
            <w:r w:rsidRPr="004005A4">
              <w:rPr>
                <w:rFonts w:cs="Calibri Light"/>
                <w:sz w:val="20"/>
                <w:szCs w:val="20"/>
              </w:rPr>
              <w:t>.</w:t>
            </w:r>
          </w:p>
        </w:tc>
        <w:tc>
          <w:tcPr>
            <w:tcW w:w="1209" w:type="dxa"/>
            <w:gridSpan w:val="2"/>
            <w:tcBorders>
              <w:top w:val="single" w:sz="4" w:space="0" w:color="auto"/>
            </w:tcBorders>
            <w:vAlign w:val="bottom"/>
          </w:tcPr>
          <w:p w14:paraId="57E43EB4"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6A465DCC"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8895638" w14:textId="77777777" w:rsidR="003E0489" w:rsidRPr="004005A4" w:rsidRDefault="003E0489" w:rsidP="003E0489">
            <w:pPr>
              <w:spacing w:before="120" w:after="120" w:line="240" w:lineRule="atLeast"/>
              <w:jc w:val="center"/>
              <w:rPr>
                <w:rFonts w:cs="Calibri Light"/>
                <w:b/>
                <w:sz w:val="20"/>
                <w:szCs w:val="20"/>
              </w:rPr>
            </w:pPr>
          </w:p>
        </w:tc>
      </w:tr>
      <w:tr w:rsidR="003E0489" w:rsidRPr="004005A4" w14:paraId="3A7AE88E" w14:textId="77777777" w:rsidTr="00CC36C1">
        <w:trPr>
          <w:gridBefore w:val="1"/>
          <w:wBefore w:w="17" w:type="dxa"/>
        </w:trPr>
        <w:tc>
          <w:tcPr>
            <w:tcW w:w="7483" w:type="dxa"/>
            <w:gridSpan w:val="2"/>
          </w:tcPr>
          <w:p w14:paraId="6A89DA98" w14:textId="3B654B10" w:rsidR="003E0489" w:rsidRPr="004005A4" w:rsidRDefault="003E0489" w:rsidP="00D7481A">
            <w:pPr>
              <w:pStyle w:val="standard"/>
              <w:keepNext/>
              <w:tabs>
                <w:tab w:val="clear" w:pos="576"/>
              </w:tabs>
              <w:spacing w:before="120" w:after="120" w:line="240" w:lineRule="atLeast"/>
              <w:ind w:left="418" w:hanging="274"/>
              <w:rPr>
                <w:rFonts w:cs="Calibri Light"/>
                <w:sz w:val="20"/>
                <w:szCs w:val="20"/>
              </w:rPr>
            </w:pPr>
            <w:r w:rsidRPr="004005A4">
              <w:rPr>
                <w:rFonts w:cs="Calibri Light"/>
                <w:sz w:val="20"/>
                <w:szCs w:val="20"/>
              </w:rPr>
              <w:t>a</w:t>
            </w:r>
            <w:r>
              <w:rPr>
                <w:rFonts w:cs="Calibri Light"/>
                <w:sz w:val="20"/>
                <w:szCs w:val="20"/>
              </w:rPr>
              <w:t>.</w:t>
            </w:r>
            <w:r w:rsidRPr="004005A4">
              <w:rPr>
                <w:rFonts w:cs="Calibri Light"/>
                <w:sz w:val="20"/>
                <w:szCs w:val="20"/>
              </w:rPr>
              <w:tab/>
            </w:r>
          </w:p>
          <w:p w14:paraId="08AE29EF" w14:textId="061D2279" w:rsidR="003E0489" w:rsidRPr="004005A4" w:rsidRDefault="003E0489" w:rsidP="003E0489">
            <w:pPr>
              <w:pStyle w:val="standard"/>
              <w:tabs>
                <w:tab w:val="clear" w:pos="576"/>
                <w:tab w:val="clear" w:pos="1152"/>
                <w:tab w:val="clear" w:pos="1728"/>
                <w:tab w:val="clear" w:pos="2304"/>
                <w:tab w:val="clear" w:pos="2880"/>
              </w:tabs>
              <w:spacing w:before="120" w:after="120" w:line="240" w:lineRule="atLeast"/>
              <w:ind w:left="682" w:hanging="270"/>
              <w:rPr>
                <w:rFonts w:cs="Calibri Light"/>
                <w:sz w:val="20"/>
                <w:szCs w:val="20"/>
              </w:rPr>
            </w:pPr>
            <w:r w:rsidRPr="004005A4">
              <w:rPr>
                <w:rFonts w:cs="Calibri Light"/>
                <w:sz w:val="20"/>
                <w:szCs w:val="20"/>
              </w:rPr>
              <w:t>(1)</w:t>
            </w:r>
            <w:r w:rsidRPr="004005A4">
              <w:rPr>
                <w:rFonts w:cs="Calibri Light"/>
                <w:sz w:val="20"/>
                <w:szCs w:val="20"/>
              </w:rPr>
              <w:tab/>
              <w:t>A foreign private issuer, as defined in §230.405 of this chapter, shall state amounts in its primary financial statements in the currency which it deems appropriate.</w:t>
            </w:r>
          </w:p>
          <w:p w14:paraId="78132E1E" w14:textId="27131797" w:rsidR="003E0489" w:rsidRPr="004005A4" w:rsidRDefault="003E0489" w:rsidP="003E0489">
            <w:pPr>
              <w:pStyle w:val="standard"/>
              <w:tabs>
                <w:tab w:val="clear" w:pos="576"/>
                <w:tab w:val="clear" w:pos="1152"/>
                <w:tab w:val="clear" w:pos="1728"/>
                <w:tab w:val="clear" w:pos="2304"/>
                <w:tab w:val="clear" w:pos="2880"/>
              </w:tabs>
              <w:spacing w:before="120" w:after="120" w:line="240" w:lineRule="atLeast"/>
              <w:ind w:left="682" w:hanging="270"/>
              <w:rPr>
                <w:rFonts w:cs="Calibri Light"/>
                <w:b/>
                <w:sz w:val="20"/>
                <w:szCs w:val="20"/>
              </w:rPr>
            </w:pPr>
            <w:r w:rsidRPr="004005A4">
              <w:rPr>
                <w:rFonts w:cs="Calibri Light"/>
                <w:sz w:val="20"/>
                <w:szCs w:val="20"/>
              </w:rPr>
              <w:t>(2)</w:t>
            </w:r>
            <w:r w:rsidRPr="004005A4">
              <w:rPr>
                <w:rFonts w:cs="Calibri Light"/>
                <w:sz w:val="20"/>
                <w:szCs w:val="20"/>
              </w:rPr>
              <w:tab/>
              <w:t>An issuer that is not a foreign private issuer shall present its financial statements in U.S. dollars.</w:t>
            </w:r>
          </w:p>
        </w:tc>
        <w:tc>
          <w:tcPr>
            <w:tcW w:w="1209" w:type="dxa"/>
            <w:gridSpan w:val="2"/>
            <w:tcBorders>
              <w:bottom w:val="single" w:sz="4" w:space="0" w:color="auto"/>
            </w:tcBorders>
            <w:vAlign w:val="bottom"/>
          </w:tcPr>
          <w:p w14:paraId="12DD3661" w14:textId="77777777" w:rsidR="003E0489" w:rsidRPr="004005A4" w:rsidRDefault="003E0489" w:rsidP="003E0489">
            <w:pPr>
              <w:spacing w:before="120" w:after="120" w:line="240" w:lineRule="atLeast"/>
              <w:jc w:val="center"/>
              <w:rPr>
                <w:rFonts w:cs="Calibri Light"/>
                <w:b/>
                <w:sz w:val="20"/>
                <w:szCs w:val="20"/>
              </w:rPr>
            </w:pPr>
          </w:p>
        </w:tc>
        <w:tc>
          <w:tcPr>
            <w:tcW w:w="236" w:type="dxa"/>
            <w:gridSpan w:val="3"/>
            <w:vAlign w:val="bottom"/>
          </w:tcPr>
          <w:p w14:paraId="4B7BD5EB" w14:textId="77777777" w:rsidR="003E0489" w:rsidRPr="004005A4" w:rsidRDefault="003E0489" w:rsidP="003E0489">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68CA786D" w14:textId="77777777" w:rsidR="003E0489" w:rsidRPr="004005A4" w:rsidRDefault="003E0489" w:rsidP="003E0489">
            <w:pPr>
              <w:spacing w:before="120" w:after="120" w:line="240" w:lineRule="atLeast"/>
              <w:jc w:val="center"/>
              <w:rPr>
                <w:rFonts w:cs="Calibri Light"/>
                <w:b/>
                <w:sz w:val="20"/>
                <w:szCs w:val="20"/>
              </w:rPr>
            </w:pPr>
          </w:p>
        </w:tc>
      </w:tr>
      <w:tr w:rsidR="006F3A86" w:rsidRPr="004005A4" w14:paraId="2A2C5C57" w14:textId="77777777" w:rsidTr="00CC36C1">
        <w:trPr>
          <w:gridBefore w:val="1"/>
          <w:wBefore w:w="17" w:type="dxa"/>
        </w:trPr>
        <w:tc>
          <w:tcPr>
            <w:tcW w:w="7483" w:type="dxa"/>
            <w:gridSpan w:val="2"/>
          </w:tcPr>
          <w:p w14:paraId="764FA357" w14:textId="143E0F57" w:rsidR="006F3A86" w:rsidRPr="004005A4" w:rsidRDefault="006F3A86" w:rsidP="006F3A86">
            <w:pPr>
              <w:pStyle w:val="standard"/>
              <w:tabs>
                <w:tab w:val="clear" w:pos="576"/>
              </w:tabs>
              <w:spacing w:before="120" w:after="120" w:line="240" w:lineRule="atLeast"/>
              <w:ind w:left="412" w:hanging="270"/>
              <w:rPr>
                <w:rFonts w:cs="Calibri Light"/>
                <w:sz w:val="20"/>
                <w:szCs w:val="20"/>
              </w:rPr>
            </w:pPr>
            <w:r w:rsidRPr="004005A4">
              <w:rPr>
                <w:rFonts w:cs="Calibri Light"/>
                <w:sz w:val="20"/>
                <w:szCs w:val="20"/>
              </w:rPr>
              <w:t>b</w:t>
            </w:r>
            <w:r>
              <w:rPr>
                <w:rFonts w:cs="Calibri Light"/>
                <w:sz w:val="20"/>
                <w:szCs w:val="20"/>
              </w:rPr>
              <w:t>.</w:t>
            </w:r>
            <w:r w:rsidRPr="004005A4">
              <w:rPr>
                <w:rFonts w:cs="Calibri Light"/>
                <w:sz w:val="20"/>
                <w:szCs w:val="20"/>
              </w:rPr>
              <w:tab/>
            </w:r>
          </w:p>
          <w:p w14:paraId="18386C33" w14:textId="6DDD14F2" w:rsidR="006F3A86" w:rsidRPr="004005A4" w:rsidRDefault="006F3A86" w:rsidP="006F3A86">
            <w:pPr>
              <w:pStyle w:val="standard"/>
              <w:tabs>
                <w:tab w:val="clear" w:pos="576"/>
                <w:tab w:val="clear" w:pos="1152"/>
                <w:tab w:val="clear" w:pos="1728"/>
                <w:tab w:val="clear" w:pos="2304"/>
                <w:tab w:val="clear" w:pos="2880"/>
              </w:tabs>
              <w:spacing w:before="120" w:after="120" w:line="240" w:lineRule="atLeast"/>
              <w:ind w:left="682" w:hanging="270"/>
              <w:rPr>
                <w:rFonts w:cs="Calibri Light"/>
                <w:sz w:val="20"/>
                <w:szCs w:val="20"/>
              </w:rPr>
            </w:pPr>
            <w:r w:rsidRPr="004005A4">
              <w:rPr>
                <w:rFonts w:cs="Calibri Light"/>
                <w:sz w:val="20"/>
                <w:szCs w:val="20"/>
              </w:rPr>
              <w:t>(1)</w:t>
            </w:r>
            <w:r w:rsidRPr="004005A4">
              <w:rPr>
                <w:rFonts w:cs="Calibri Light"/>
                <w:sz w:val="20"/>
                <w:szCs w:val="20"/>
              </w:rPr>
              <w:tab/>
              <w:t>The currency in which amounts in the financial statements are stated shall be disclosed prominently on the face of the financial statements. If dividends on publicly-held equity securities will be declared in a currency other than the reporting currency, a note to the financial statements shall identify that currency. If there are material exchange restrictions or controls relating to the issuer’s reporting currency, the currency of the issuer’s domicile, or the currency in which the issuer will pay dividends, prominent disclosure of this fact shall be made in the financial statements. If the reporting currency is not the U.S. dollar, dollar-equivalent financial statements or convenience translations shall not be presented, except a translation may be presented of the most recent fiscal year and any subsequent interim period presented using the exchange rate as of the most recent balance sheet included in the filing, except that a rate as of the most recent practicable date shall be used if materially different.</w:t>
            </w:r>
          </w:p>
        </w:tc>
        <w:tc>
          <w:tcPr>
            <w:tcW w:w="1209" w:type="dxa"/>
            <w:gridSpan w:val="2"/>
            <w:tcBorders>
              <w:bottom w:val="single" w:sz="4" w:space="0" w:color="auto"/>
            </w:tcBorders>
            <w:vAlign w:val="bottom"/>
          </w:tcPr>
          <w:p w14:paraId="479BA77C"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9751A69" w14:textId="77777777" w:rsidR="006F3A86" w:rsidRPr="004005A4" w:rsidRDefault="006F3A86" w:rsidP="006F3A86">
            <w:pPr>
              <w:spacing w:before="120" w:after="120" w:line="240" w:lineRule="atLeast"/>
              <w:jc w:val="center"/>
              <w:rPr>
                <w:rStyle w:val="CommentReference"/>
                <w:rFonts w:cs="Calibri Light"/>
                <w:i/>
                <w:sz w:val="20"/>
                <w:szCs w:val="20"/>
              </w:rPr>
            </w:pPr>
          </w:p>
        </w:tc>
        <w:tc>
          <w:tcPr>
            <w:tcW w:w="1181" w:type="dxa"/>
            <w:gridSpan w:val="2"/>
            <w:tcBorders>
              <w:bottom w:val="single" w:sz="4" w:space="0" w:color="auto"/>
            </w:tcBorders>
            <w:vAlign w:val="bottom"/>
          </w:tcPr>
          <w:p w14:paraId="5C830A3B"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58395D4" w14:textId="77777777" w:rsidTr="00CC36C1">
        <w:trPr>
          <w:gridBefore w:val="1"/>
          <w:wBefore w:w="17" w:type="dxa"/>
        </w:trPr>
        <w:tc>
          <w:tcPr>
            <w:tcW w:w="7483" w:type="dxa"/>
            <w:gridSpan w:val="2"/>
          </w:tcPr>
          <w:p w14:paraId="047CD816" w14:textId="4C709F6D" w:rsidR="006F3A86" w:rsidRPr="004005A4" w:rsidDel="00EB2B43" w:rsidRDefault="006F3A86" w:rsidP="006F3A86">
            <w:pPr>
              <w:pStyle w:val="standard"/>
              <w:tabs>
                <w:tab w:val="clear" w:pos="576"/>
              </w:tabs>
              <w:spacing w:before="120" w:after="120" w:line="240" w:lineRule="atLeast"/>
              <w:ind w:left="412" w:hanging="270"/>
              <w:rPr>
                <w:rFonts w:cs="Calibri Light"/>
                <w:sz w:val="20"/>
                <w:szCs w:val="20"/>
              </w:rPr>
            </w:pPr>
            <w:r w:rsidRPr="004005A4">
              <w:rPr>
                <w:rFonts w:cs="Calibri Light"/>
                <w:sz w:val="20"/>
                <w:szCs w:val="20"/>
              </w:rPr>
              <w:t>(2)</w:t>
            </w:r>
            <w:r w:rsidRPr="004005A4">
              <w:rPr>
                <w:rFonts w:cs="Calibri Light"/>
                <w:sz w:val="20"/>
                <w:szCs w:val="20"/>
              </w:rPr>
              <w:tab/>
              <w:t>If there are material exchange restrictions or controls relating to the currency of a subsidiary’s domicile, the currency held by a subsidiary, or the currency in which a subsidiary will pay dividends or transfer funds to the issuer or other subsidiaries, prominent disclosure of this fact shall be made in the financial statements.</w:t>
            </w:r>
          </w:p>
        </w:tc>
        <w:tc>
          <w:tcPr>
            <w:tcW w:w="1209" w:type="dxa"/>
            <w:gridSpan w:val="2"/>
            <w:tcBorders>
              <w:bottom w:val="single" w:sz="4" w:space="0" w:color="auto"/>
            </w:tcBorders>
            <w:vAlign w:val="bottom"/>
          </w:tcPr>
          <w:p w14:paraId="447A7F3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A6E1AF2" w14:textId="77777777" w:rsidR="006F3A86" w:rsidRPr="004005A4" w:rsidRDefault="006F3A86" w:rsidP="006F3A86">
            <w:pPr>
              <w:spacing w:before="120" w:after="120" w:line="240" w:lineRule="atLeast"/>
              <w:jc w:val="center"/>
              <w:rPr>
                <w:rStyle w:val="CommentReference"/>
                <w:rFonts w:cs="Calibri Light"/>
                <w:i/>
                <w:sz w:val="20"/>
                <w:szCs w:val="20"/>
              </w:rPr>
            </w:pPr>
          </w:p>
        </w:tc>
        <w:tc>
          <w:tcPr>
            <w:tcW w:w="1181" w:type="dxa"/>
            <w:gridSpan w:val="2"/>
            <w:tcBorders>
              <w:bottom w:val="single" w:sz="4" w:space="0" w:color="auto"/>
            </w:tcBorders>
            <w:vAlign w:val="bottom"/>
          </w:tcPr>
          <w:p w14:paraId="5D0C8CD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0E88CCA" w14:textId="77777777" w:rsidTr="00CC36C1">
        <w:trPr>
          <w:gridBefore w:val="1"/>
          <w:wBefore w:w="17" w:type="dxa"/>
        </w:trPr>
        <w:tc>
          <w:tcPr>
            <w:tcW w:w="7483" w:type="dxa"/>
            <w:gridSpan w:val="2"/>
          </w:tcPr>
          <w:p w14:paraId="02DF4675" w14:textId="2F4C8462" w:rsidR="006F3A86" w:rsidRPr="004005A4" w:rsidRDefault="006F3A86" w:rsidP="006F3A86">
            <w:pPr>
              <w:pStyle w:val="standard"/>
              <w:tabs>
                <w:tab w:val="clear" w:pos="576"/>
              </w:tabs>
              <w:spacing w:before="120" w:after="120" w:line="240" w:lineRule="atLeast"/>
              <w:ind w:left="412" w:hanging="270"/>
              <w:rPr>
                <w:rFonts w:cs="Calibri Light"/>
                <w:sz w:val="20"/>
                <w:szCs w:val="20"/>
              </w:rPr>
            </w:pPr>
            <w:r w:rsidRPr="004005A4">
              <w:rPr>
                <w:rFonts w:cs="Calibri Light"/>
                <w:sz w:val="20"/>
                <w:szCs w:val="20"/>
              </w:rPr>
              <w:t>c</w:t>
            </w:r>
            <w:r>
              <w:rPr>
                <w:rFonts w:cs="Calibri Light"/>
                <w:sz w:val="20"/>
                <w:szCs w:val="20"/>
              </w:rPr>
              <w:t>.</w:t>
            </w:r>
            <w:r w:rsidRPr="004005A4">
              <w:rPr>
                <w:rFonts w:cs="Calibri Light"/>
                <w:sz w:val="20"/>
                <w:szCs w:val="20"/>
              </w:rPr>
              <w:tab/>
              <w:t>If the financial statements of a foreign private issuer are stated in a currency of a country that has experienced cumulative inflationary effects exceeding a total of 100 percent over the most recent three-year period, and have not been recast or otherwise supplemented to include information on a historical cost/constant currency or current cost basis prescribed or permitted by appropriate authoritative standards, the issuer shall present supplementary information to quantify the effects of changing prices upon its financial position and results of operations.</w:t>
            </w:r>
          </w:p>
        </w:tc>
        <w:tc>
          <w:tcPr>
            <w:tcW w:w="1209" w:type="dxa"/>
            <w:gridSpan w:val="2"/>
            <w:tcBorders>
              <w:bottom w:val="single" w:sz="4" w:space="0" w:color="auto"/>
            </w:tcBorders>
            <w:vAlign w:val="bottom"/>
          </w:tcPr>
          <w:p w14:paraId="4A9EA99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3DD7481" w14:textId="77777777" w:rsidR="006F3A86" w:rsidRPr="004005A4" w:rsidRDefault="006F3A86" w:rsidP="006F3A86">
            <w:pPr>
              <w:spacing w:before="120" w:after="120" w:line="240" w:lineRule="atLeast"/>
              <w:jc w:val="center"/>
              <w:rPr>
                <w:rStyle w:val="CommentReference"/>
                <w:rFonts w:cs="Calibri Light"/>
                <w:i/>
                <w:sz w:val="20"/>
                <w:szCs w:val="20"/>
              </w:rPr>
            </w:pPr>
          </w:p>
        </w:tc>
        <w:tc>
          <w:tcPr>
            <w:tcW w:w="1181" w:type="dxa"/>
            <w:gridSpan w:val="2"/>
            <w:tcBorders>
              <w:bottom w:val="single" w:sz="4" w:space="0" w:color="auto"/>
            </w:tcBorders>
            <w:vAlign w:val="bottom"/>
          </w:tcPr>
          <w:p w14:paraId="21CB578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89465B5" w14:textId="77777777" w:rsidTr="00CC36C1">
        <w:trPr>
          <w:gridBefore w:val="1"/>
          <w:wBefore w:w="17" w:type="dxa"/>
        </w:trPr>
        <w:tc>
          <w:tcPr>
            <w:tcW w:w="7483" w:type="dxa"/>
            <w:gridSpan w:val="2"/>
          </w:tcPr>
          <w:p w14:paraId="446DD934" w14:textId="26E52AC2" w:rsidR="006F3A86" w:rsidRPr="004005A4" w:rsidRDefault="006F3A86" w:rsidP="006F3A86">
            <w:pPr>
              <w:pStyle w:val="standard"/>
              <w:tabs>
                <w:tab w:val="clear" w:pos="576"/>
              </w:tabs>
              <w:spacing w:before="120" w:after="120" w:line="240" w:lineRule="atLeast"/>
              <w:ind w:left="412" w:hanging="270"/>
              <w:rPr>
                <w:rFonts w:cs="Calibri Light"/>
                <w:sz w:val="20"/>
                <w:szCs w:val="20"/>
              </w:rPr>
            </w:pPr>
            <w:r w:rsidRPr="004005A4">
              <w:rPr>
                <w:rFonts w:cs="Calibri Light"/>
                <w:sz w:val="20"/>
                <w:szCs w:val="20"/>
              </w:rPr>
              <w:t>d</w:t>
            </w:r>
            <w:r>
              <w:rPr>
                <w:rFonts w:cs="Calibri Light"/>
                <w:sz w:val="20"/>
                <w:szCs w:val="20"/>
              </w:rPr>
              <w:t>.</w:t>
            </w:r>
            <w:r w:rsidRPr="004005A4">
              <w:rPr>
                <w:rFonts w:cs="Calibri Light"/>
                <w:sz w:val="20"/>
                <w:szCs w:val="20"/>
              </w:rPr>
              <w:tab/>
              <w:t>Notwithstanding the currency used for reporting purposes, the issuer shall measure separately its own transactions, and those of each of its material operations (</w:t>
            </w:r>
            <w:r w:rsidRPr="004005A4">
              <w:rPr>
                <w:rFonts w:cs="Calibri Light"/>
                <w:iCs/>
                <w:sz w:val="20"/>
                <w:szCs w:val="20"/>
              </w:rPr>
              <w:t>e.g</w:t>
            </w:r>
            <w:r w:rsidRPr="004005A4">
              <w:rPr>
                <w:rFonts w:cs="Calibri Light"/>
                <w:sz w:val="20"/>
                <w:szCs w:val="20"/>
              </w:rPr>
              <w:t xml:space="preserve">., branches, divisions, subsidiaries, joint ventures, and similar entities) that is included in the issuer’s consolidated financial statements and not located in a hyperinflationary environment, using the particular currency of the primary economic environment in which the issuer or the operation conducts its business. Assets and liabilities so determined shall be translated into the reporting currency at the exchange rate at the balance-sheet date; all revenues, expenses, gains, and </w:t>
            </w:r>
            <w:r w:rsidRPr="004005A4">
              <w:rPr>
                <w:rFonts w:cs="Calibri Light"/>
                <w:sz w:val="20"/>
                <w:szCs w:val="20"/>
              </w:rPr>
              <w:lastRenderedPageBreak/>
              <w:t>losses shall be translated at the exchange rate existing at the time of the transaction or, if appropriate, a weighted average of the exchange rates during the period; and all translation effects of exchange rate changes shall be included as a separate component (“cumulative translation adjustment”) of shareholders’ equity. For purposes of this paragraph, the currency of an operation’s primary economic environment is normally the currency in which cash is primarily generated and expended; a hyperinflationary environment is one that has cumulative inflation of approximately 100% or more over the most recent three-year period. Departures from the methodology presented in this paragraph shall be quantified pursuant to Items 17(c)(2) of Form 20-F (§249.220f of this chapter).</w:t>
            </w:r>
          </w:p>
        </w:tc>
        <w:tc>
          <w:tcPr>
            <w:tcW w:w="1209" w:type="dxa"/>
            <w:gridSpan w:val="2"/>
            <w:tcBorders>
              <w:top w:val="single" w:sz="4" w:space="0" w:color="auto"/>
              <w:bottom w:val="single" w:sz="4" w:space="0" w:color="auto"/>
            </w:tcBorders>
            <w:vAlign w:val="bottom"/>
          </w:tcPr>
          <w:p w14:paraId="4532861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E4F1744"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B3C6FA7"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B030F31" w14:textId="77777777" w:rsidTr="00CC36C1">
        <w:trPr>
          <w:gridBefore w:val="1"/>
          <w:wBefore w:w="17" w:type="dxa"/>
        </w:trPr>
        <w:tc>
          <w:tcPr>
            <w:tcW w:w="7483" w:type="dxa"/>
            <w:gridSpan w:val="2"/>
          </w:tcPr>
          <w:p w14:paraId="500EBD53" w14:textId="416B752F" w:rsidR="006F3A86" w:rsidRPr="004005A4" w:rsidRDefault="006F3A86" w:rsidP="006F3A86">
            <w:pPr>
              <w:pStyle w:val="standard"/>
              <w:tabs>
                <w:tab w:val="clear" w:pos="576"/>
              </w:tabs>
              <w:spacing w:before="120" w:after="120" w:line="240" w:lineRule="atLeast"/>
              <w:ind w:left="412" w:hanging="270"/>
              <w:rPr>
                <w:rFonts w:cs="Calibri Light"/>
                <w:sz w:val="20"/>
                <w:szCs w:val="20"/>
              </w:rPr>
            </w:pPr>
            <w:r w:rsidRPr="004005A4">
              <w:rPr>
                <w:rFonts w:cs="Calibri Light"/>
                <w:sz w:val="20"/>
                <w:szCs w:val="20"/>
              </w:rPr>
              <w:t>e</w:t>
            </w:r>
            <w:r>
              <w:rPr>
                <w:rFonts w:cs="Calibri Light"/>
                <w:sz w:val="20"/>
                <w:szCs w:val="20"/>
              </w:rPr>
              <w:t>.</w:t>
            </w:r>
            <w:r w:rsidRPr="004005A4">
              <w:rPr>
                <w:rFonts w:cs="Calibri Light"/>
                <w:sz w:val="20"/>
                <w:szCs w:val="20"/>
              </w:rPr>
              <w:tab/>
              <w:t>The issuer shall state its primary financial statements in the same currency for all periods for which financial information is presented. If the financial statements are stated in a currency that is different from that used in financial statements previously filed with the Commission, the issuer shall recast its financial statements as if the newly adopted currency had been used since at least the earliest period presented in the filing. The decision to change and the reason for the change in the reporting currency shall be disclosed in a note to the financial statements in the period in which the change occurs.</w:t>
            </w:r>
          </w:p>
        </w:tc>
        <w:tc>
          <w:tcPr>
            <w:tcW w:w="1209" w:type="dxa"/>
            <w:gridSpan w:val="2"/>
            <w:tcBorders>
              <w:top w:val="single" w:sz="4" w:space="0" w:color="auto"/>
              <w:bottom w:val="single" w:sz="4" w:space="0" w:color="auto"/>
            </w:tcBorders>
            <w:vAlign w:val="bottom"/>
          </w:tcPr>
          <w:p w14:paraId="6081FA8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5761EE1" w14:textId="77777777" w:rsidR="006F3A86" w:rsidRPr="004005A4" w:rsidRDefault="006F3A86" w:rsidP="006F3A86">
            <w:pPr>
              <w:spacing w:before="120" w:after="120" w:line="240" w:lineRule="atLeast"/>
              <w:jc w:val="center"/>
              <w:rPr>
                <w:rStyle w:val="CommentReference"/>
                <w:rFonts w:cs="Calibri Light"/>
                <w:i/>
                <w:sz w:val="20"/>
                <w:szCs w:val="20"/>
              </w:rPr>
            </w:pPr>
          </w:p>
        </w:tc>
        <w:tc>
          <w:tcPr>
            <w:tcW w:w="1181" w:type="dxa"/>
            <w:gridSpan w:val="2"/>
            <w:tcBorders>
              <w:top w:val="single" w:sz="4" w:space="0" w:color="auto"/>
              <w:bottom w:val="single" w:sz="4" w:space="0" w:color="auto"/>
            </w:tcBorders>
            <w:vAlign w:val="bottom"/>
          </w:tcPr>
          <w:p w14:paraId="4F8BA343"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CD27F74" w14:textId="77777777" w:rsidTr="00CC36C1">
        <w:trPr>
          <w:gridBefore w:val="1"/>
          <w:wBefore w:w="17" w:type="dxa"/>
        </w:trPr>
        <w:tc>
          <w:tcPr>
            <w:tcW w:w="7483" w:type="dxa"/>
            <w:gridSpan w:val="2"/>
          </w:tcPr>
          <w:p w14:paraId="7F6A9A12" w14:textId="77777777" w:rsidR="006F3A86" w:rsidRPr="004005A4" w:rsidRDefault="006F3A86" w:rsidP="006F3A86">
            <w:pPr>
              <w:pStyle w:val="FormTableHeaderRow"/>
              <w:rPr>
                <w:rFonts w:cs="Calibri Light"/>
                <w:sz w:val="20"/>
                <w:szCs w:val="20"/>
              </w:rPr>
            </w:pPr>
            <w:bookmarkStart w:id="17" w:name="_ARTICLE_3A._CONSOLIDATED"/>
            <w:bookmarkEnd w:id="17"/>
            <w:r w:rsidRPr="004005A4">
              <w:rPr>
                <w:rFonts w:cs="Calibri Light"/>
                <w:sz w:val="20"/>
                <w:szCs w:val="20"/>
              </w:rPr>
              <w:t xml:space="preserve">ARTICLE 3A. CONSOLIDATED AND COMBINED FINANCIAL STATEMENTS </w:t>
            </w:r>
          </w:p>
        </w:tc>
        <w:tc>
          <w:tcPr>
            <w:tcW w:w="1209" w:type="dxa"/>
            <w:gridSpan w:val="2"/>
            <w:tcBorders>
              <w:top w:val="single" w:sz="4" w:space="0" w:color="auto"/>
            </w:tcBorders>
            <w:vAlign w:val="bottom"/>
          </w:tcPr>
          <w:p w14:paraId="37A5AB7C"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9B0932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6094616"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C9BB3BC" w14:textId="77777777" w:rsidTr="00CC36C1">
        <w:trPr>
          <w:gridBefore w:val="1"/>
          <w:wBefore w:w="17" w:type="dxa"/>
        </w:trPr>
        <w:tc>
          <w:tcPr>
            <w:tcW w:w="7483" w:type="dxa"/>
            <w:gridSpan w:val="2"/>
          </w:tcPr>
          <w:p w14:paraId="79AD4DCB" w14:textId="5E7454A8" w:rsidR="006F3A86" w:rsidRPr="004005A4" w:rsidRDefault="006F3A86" w:rsidP="006F3A86">
            <w:pPr>
              <w:pStyle w:val="standard"/>
              <w:spacing w:before="120" w:after="120" w:line="240" w:lineRule="atLeast"/>
              <w:rPr>
                <w:rFonts w:cs="Calibri Light"/>
                <w:b/>
                <w:sz w:val="20"/>
                <w:szCs w:val="20"/>
              </w:rPr>
            </w:pPr>
            <w:r>
              <w:rPr>
                <w:rFonts w:cs="Calibri Light"/>
                <w:b/>
                <w:sz w:val="20"/>
                <w:szCs w:val="20"/>
              </w:rPr>
              <w:t>Rule 3A-01 - [Removed and Reserved]</w:t>
            </w:r>
          </w:p>
        </w:tc>
        <w:tc>
          <w:tcPr>
            <w:tcW w:w="1209" w:type="dxa"/>
            <w:gridSpan w:val="2"/>
            <w:vAlign w:val="bottom"/>
          </w:tcPr>
          <w:p w14:paraId="088E4C6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614BA7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74416A66"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4ED3FBA" w14:textId="77777777" w:rsidTr="00CC36C1">
        <w:trPr>
          <w:gridBefore w:val="1"/>
          <w:wBefore w:w="17" w:type="dxa"/>
        </w:trPr>
        <w:tc>
          <w:tcPr>
            <w:tcW w:w="7483" w:type="dxa"/>
            <w:gridSpan w:val="2"/>
          </w:tcPr>
          <w:p w14:paraId="4C4ADD55" w14:textId="77777777" w:rsidR="006F3A86" w:rsidRPr="004005A4" w:rsidRDefault="006F3A86" w:rsidP="006F3A86">
            <w:pPr>
              <w:pStyle w:val="standard"/>
              <w:spacing w:before="120" w:after="120" w:line="240" w:lineRule="atLeast"/>
              <w:rPr>
                <w:rFonts w:cs="Calibri Light"/>
                <w:b/>
                <w:sz w:val="20"/>
                <w:szCs w:val="20"/>
              </w:rPr>
            </w:pPr>
            <w:r w:rsidRPr="004005A4">
              <w:rPr>
                <w:rFonts w:cs="Calibri Light"/>
                <w:b/>
                <w:sz w:val="20"/>
                <w:szCs w:val="20"/>
              </w:rPr>
              <w:t>Rule 3A-02 — Consolidated financial statements of registrant and its subsidiaries.</w:t>
            </w:r>
          </w:p>
        </w:tc>
        <w:tc>
          <w:tcPr>
            <w:tcW w:w="1209" w:type="dxa"/>
            <w:gridSpan w:val="2"/>
            <w:vAlign w:val="bottom"/>
          </w:tcPr>
          <w:p w14:paraId="6F19DBE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E15CE1C"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3590F3F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2493368" w14:textId="77777777" w:rsidTr="00CC36C1">
        <w:trPr>
          <w:gridBefore w:val="1"/>
          <w:wBefore w:w="17" w:type="dxa"/>
        </w:trPr>
        <w:tc>
          <w:tcPr>
            <w:tcW w:w="7483" w:type="dxa"/>
            <w:gridSpan w:val="2"/>
          </w:tcPr>
          <w:p w14:paraId="7B846EA3" w14:textId="6331C21A" w:rsidR="006F3A86" w:rsidRPr="004005A4" w:rsidRDefault="006F3A86" w:rsidP="006F3A86">
            <w:pPr>
              <w:pStyle w:val="standard"/>
              <w:spacing w:before="120" w:after="120" w:line="240" w:lineRule="atLeast"/>
              <w:rPr>
                <w:rFonts w:cs="Calibri Light"/>
                <w:b/>
                <w:sz w:val="20"/>
                <w:szCs w:val="20"/>
              </w:rPr>
            </w:pPr>
            <w:r w:rsidRPr="009F1985">
              <w:rPr>
                <w:rFonts w:cs="Calibri Light"/>
                <w:sz w:val="20"/>
                <w:szCs w:val="20"/>
                <w:shd w:val="clear" w:color="auto" w:fill="FFFFFF"/>
              </w:rPr>
              <w:t>In deciding upon consolidation policy, the registrant must consider what financial presentation is most meaningful in the circumstances and should follow in the consolidated financial statements principles of inclusion or exclusion which will clearly exhibit the financial position and results of operations of the registrant. There is a presumption that consolidated financial statements are more meaningful than separate financial statements and that they are usually necessary for a fair presentation when one entity directly or indirectly has a controlling financial interest in another entity. Other particular facts and circumstances may require combined financial statements, an equity method of accounting, or valuation allowances in order to achieve a fair presentation.</w:t>
            </w:r>
          </w:p>
        </w:tc>
        <w:tc>
          <w:tcPr>
            <w:tcW w:w="1209" w:type="dxa"/>
            <w:gridSpan w:val="2"/>
            <w:tcBorders>
              <w:bottom w:val="single" w:sz="4" w:space="0" w:color="auto"/>
            </w:tcBorders>
            <w:vAlign w:val="bottom"/>
          </w:tcPr>
          <w:p w14:paraId="2295596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692A2F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52820D6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982F6BB" w14:textId="77777777" w:rsidTr="00CC36C1">
        <w:trPr>
          <w:gridBefore w:val="1"/>
          <w:wBefore w:w="17" w:type="dxa"/>
        </w:trPr>
        <w:tc>
          <w:tcPr>
            <w:tcW w:w="7483" w:type="dxa"/>
            <w:gridSpan w:val="2"/>
          </w:tcPr>
          <w:p w14:paraId="4C163E12" w14:textId="13673DB7" w:rsidR="006F3A86" w:rsidRPr="004366D5" w:rsidRDefault="006F3A86" w:rsidP="0001501A">
            <w:pPr>
              <w:pStyle w:val="standard"/>
              <w:keepNext/>
              <w:numPr>
                <w:ilvl w:val="0"/>
                <w:numId w:val="104"/>
              </w:numPr>
              <w:tabs>
                <w:tab w:val="clear" w:pos="576"/>
              </w:tabs>
              <w:spacing w:before="120" w:after="120" w:line="240" w:lineRule="atLeast"/>
              <w:ind w:left="232" w:hanging="232"/>
              <w:rPr>
                <w:rFonts w:cs="Calibri Light"/>
                <w:b/>
                <w:sz w:val="20"/>
                <w:szCs w:val="20"/>
              </w:rPr>
            </w:pPr>
            <w:r w:rsidRPr="004005A4">
              <w:rPr>
                <w:rFonts w:cs="Calibri Light"/>
                <w:b/>
                <w:sz w:val="20"/>
                <w:szCs w:val="20"/>
              </w:rPr>
              <w:lastRenderedPageBreak/>
              <w:t>Majority ownership:</w:t>
            </w:r>
            <w:r w:rsidRPr="004005A4">
              <w:rPr>
                <w:rFonts w:cs="Calibri Light"/>
                <w:sz w:val="20"/>
                <w:szCs w:val="20"/>
              </w:rPr>
              <w:t xml:space="preserve"> Among the factors that the registrant should consider in determining the most meaningful presentation is majority ownership. Generally, registrants shall consolidate entities that are majority-owned and shall not consolidate entities that are not majority-owned. The determination of “majority ownership” requires a careful analysis of the facts and circumstances.  </w:t>
            </w:r>
            <w:r w:rsidRPr="009F1985">
              <w:rPr>
                <w:rFonts w:cs="Calibri Light"/>
                <w:sz w:val="20"/>
                <w:szCs w:val="20"/>
                <w:shd w:val="clear" w:color="auto" w:fill="FFFFFF"/>
              </w:rPr>
              <w:t xml:space="preserve"> In rare situations, consolidation of a majority owned subsidiary may not result in a fair presentation, because the registrant, in substance, does not have a controlling financial interest (for example, when the subsidiary is in legal reorganization or in bankruptcy). In other situations, consolidation of an entity, notwithstanding the lack of technical majority ownership, is necessary to present fairly the financial position and results of operations of the registrant, because of the existence of a parent-subsidiary relationship by means other than record ownership of voting stock.</w:t>
            </w:r>
          </w:p>
          <w:p w14:paraId="2D461AD0" w14:textId="3B23B8F9" w:rsidR="006F3A86" w:rsidRPr="004005A4" w:rsidRDefault="006F3A86" w:rsidP="0001501A">
            <w:pPr>
              <w:pStyle w:val="standard"/>
              <w:keepNext/>
              <w:tabs>
                <w:tab w:val="clear" w:pos="576"/>
              </w:tabs>
              <w:spacing w:before="120" w:after="120" w:line="240" w:lineRule="atLeast"/>
              <w:ind w:left="232"/>
              <w:rPr>
                <w:rFonts w:cs="Calibri Light"/>
                <w:b/>
                <w:sz w:val="20"/>
                <w:szCs w:val="20"/>
              </w:rPr>
            </w:pPr>
            <w:r w:rsidRPr="00A13926">
              <w:rPr>
                <w:rFonts w:cs="Calibri Light"/>
                <w:bCs/>
                <w:sz w:val="20"/>
                <w:szCs w:val="20"/>
              </w:rPr>
              <w:t xml:space="preserve">Consistent with </w:t>
            </w:r>
            <w:r>
              <w:rPr>
                <w:rFonts w:cs="Calibri Light"/>
                <w:bCs/>
                <w:sz w:val="20"/>
                <w:szCs w:val="20"/>
              </w:rPr>
              <w:t>Deloitte’s</w:t>
            </w:r>
            <w:r w:rsidRPr="00A13926">
              <w:rPr>
                <w:rFonts w:cs="Calibri Light"/>
                <w:bCs/>
                <w:sz w:val="20"/>
                <w:szCs w:val="20"/>
              </w:rPr>
              <w:t xml:space="preserve"> </w:t>
            </w:r>
            <w:hyperlink r:id="rId43" w:history="1">
              <w:r w:rsidRPr="00A13926">
                <w:rPr>
                  <w:rStyle w:val="Hyperlink"/>
                  <w:rFonts w:cs="Calibri Light"/>
                  <w:bCs/>
                  <w:i/>
                  <w:iCs/>
                  <w:sz w:val="20"/>
                  <w:szCs w:val="20"/>
                </w:rPr>
                <w:t>Consolidation – Identifying a Controlling Financial Interest</w:t>
              </w:r>
            </w:hyperlink>
            <w:r w:rsidRPr="00A13926">
              <w:rPr>
                <w:rFonts w:cs="Calibri Light"/>
                <w:bCs/>
                <w:i/>
                <w:iCs/>
                <w:sz w:val="20"/>
                <w:szCs w:val="20"/>
              </w:rPr>
              <w:t xml:space="preserve"> </w:t>
            </w:r>
            <w:r w:rsidRPr="00A13926">
              <w:rPr>
                <w:rFonts w:cs="Calibri Light"/>
                <w:bCs/>
                <w:sz w:val="20"/>
                <w:szCs w:val="20"/>
              </w:rPr>
              <w:t>Roadmap, the ultimate determination of if an entity should be consolidated should be made based on the guidance in ASC 810.</w:t>
            </w:r>
          </w:p>
        </w:tc>
        <w:tc>
          <w:tcPr>
            <w:tcW w:w="1209" w:type="dxa"/>
            <w:gridSpan w:val="2"/>
            <w:tcBorders>
              <w:top w:val="single" w:sz="4" w:space="0" w:color="auto"/>
              <w:bottom w:val="single" w:sz="6" w:space="0" w:color="auto"/>
            </w:tcBorders>
            <w:vAlign w:val="bottom"/>
          </w:tcPr>
          <w:p w14:paraId="757F64F7" w14:textId="77777777" w:rsidR="006F3A86" w:rsidRPr="004005A4" w:rsidRDefault="006F3A86" w:rsidP="0001501A">
            <w:pPr>
              <w:keepNext/>
              <w:spacing w:before="120" w:after="120" w:line="240" w:lineRule="atLeast"/>
              <w:jc w:val="center"/>
              <w:rPr>
                <w:rFonts w:cs="Calibri Light"/>
                <w:b/>
                <w:sz w:val="20"/>
                <w:szCs w:val="20"/>
              </w:rPr>
            </w:pPr>
          </w:p>
        </w:tc>
        <w:tc>
          <w:tcPr>
            <w:tcW w:w="236" w:type="dxa"/>
            <w:gridSpan w:val="3"/>
            <w:vAlign w:val="bottom"/>
          </w:tcPr>
          <w:p w14:paraId="33515BE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533F96A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92E1705" w14:textId="77777777" w:rsidTr="00CC36C1">
        <w:trPr>
          <w:gridBefore w:val="1"/>
          <w:wBefore w:w="17" w:type="dxa"/>
        </w:trPr>
        <w:tc>
          <w:tcPr>
            <w:tcW w:w="7483" w:type="dxa"/>
            <w:gridSpan w:val="2"/>
          </w:tcPr>
          <w:p w14:paraId="6B87D930" w14:textId="77777777" w:rsidR="006F3A86" w:rsidRPr="004005A4" w:rsidRDefault="006F3A86" w:rsidP="006F3A86">
            <w:pPr>
              <w:pStyle w:val="boldstandard"/>
              <w:spacing w:before="120" w:after="120" w:line="240" w:lineRule="atLeast"/>
              <w:rPr>
                <w:rFonts w:cs="Calibri Light"/>
                <w:sz w:val="20"/>
                <w:szCs w:val="20"/>
              </w:rPr>
            </w:pPr>
            <w:r w:rsidRPr="004005A4">
              <w:rPr>
                <w:rFonts w:cs="Calibri Light"/>
                <w:sz w:val="20"/>
                <w:szCs w:val="20"/>
              </w:rPr>
              <w:t>Rule 3A-03 — Statement as to principles of consolidation or combination followed.</w:t>
            </w:r>
          </w:p>
        </w:tc>
        <w:tc>
          <w:tcPr>
            <w:tcW w:w="1209" w:type="dxa"/>
            <w:gridSpan w:val="2"/>
            <w:tcBorders>
              <w:top w:val="single" w:sz="4" w:space="0" w:color="auto"/>
            </w:tcBorders>
            <w:vAlign w:val="bottom"/>
          </w:tcPr>
          <w:p w14:paraId="55A3F74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E524DE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683CBC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79AC1BA" w14:textId="77777777" w:rsidTr="00CC36C1">
        <w:trPr>
          <w:gridBefore w:val="1"/>
          <w:wBefore w:w="17" w:type="dxa"/>
        </w:trPr>
        <w:tc>
          <w:tcPr>
            <w:tcW w:w="7483" w:type="dxa"/>
            <w:gridSpan w:val="2"/>
          </w:tcPr>
          <w:p w14:paraId="45D1E78B" w14:textId="0DAE45B3" w:rsidR="006F3A86" w:rsidRPr="004005A4" w:rsidRDefault="006F3A86" w:rsidP="006F3A86">
            <w:pPr>
              <w:pStyle w:val="standard"/>
              <w:numPr>
                <w:ilvl w:val="0"/>
                <w:numId w:val="106"/>
              </w:numPr>
              <w:tabs>
                <w:tab w:val="clear" w:pos="576"/>
              </w:tabs>
              <w:spacing w:before="120" w:after="120" w:line="240" w:lineRule="atLeast"/>
              <w:ind w:left="322" w:hanging="322"/>
              <w:rPr>
                <w:rFonts w:cs="Calibri Light"/>
                <w:sz w:val="20"/>
                <w:szCs w:val="20"/>
              </w:rPr>
            </w:pPr>
            <w:r w:rsidRPr="004005A4">
              <w:rPr>
                <w:rFonts w:cs="Calibri Light"/>
                <w:sz w:val="20"/>
                <w:szCs w:val="20"/>
              </w:rPr>
              <w:t>[Reserved]</w:t>
            </w:r>
          </w:p>
        </w:tc>
        <w:tc>
          <w:tcPr>
            <w:tcW w:w="1209" w:type="dxa"/>
            <w:gridSpan w:val="2"/>
            <w:vAlign w:val="bottom"/>
          </w:tcPr>
          <w:p w14:paraId="20AC8A5A"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64463C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58B4B543"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F988059" w14:textId="77777777" w:rsidTr="00CC36C1">
        <w:trPr>
          <w:gridBefore w:val="1"/>
          <w:wBefore w:w="17" w:type="dxa"/>
        </w:trPr>
        <w:tc>
          <w:tcPr>
            <w:tcW w:w="7483" w:type="dxa"/>
            <w:gridSpan w:val="2"/>
          </w:tcPr>
          <w:p w14:paraId="24ECE0D7" w14:textId="0FA71C60" w:rsidR="006F3A86" w:rsidRPr="004005A4" w:rsidRDefault="006F3A86" w:rsidP="006F3A86">
            <w:pPr>
              <w:pStyle w:val="standard"/>
              <w:numPr>
                <w:ilvl w:val="0"/>
                <w:numId w:val="106"/>
              </w:numPr>
              <w:tabs>
                <w:tab w:val="clear" w:pos="576"/>
              </w:tabs>
              <w:spacing w:before="120" w:after="120" w:line="240" w:lineRule="atLeast"/>
              <w:ind w:left="232" w:hanging="232"/>
              <w:rPr>
                <w:rFonts w:cs="Calibri Light"/>
                <w:sz w:val="20"/>
                <w:szCs w:val="20"/>
              </w:rPr>
            </w:pPr>
            <w:r w:rsidRPr="004005A4">
              <w:rPr>
                <w:rFonts w:cs="Calibri Light"/>
                <w:sz w:val="20"/>
                <w:szCs w:val="20"/>
              </w:rPr>
              <w:t>As to each consolidated financial statement and as to each combined financial statement, if there has been a change in the persons included or excluded in the corresponding statement for the preceding fiscal period filed with the Commission that has a material effect on the financial statements, the persons included and the persons excluded shall be disclosed.</w:t>
            </w:r>
          </w:p>
        </w:tc>
        <w:tc>
          <w:tcPr>
            <w:tcW w:w="1209" w:type="dxa"/>
            <w:gridSpan w:val="2"/>
            <w:vAlign w:val="bottom"/>
          </w:tcPr>
          <w:p w14:paraId="2E7A4CA2"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4DAA2FE"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72ABB05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7A41C3A" w14:textId="77777777" w:rsidTr="00CC36C1">
        <w:trPr>
          <w:gridBefore w:val="1"/>
          <w:wBefore w:w="17" w:type="dxa"/>
        </w:trPr>
        <w:tc>
          <w:tcPr>
            <w:tcW w:w="7483" w:type="dxa"/>
            <w:gridSpan w:val="2"/>
          </w:tcPr>
          <w:p w14:paraId="7FE846DD" w14:textId="77777777" w:rsidR="006F3A86" w:rsidRPr="004005A4" w:rsidRDefault="006F3A86" w:rsidP="006F3A86">
            <w:pPr>
              <w:pStyle w:val="FormTableHeaderRow"/>
              <w:rPr>
                <w:rFonts w:cs="Calibri Light"/>
                <w:b w:val="0"/>
                <w:sz w:val="20"/>
                <w:szCs w:val="20"/>
              </w:rPr>
            </w:pPr>
            <w:r w:rsidRPr="004005A4">
              <w:rPr>
                <w:rFonts w:cs="Calibri Light"/>
                <w:sz w:val="20"/>
                <w:szCs w:val="20"/>
              </w:rPr>
              <w:t>A</w:t>
            </w:r>
            <w:bookmarkStart w:id="18" w:name="article_4"/>
            <w:bookmarkEnd w:id="18"/>
            <w:r w:rsidRPr="004005A4">
              <w:rPr>
                <w:rFonts w:cs="Calibri Light"/>
                <w:sz w:val="20"/>
                <w:szCs w:val="20"/>
              </w:rPr>
              <w:t>RTICLE 4. RULES OF GENERAL APPLICATION</w:t>
            </w:r>
          </w:p>
        </w:tc>
        <w:tc>
          <w:tcPr>
            <w:tcW w:w="1209" w:type="dxa"/>
            <w:gridSpan w:val="2"/>
            <w:tcBorders>
              <w:top w:val="single" w:sz="4" w:space="0" w:color="auto"/>
            </w:tcBorders>
            <w:vAlign w:val="bottom"/>
          </w:tcPr>
          <w:p w14:paraId="0CF37AC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3BB07A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92265B1"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8790B9F" w14:textId="77777777" w:rsidTr="00CC36C1">
        <w:trPr>
          <w:gridBefore w:val="1"/>
          <w:wBefore w:w="17" w:type="dxa"/>
        </w:trPr>
        <w:tc>
          <w:tcPr>
            <w:tcW w:w="7483" w:type="dxa"/>
            <w:gridSpan w:val="2"/>
          </w:tcPr>
          <w:p w14:paraId="1DDBD09D" w14:textId="77777777" w:rsidR="006F3A86" w:rsidRPr="004005A4" w:rsidRDefault="006F3A86" w:rsidP="006F3A86">
            <w:pPr>
              <w:pStyle w:val="standard"/>
              <w:spacing w:before="120" w:after="120" w:line="240" w:lineRule="atLeast"/>
              <w:rPr>
                <w:rFonts w:cs="Calibri Light"/>
                <w:b/>
                <w:sz w:val="20"/>
                <w:szCs w:val="20"/>
              </w:rPr>
            </w:pPr>
            <w:r w:rsidRPr="004005A4">
              <w:rPr>
                <w:rFonts w:cs="Calibri Light"/>
                <w:b/>
                <w:sz w:val="20"/>
                <w:szCs w:val="20"/>
              </w:rPr>
              <w:t>Rule 4-01 — Form, order, and terminology.</w:t>
            </w:r>
          </w:p>
          <w:p w14:paraId="14DECDF6" w14:textId="77777777" w:rsidR="006F3A86" w:rsidRPr="004005A4" w:rsidRDefault="006F3A86" w:rsidP="006F3A86">
            <w:pPr>
              <w:pStyle w:val="standard"/>
              <w:numPr>
                <w:ilvl w:val="0"/>
                <w:numId w:val="105"/>
              </w:numPr>
              <w:tabs>
                <w:tab w:val="clear" w:pos="576"/>
              </w:tabs>
              <w:spacing w:before="120" w:after="120" w:line="240" w:lineRule="atLeast"/>
              <w:ind w:left="232" w:hanging="232"/>
              <w:rPr>
                <w:rFonts w:cs="Calibri Light"/>
                <w:b/>
                <w:sz w:val="20"/>
                <w:szCs w:val="20"/>
              </w:rPr>
            </w:pPr>
            <w:bookmarkStart w:id="19" w:name="subdoc16"/>
            <w:bookmarkEnd w:id="19"/>
            <w:r w:rsidRPr="004005A4">
              <w:rPr>
                <w:rFonts w:cs="Calibri Light"/>
                <w:sz w:val="20"/>
                <w:szCs w:val="20"/>
              </w:rPr>
              <w:t>Financial statements should be filed in such form and order, and should use such generally accepted terminology, as will best indicate their significance and character in the light of the provisions applicable thereto.  The information required with respect to any statement shall be furnished as a minimum requirement to which shall be added such further material information as is necessary to make the required statements, in the light of the circumstances under which they are made, not misleading.</w:t>
            </w:r>
          </w:p>
        </w:tc>
        <w:tc>
          <w:tcPr>
            <w:tcW w:w="1209" w:type="dxa"/>
            <w:gridSpan w:val="2"/>
            <w:vAlign w:val="bottom"/>
          </w:tcPr>
          <w:p w14:paraId="42900F5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BA84BB4"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726CF17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02873D3" w14:textId="77777777" w:rsidTr="00CC36C1">
        <w:trPr>
          <w:gridBefore w:val="1"/>
          <w:wBefore w:w="17" w:type="dxa"/>
        </w:trPr>
        <w:tc>
          <w:tcPr>
            <w:tcW w:w="7483" w:type="dxa"/>
            <w:gridSpan w:val="2"/>
          </w:tcPr>
          <w:p w14:paraId="36BFAA0E" w14:textId="7CC828A1" w:rsidR="006F3A86" w:rsidRPr="004005A4" w:rsidRDefault="006F3A86" w:rsidP="006F3A86">
            <w:pPr>
              <w:pStyle w:val="hp"/>
              <w:numPr>
                <w:ilvl w:val="1"/>
                <w:numId w:val="28"/>
              </w:numPr>
              <w:spacing w:before="120" w:beforeAutospacing="0" w:after="120" w:afterAutospacing="0" w:line="240" w:lineRule="atLeast"/>
              <w:ind w:left="502" w:hanging="270"/>
              <w:rPr>
                <w:rFonts w:cs="Calibri Light"/>
                <w:sz w:val="20"/>
                <w:szCs w:val="20"/>
              </w:rPr>
            </w:pPr>
            <w:bookmarkStart w:id="20" w:name="subdoc20"/>
            <w:bookmarkEnd w:id="20"/>
            <w:r w:rsidRPr="004005A4">
              <w:rPr>
                <w:rFonts w:cs="Calibri Light"/>
                <w:sz w:val="20"/>
                <w:szCs w:val="20"/>
              </w:rPr>
              <w:t>Financial statements filed with the Commission which are not prepared in accordance with generally accepted accounting principles will be presumed to be misleading or inaccurate, despite footnote of other disclosures, unless the Commission has otherwise provided.  This article and other articles of Regulation S-X provide clarification of certain disclosures which must be included in any event, in financial statements filed with the Commission.</w:t>
            </w:r>
          </w:p>
        </w:tc>
        <w:tc>
          <w:tcPr>
            <w:tcW w:w="1209" w:type="dxa"/>
            <w:gridSpan w:val="2"/>
            <w:tcBorders>
              <w:bottom w:val="single" w:sz="6" w:space="0" w:color="auto"/>
            </w:tcBorders>
            <w:vAlign w:val="bottom"/>
          </w:tcPr>
          <w:p w14:paraId="71EBA60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84CB38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318F43CA"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098E6C4" w14:textId="77777777" w:rsidTr="00CC36C1">
        <w:trPr>
          <w:gridBefore w:val="1"/>
          <w:wBefore w:w="17" w:type="dxa"/>
        </w:trPr>
        <w:tc>
          <w:tcPr>
            <w:tcW w:w="7483" w:type="dxa"/>
            <w:gridSpan w:val="2"/>
          </w:tcPr>
          <w:p w14:paraId="0AF03E85" w14:textId="4DAC0436" w:rsidR="006F3A86" w:rsidRPr="004005A4" w:rsidRDefault="006F3A86" w:rsidP="006F3A86">
            <w:pPr>
              <w:pStyle w:val="hp"/>
              <w:numPr>
                <w:ilvl w:val="1"/>
                <w:numId w:val="28"/>
              </w:numPr>
              <w:spacing w:before="120" w:beforeAutospacing="0" w:after="120" w:afterAutospacing="0" w:line="240" w:lineRule="atLeast"/>
              <w:ind w:left="502" w:hanging="270"/>
              <w:rPr>
                <w:rFonts w:cs="Calibri Light"/>
                <w:sz w:val="20"/>
                <w:szCs w:val="20"/>
              </w:rPr>
            </w:pPr>
            <w:bookmarkStart w:id="21" w:name="subdoc24"/>
            <w:bookmarkEnd w:id="21"/>
            <w:r w:rsidRPr="004005A4">
              <w:rPr>
                <w:rFonts w:cs="Calibri Light"/>
                <w:sz w:val="20"/>
                <w:szCs w:val="20"/>
              </w:rPr>
              <w:t xml:space="preserve">In all filings of foreign private issuers (see §230.405 of this chapter), except as stated otherwise in the applicable form, the financial statements may be prepared according to a comprehensive set of accounting principles, other than those </w:t>
            </w:r>
            <w:r w:rsidRPr="004005A4">
              <w:rPr>
                <w:rFonts w:cs="Calibri Light"/>
                <w:sz w:val="20"/>
                <w:szCs w:val="20"/>
              </w:rPr>
              <w:lastRenderedPageBreak/>
              <w:t>generally accepted in the United States or IFRS as issued by the IASB, if a reconciliation to U. S. GAAP and the provisions of Regulation S-X of the type specified in Item 18 of Form 20-F is also filed as part of the financial statements. Alternatively, the financial statements may be prepared according to U.S. GAAP or IFRS as issued by the IASB.</w:t>
            </w:r>
          </w:p>
        </w:tc>
        <w:tc>
          <w:tcPr>
            <w:tcW w:w="1209" w:type="dxa"/>
            <w:gridSpan w:val="2"/>
            <w:tcBorders>
              <w:bottom w:val="single" w:sz="6" w:space="0" w:color="auto"/>
            </w:tcBorders>
            <w:vAlign w:val="bottom"/>
          </w:tcPr>
          <w:p w14:paraId="3D9B382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6C50C3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5072D66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165EAB2" w14:textId="77777777" w:rsidTr="00CC36C1">
        <w:trPr>
          <w:gridBefore w:val="1"/>
          <w:wBefore w:w="17" w:type="dxa"/>
        </w:trPr>
        <w:tc>
          <w:tcPr>
            <w:tcW w:w="7483" w:type="dxa"/>
            <w:gridSpan w:val="2"/>
          </w:tcPr>
          <w:p w14:paraId="048428E0" w14:textId="77777777" w:rsidR="006F3A86" w:rsidRPr="004005A4" w:rsidRDefault="006F3A86" w:rsidP="006F3A86">
            <w:pPr>
              <w:pStyle w:val="standard"/>
              <w:spacing w:before="120" w:after="120" w:line="240" w:lineRule="atLeast"/>
              <w:rPr>
                <w:rFonts w:cs="Calibri Light"/>
                <w:b/>
                <w:sz w:val="20"/>
                <w:szCs w:val="20"/>
              </w:rPr>
            </w:pPr>
            <w:bookmarkStart w:id="22" w:name="subdoc28"/>
            <w:bookmarkStart w:id="23" w:name="subdoc75"/>
            <w:bookmarkStart w:id="24" w:name="subdoc80"/>
            <w:bookmarkEnd w:id="22"/>
            <w:bookmarkEnd w:id="23"/>
            <w:bookmarkEnd w:id="24"/>
            <w:r w:rsidRPr="004005A4">
              <w:rPr>
                <w:rFonts w:cs="Calibri Light"/>
                <w:b/>
                <w:sz w:val="20"/>
                <w:szCs w:val="20"/>
              </w:rPr>
              <w:t xml:space="preserve">Rule 4-02 </w:t>
            </w:r>
            <w:r w:rsidRPr="004005A4">
              <w:rPr>
                <w:rFonts w:cs="Calibri Light"/>
                <w:sz w:val="20"/>
                <w:szCs w:val="20"/>
              </w:rPr>
              <w:t xml:space="preserve">— </w:t>
            </w:r>
            <w:r w:rsidRPr="004005A4">
              <w:rPr>
                <w:rFonts w:cs="Calibri Light"/>
                <w:b/>
                <w:sz w:val="20"/>
                <w:szCs w:val="20"/>
              </w:rPr>
              <w:t xml:space="preserve">Items not material </w:t>
            </w:r>
            <w:r w:rsidRPr="004005A4">
              <w:rPr>
                <w:rFonts w:cs="Calibri Light"/>
                <w:sz w:val="20"/>
                <w:szCs w:val="20"/>
              </w:rPr>
              <w:t>need not be separately presented.</w:t>
            </w:r>
            <w:r w:rsidRPr="004005A4">
              <w:rPr>
                <w:rFonts w:cs="Calibri Light"/>
                <w:b/>
                <w:sz w:val="20"/>
                <w:szCs w:val="20"/>
              </w:rPr>
              <w:t xml:space="preserve">  </w:t>
            </w:r>
            <w:r w:rsidRPr="004005A4">
              <w:rPr>
                <w:rFonts w:cs="Calibri Light"/>
                <w:sz w:val="20"/>
                <w:szCs w:val="20"/>
              </w:rPr>
              <w:t>Combination of insignificant amounts is permitted.</w:t>
            </w:r>
          </w:p>
        </w:tc>
        <w:tc>
          <w:tcPr>
            <w:tcW w:w="1209" w:type="dxa"/>
            <w:gridSpan w:val="2"/>
            <w:tcBorders>
              <w:bottom w:val="single" w:sz="6" w:space="0" w:color="auto"/>
            </w:tcBorders>
            <w:vAlign w:val="bottom"/>
          </w:tcPr>
          <w:p w14:paraId="5D20DE2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0F79AFE"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4601E2C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620E4D3" w14:textId="77777777" w:rsidTr="00CC36C1">
        <w:trPr>
          <w:gridBefore w:val="1"/>
          <w:wBefore w:w="17" w:type="dxa"/>
        </w:trPr>
        <w:tc>
          <w:tcPr>
            <w:tcW w:w="7483" w:type="dxa"/>
            <w:gridSpan w:val="2"/>
          </w:tcPr>
          <w:p w14:paraId="4DE998E9" w14:textId="4409F941" w:rsidR="006F3A86" w:rsidRPr="004005A4" w:rsidRDefault="006F3A86" w:rsidP="006F3A86">
            <w:pPr>
              <w:pStyle w:val="standard"/>
              <w:spacing w:before="120" w:after="120" w:line="240" w:lineRule="atLeast"/>
              <w:rPr>
                <w:rFonts w:cs="Calibri Light"/>
                <w:b/>
                <w:sz w:val="20"/>
                <w:szCs w:val="20"/>
              </w:rPr>
            </w:pPr>
            <w:r w:rsidRPr="004005A4">
              <w:rPr>
                <w:rFonts w:cs="Calibri Light"/>
                <w:b/>
                <w:sz w:val="20"/>
                <w:szCs w:val="20"/>
              </w:rPr>
              <w:t xml:space="preserve">Rule 4-03 </w:t>
            </w:r>
            <w:r w:rsidRPr="004005A4">
              <w:rPr>
                <w:rFonts w:cs="Calibri Light"/>
                <w:sz w:val="20"/>
                <w:szCs w:val="20"/>
              </w:rPr>
              <w:t xml:space="preserve">— </w:t>
            </w:r>
            <w:r w:rsidRPr="004005A4">
              <w:rPr>
                <w:rFonts w:cs="Calibri Light"/>
                <w:b/>
                <w:sz w:val="20"/>
                <w:szCs w:val="20"/>
              </w:rPr>
              <w:t xml:space="preserve">Inapplicable </w:t>
            </w:r>
            <w:r>
              <w:rPr>
                <w:rFonts w:cs="Calibri Light"/>
                <w:b/>
                <w:sz w:val="20"/>
                <w:szCs w:val="20"/>
              </w:rPr>
              <w:t>c</w:t>
            </w:r>
            <w:r w:rsidRPr="004005A4">
              <w:rPr>
                <w:rFonts w:cs="Calibri Light"/>
                <w:b/>
                <w:sz w:val="20"/>
                <w:szCs w:val="20"/>
              </w:rPr>
              <w:t xml:space="preserve">aptions and </w:t>
            </w:r>
            <w:r>
              <w:rPr>
                <w:rFonts w:cs="Calibri Light"/>
                <w:b/>
                <w:sz w:val="20"/>
                <w:szCs w:val="20"/>
              </w:rPr>
              <w:t>u</w:t>
            </w:r>
            <w:r w:rsidRPr="004005A4">
              <w:rPr>
                <w:rFonts w:cs="Calibri Light"/>
                <w:b/>
                <w:sz w:val="20"/>
                <w:szCs w:val="20"/>
              </w:rPr>
              <w:t xml:space="preserve">nrequired or </w:t>
            </w:r>
            <w:r>
              <w:rPr>
                <w:rFonts w:cs="Calibri Light"/>
                <w:b/>
                <w:sz w:val="20"/>
                <w:szCs w:val="20"/>
              </w:rPr>
              <w:t>i</w:t>
            </w:r>
            <w:r w:rsidRPr="004005A4">
              <w:rPr>
                <w:rFonts w:cs="Calibri Light"/>
                <w:b/>
                <w:sz w:val="20"/>
                <w:szCs w:val="20"/>
              </w:rPr>
              <w:t xml:space="preserve">napplicable </w:t>
            </w:r>
            <w:r>
              <w:rPr>
                <w:rFonts w:cs="Calibri Light"/>
                <w:b/>
                <w:sz w:val="20"/>
                <w:szCs w:val="20"/>
              </w:rPr>
              <w:t>f</w:t>
            </w:r>
            <w:r w:rsidRPr="004005A4">
              <w:rPr>
                <w:rFonts w:cs="Calibri Light"/>
                <w:b/>
                <w:sz w:val="20"/>
                <w:szCs w:val="20"/>
              </w:rPr>
              <w:t xml:space="preserve">inancial </w:t>
            </w:r>
            <w:r>
              <w:rPr>
                <w:rFonts w:cs="Calibri Light"/>
                <w:b/>
                <w:sz w:val="20"/>
                <w:szCs w:val="20"/>
              </w:rPr>
              <w:t>s</w:t>
            </w:r>
            <w:r w:rsidRPr="004005A4">
              <w:rPr>
                <w:rFonts w:cs="Calibri Light"/>
                <w:b/>
                <w:sz w:val="20"/>
                <w:szCs w:val="20"/>
              </w:rPr>
              <w:t>tatements</w:t>
            </w:r>
            <w:r w:rsidRPr="004005A4">
              <w:rPr>
                <w:rFonts w:cs="Calibri Light"/>
                <w:sz w:val="20"/>
                <w:szCs w:val="20"/>
              </w:rPr>
              <w:t xml:space="preserve"> may be omitted.  Indicate reason for omission of any financial statements.</w:t>
            </w:r>
          </w:p>
        </w:tc>
        <w:tc>
          <w:tcPr>
            <w:tcW w:w="1209" w:type="dxa"/>
            <w:gridSpan w:val="2"/>
            <w:tcBorders>
              <w:top w:val="single" w:sz="6" w:space="0" w:color="auto"/>
              <w:bottom w:val="single" w:sz="4" w:space="0" w:color="auto"/>
            </w:tcBorders>
            <w:vAlign w:val="bottom"/>
          </w:tcPr>
          <w:p w14:paraId="159C123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F738D37"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2EFD4A87"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6857FEF" w14:textId="77777777" w:rsidTr="00CC36C1">
        <w:trPr>
          <w:gridBefore w:val="1"/>
          <w:wBefore w:w="17" w:type="dxa"/>
        </w:trPr>
        <w:tc>
          <w:tcPr>
            <w:tcW w:w="7483" w:type="dxa"/>
            <w:gridSpan w:val="2"/>
          </w:tcPr>
          <w:p w14:paraId="76F74CF0" w14:textId="77777777" w:rsidR="006F3A86" w:rsidRPr="004005A4" w:rsidRDefault="006F3A86" w:rsidP="006F3A86">
            <w:pPr>
              <w:pStyle w:val="standard"/>
              <w:spacing w:before="120" w:after="120" w:line="240" w:lineRule="atLeast"/>
              <w:rPr>
                <w:rFonts w:cs="Calibri Light"/>
                <w:b/>
                <w:sz w:val="20"/>
                <w:szCs w:val="20"/>
              </w:rPr>
            </w:pPr>
            <w:r w:rsidRPr="004005A4">
              <w:rPr>
                <w:rFonts w:cs="Calibri Light"/>
                <w:b/>
                <w:sz w:val="20"/>
                <w:szCs w:val="20"/>
              </w:rPr>
              <w:t xml:space="preserve">Rule 4-04 </w:t>
            </w:r>
            <w:r w:rsidRPr="004005A4">
              <w:rPr>
                <w:rFonts w:cs="Calibri Light"/>
                <w:sz w:val="20"/>
                <w:szCs w:val="20"/>
              </w:rPr>
              <w:t xml:space="preserve">— </w:t>
            </w:r>
            <w:r w:rsidRPr="004005A4">
              <w:rPr>
                <w:rFonts w:cs="Calibri Light"/>
                <w:b/>
                <w:sz w:val="20"/>
                <w:szCs w:val="20"/>
              </w:rPr>
              <w:t>Omission of substantially identical notes.</w:t>
            </w:r>
            <w:r w:rsidRPr="004005A4">
              <w:rPr>
                <w:rFonts w:cs="Calibri Light"/>
                <w:sz w:val="20"/>
                <w:szCs w:val="20"/>
              </w:rPr>
              <w:t xml:space="preserve">  Notes covering subject matter applicable to more than one statement need not be repeated, provided that a clear reference is made to the note in each of the statements.</w:t>
            </w:r>
          </w:p>
        </w:tc>
        <w:tc>
          <w:tcPr>
            <w:tcW w:w="1209" w:type="dxa"/>
            <w:gridSpan w:val="2"/>
            <w:tcBorders>
              <w:top w:val="single" w:sz="4" w:space="0" w:color="auto"/>
            </w:tcBorders>
            <w:vAlign w:val="bottom"/>
          </w:tcPr>
          <w:p w14:paraId="084F8EAC"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F211D2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64680B47"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826CEDE" w14:textId="77777777" w:rsidTr="00CC36C1">
        <w:trPr>
          <w:gridBefore w:val="1"/>
          <w:wBefore w:w="17" w:type="dxa"/>
        </w:trPr>
        <w:tc>
          <w:tcPr>
            <w:tcW w:w="7483" w:type="dxa"/>
            <w:gridSpan w:val="2"/>
          </w:tcPr>
          <w:p w14:paraId="4A899ED5" w14:textId="13B8B6D4" w:rsidR="006F3A86" w:rsidRPr="004005A4" w:rsidRDefault="006F3A86" w:rsidP="006F3A86">
            <w:pPr>
              <w:pStyle w:val="standard"/>
              <w:spacing w:before="120" w:after="120" w:line="240" w:lineRule="atLeast"/>
              <w:rPr>
                <w:rFonts w:cs="Calibri Light"/>
                <w:b/>
                <w:sz w:val="20"/>
                <w:szCs w:val="20"/>
              </w:rPr>
            </w:pPr>
            <w:r w:rsidRPr="004005A4">
              <w:rPr>
                <w:rFonts w:cs="Calibri Light"/>
                <w:b/>
                <w:sz w:val="20"/>
                <w:szCs w:val="20"/>
              </w:rPr>
              <w:t xml:space="preserve">Rule 4-07 </w:t>
            </w:r>
            <w:r w:rsidRPr="004005A4">
              <w:rPr>
                <w:rFonts w:cs="Calibri Light"/>
                <w:sz w:val="20"/>
                <w:szCs w:val="20"/>
              </w:rPr>
              <w:t xml:space="preserve">— </w:t>
            </w:r>
            <w:r w:rsidRPr="004005A4">
              <w:rPr>
                <w:rFonts w:cs="Calibri Light"/>
                <w:b/>
                <w:sz w:val="20"/>
                <w:szCs w:val="20"/>
              </w:rPr>
              <w:t>Discount on shares</w:t>
            </w:r>
            <w:r w:rsidRPr="004005A4">
              <w:rPr>
                <w:rFonts w:cs="Calibri Light"/>
                <w:sz w:val="20"/>
                <w:szCs w:val="20"/>
              </w:rPr>
              <w:t>, or any unamortized balance thereof, should be shown separately as a deduction from the applicable accounts, as circumstances require.</w:t>
            </w:r>
          </w:p>
        </w:tc>
        <w:tc>
          <w:tcPr>
            <w:tcW w:w="1209" w:type="dxa"/>
            <w:gridSpan w:val="2"/>
            <w:tcBorders>
              <w:top w:val="single" w:sz="6" w:space="0" w:color="auto"/>
              <w:bottom w:val="single" w:sz="6" w:space="0" w:color="auto"/>
            </w:tcBorders>
            <w:vAlign w:val="bottom"/>
          </w:tcPr>
          <w:p w14:paraId="1C9F354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2CB03B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61594131"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9B47B8D" w14:textId="77777777" w:rsidTr="00CC36C1">
        <w:trPr>
          <w:gridBefore w:val="1"/>
          <w:wBefore w:w="17" w:type="dxa"/>
        </w:trPr>
        <w:tc>
          <w:tcPr>
            <w:tcW w:w="7483" w:type="dxa"/>
            <w:gridSpan w:val="2"/>
          </w:tcPr>
          <w:p w14:paraId="5563E39C" w14:textId="6C76FADA" w:rsidR="006F3A86" w:rsidRPr="004005A4" w:rsidRDefault="006F3A86" w:rsidP="006F3A86">
            <w:pPr>
              <w:pStyle w:val="standard"/>
              <w:spacing w:before="120" w:after="120" w:line="240" w:lineRule="atLeast"/>
              <w:rPr>
                <w:rFonts w:cs="Calibri Light"/>
                <w:sz w:val="20"/>
                <w:szCs w:val="20"/>
              </w:rPr>
            </w:pPr>
            <w:r w:rsidRPr="004005A4">
              <w:rPr>
                <w:rFonts w:cs="Calibri Light"/>
                <w:b/>
                <w:sz w:val="20"/>
                <w:szCs w:val="20"/>
              </w:rPr>
              <w:t xml:space="preserve">Rule 4-08 </w:t>
            </w:r>
            <w:r w:rsidRPr="004005A4">
              <w:rPr>
                <w:rFonts w:cs="Calibri Light"/>
                <w:sz w:val="20"/>
                <w:szCs w:val="20"/>
              </w:rPr>
              <w:t xml:space="preserve">— </w:t>
            </w:r>
            <w:r w:rsidRPr="004005A4">
              <w:rPr>
                <w:rFonts w:cs="Calibri Light"/>
                <w:b/>
                <w:sz w:val="20"/>
                <w:szCs w:val="20"/>
              </w:rPr>
              <w:t>General notes to financial statements.</w:t>
            </w:r>
            <w:r w:rsidRPr="004005A4">
              <w:rPr>
                <w:rFonts w:cs="Calibri Light"/>
                <w:sz w:val="20"/>
                <w:szCs w:val="20"/>
              </w:rPr>
              <w:t xml:space="preserve">  The following information, if applicable, should be provided for each </w:t>
            </w:r>
            <w:r>
              <w:rPr>
                <w:rFonts w:cs="Calibri Light"/>
                <w:sz w:val="20"/>
                <w:szCs w:val="20"/>
              </w:rPr>
              <w:t xml:space="preserve">financial </w:t>
            </w:r>
            <w:r w:rsidRPr="004005A4">
              <w:rPr>
                <w:rFonts w:cs="Calibri Light"/>
                <w:sz w:val="20"/>
                <w:szCs w:val="20"/>
              </w:rPr>
              <w:t>statement required to be filed, except that information required by items marked (*) should be provided as of the date of the most recent audited balance sheet:</w:t>
            </w:r>
          </w:p>
          <w:p w14:paraId="43DADADD" w14:textId="38B1DF19"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b/>
                <w:sz w:val="20"/>
                <w:szCs w:val="20"/>
              </w:rPr>
            </w:pPr>
            <w:r w:rsidRPr="004005A4">
              <w:rPr>
                <w:rFonts w:cs="Calibri Light"/>
                <w:sz w:val="20"/>
                <w:szCs w:val="20"/>
              </w:rPr>
              <w:t>Removed</w:t>
            </w:r>
          </w:p>
        </w:tc>
        <w:tc>
          <w:tcPr>
            <w:tcW w:w="1209" w:type="dxa"/>
            <w:gridSpan w:val="2"/>
            <w:tcBorders>
              <w:top w:val="single" w:sz="6" w:space="0" w:color="auto"/>
            </w:tcBorders>
            <w:vAlign w:val="bottom"/>
          </w:tcPr>
          <w:p w14:paraId="3E0B1D5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B705569"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F8984B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F5FF51C" w14:textId="77777777" w:rsidTr="00CC36C1">
        <w:trPr>
          <w:gridBefore w:val="1"/>
          <w:wBefore w:w="17" w:type="dxa"/>
        </w:trPr>
        <w:tc>
          <w:tcPr>
            <w:tcW w:w="7483" w:type="dxa"/>
            <w:gridSpan w:val="2"/>
          </w:tcPr>
          <w:p w14:paraId="2E2630F4" w14:textId="246B0EEE"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sz w:val="20"/>
                <w:szCs w:val="20"/>
              </w:rPr>
            </w:pPr>
            <w:r w:rsidRPr="004005A4">
              <w:rPr>
                <w:rFonts w:cs="Calibri Light"/>
                <w:b/>
                <w:sz w:val="20"/>
                <w:szCs w:val="20"/>
              </w:rPr>
              <w:t xml:space="preserve">*Assets mortgaged, pledged, or otherwise subject to lien, </w:t>
            </w:r>
            <w:r w:rsidRPr="004005A4">
              <w:rPr>
                <w:rFonts w:cs="Calibri Light"/>
                <w:sz w:val="20"/>
                <w:szCs w:val="20"/>
              </w:rPr>
              <w:t>and the approximate amounts thereof, should be designated and the obligations collateralized briefly identified.</w:t>
            </w:r>
          </w:p>
        </w:tc>
        <w:tc>
          <w:tcPr>
            <w:tcW w:w="1209" w:type="dxa"/>
            <w:gridSpan w:val="2"/>
            <w:tcBorders>
              <w:bottom w:val="single" w:sz="6" w:space="0" w:color="auto"/>
            </w:tcBorders>
            <w:vAlign w:val="bottom"/>
          </w:tcPr>
          <w:p w14:paraId="0A30C7A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C68F2D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313813E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5CF6445" w14:textId="77777777" w:rsidTr="00CC36C1">
        <w:trPr>
          <w:gridBefore w:val="1"/>
          <w:wBefore w:w="17" w:type="dxa"/>
        </w:trPr>
        <w:tc>
          <w:tcPr>
            <w:tcW w:w="7483" w:type="dxa"/>
            <w:gridSpan w:val="2"/>
          </w:tcPr>
          <w:p w14:paraId="2F4B0080" w14:textId="2082E72B"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sz w:val="20"/>
                <w:szCs w:val="20"/>
              </w:rPr>
            </w:pPr>
            <w:r w:rsidRPr="004005A4">
              <w:rPr>
                <w:rFonts w:cs="Calibri Light"/>
                <w:b/>
                <w:sz w:val="20"/>
                <w:szCs w:val="20"/>
              </w:rPr>
              <w:t xml:space="preserve">*Defaults — </w:t>
            </w:r>
            <w:r w:rsidRPr="004005A4">
              <w:rPr>
                <w:rFonts w:cs="Calibri Light"/>
                <w:sz w:val="20"/>
                <w:szCs w:val="20"/>
              </w:rPr>
              <w:t>The facts and amounts concerning any default or any breach of covenant that existed at the date of the most recent balance sheet filed and has not subsequently been cured should be stated.  If a default or breach exists, but acceleration of the obligation has been waived for a stated period of time beyond the date of the most recent balance sheet being filed, state the amount of the obligation and the period of the waiver.</w:t>
            </w:r>
          </w:p>
        </w:tc>
        <w:tc>
          <w:tcPr>
            <w:tcW w:w="1209" w:type="dxa"/>
            <w:gridSpan w:val="2"/>
            <w:vAlign w:val="bottom"/>
          </w:tcPr>
          <w:p w14:paraId="6B5EF35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4AAE77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1B7F82F3"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5CD7B60" w14:textId="77777777" w:rsidTr="00CC36C1">
        <w:trPr>
          <w:gridBefore w:val="1"/>
          <w:wBefore w:w="17" w:type="dxa"/>
        </w:trPr>
        <w:tc>
          <w:tcPr>
            <w:tcW w:w="7483" w:type="dxa"/>
            <w:gridSpan w:val="2"/>
          </w:tcPr>
          <w:p w14:paraId="00466331" w14:textId="32F3A6AD"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sz w:val="20"/>
                <w:szCs w:val="20"/>
              </w:rPr>
            </w:pPr>
            <w:r w:rsidRPr="004005A4">
              <w:rPr>
                <w:rFonts w:cs="Calibri Light"/>
                <w:sz w:val="20"/>
                <w:szCs w:val="20"/>
              </w:rPr>
              <w:t>*</w:t>
            </w:r>
            <w:r w:rsidRPr="004005A4">
              <w:rPr>
                <w:rFonts w:cs="Calibri Light"/>
                <w:b/>
                <w:sz w:val="20"/>
                <w:szCs w:val="20"/>
              </w:rPr>
              <w:t xml:space="preserve">Preferred shares: </w:t>
            </w:r>
            <w:r w:rsidRPr="004005A4">
              <w:rPr>
                <w:rFonts w:cs="Calibri Light"/>
                <w:sz w:val="20"/>
                <w:szCs w:val="20"/>
              </w:rPr>
              <w:t>Aggregate preferences on involuntary liquidation, if other than par or stated value, shall be shown parenthetically in the equity section of the balance sheet.</w:t>
            </w:r>
          </w:p>
        </w:tc>
        <w:tc>
          <w:tcPr>
            <w:tcW w:w="1209" w:type="dxa"/>
            <w:gridSpan w:val="2"/>
            <w:tcBorders>
              <w:top w:val="single" w:sz="4" w:space="0" w:color="auto"/>
            </w:tcBorders>
            <w:vAlign w:val="bottom"/>
          </w:tcPr>
          <w:p w14:paraId="2758042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6A40C3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E762747"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B5ED52D" w14:textId="77777777" w:rsidTr="00CC36C1">
        <w:trPr>
          <w:gridBefore w:val="1"/>
          <w:wBefore w:w="17" w:type="dxa"/>
        </w:trPr>
        <w:tc>
          <w:tcPr>
            <w:tcW w:w="7483" w:type="dxa"/>
            <w:gridSpan w:val="2"/>
          </w:tcPr>
          <w:p w14:paraId="61DBC2F2" w14:textId="484DFE35" w:rsidR="006F3A86" w:rsidRPr="004005A4" w:rsidRDefault="006F3A86" w:rsidP="006F3A86">
            <w:pPr>
              <w:pStyle w:val="level1"/>
              <w:tabs>
                <w:tab w:val="clear" w:pos="576"/>
              </w:tabs>
              <w:spacing w:after="120" w:line="240" w:lineRule="atLeast"/>
              <w:ind w:left="232" w:firstLine="0"/>
              <w:rPr>
                <w:rFonts w:cs="Calibri Light"/>
                <w:sz w:val="20"/>
                <w:szCs w:val="20"/>
              </w:rPr>
            </w:pPr>
            <w:r w:rsidRPr="004005A4">
              <w:rPr>
                <w:rFonts w:cs="Calibri Light"/>
                <w:sz w:val="20"/>
                <w:szCs w:val="20"/>
              </w:rPr>
              <w:t>See discussion of SAB Topic 5-Q for the SEC’s comments concerning Imputation of Dividends on Nonredeemable Preferred Stock With Initial Below Market Dividend Rates</w:t>
            </w:r>
            <w:r w:rsidRPr="004005A4">
              <w:rPr>
                <w:rFonts w:cs="Calibri Light"/>
                <w:i/>
                <w:sz w:val="20"/>
                <w:szCs w:val="20"/>
              </w:rPr>
              <w:t xml:space="preserve"> </w:t>
            </w:r>
            <w:r w:rsidRPr="004005A4">
              <w:rPr>
                <w:rFonts w:cs="Calibri Light"/>
                <w:sz w:val="20"/>
                <w:szCs w:val="20"/>
              </w:rPr>
              <w:t>(also known as “increasing rate preferred stock”).</w:t>
            </w:r>
          </w:p>
        </w:tc>
        <w:tc>
          <w:tcPr>
            <w:tcW w:w="1209" w:type="dxa"/>
            <w:gridSpan w:val="2"/>
            <w:tcBorders>
              <w:top w:val="single" w:sz="6" w:space="0" w:color="auto"/>
            </w:tcBorders>
            <w:vAlign w:val="bottom"/>
          </w:tcPr>
          <w:p w14:paraId="46D2AD7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B56334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54FA24B3"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2DC5E2C" w14:textId="77777777" w:rsidTr="00CC36C1">
        <w:trPr>
          <w:gridBefore w:val="1"/>
          <w:wBefore w:w="17" w:type="dxa"/>
        </w:trPr>
        <w:tc>
          <w:tcPr>
            <w:tcW w:w="7483" w:type="dxa"/>
            <w:gridSpan w:val="2"/>
          </w:tcPr>
          <w:p w14:paraId="2024D346" w14:textId="019DEB7B"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sz w:val="20"/>
                <w:szCs w:val="20"/>
              </w:rPr>
            </w:pPr>
            <w:r w:rsidRPr="004005A4">
              <w:rPr>
                <w:rFonts w:cs="Calibri Light"/>
                <w:sz w:val="20"/>
                <w:szCs w:val="20"/>
              </w:rPr>
              <w:t>*</w:t>
            </w:r>
            <w:r w:rsidRPr="004005A4">
              <w:rPr>
                <w:rFonts w:cs="Calibri Light"/>
                <w:b/>
                <w:sz w:val="20"/>
                <w:szCs w:val="20"/>
              </w:rPr>
              <w:t>Restrictions that limit the payment of dividends by registrant:</w:t>
            </w:r>
            <w:r w:rsidRPr="004005A4">
              <w:rPr>
                <w:rFonts w:cs="Calibri Light"/>
                <w:sz w:val="20"/>
                <w:szCs w:val="20"/>
              </w:rPr>
              <w:t xml:space="preserve"> </w:t>
            </w:r>
          </w:p>
        </w:tc>
        <w:tc>
          <w:tcPr>
            <w:tcW w:w="1209" w:type="dxa"/>
            <w:gridSpan w:val="2"/>
            <w:vAlign w:val="bottom"/>
          </w:tcPr>
          <w:p w14:paraId="3FC9F98C"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27756E3"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774D12E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35F2FED" w14:textId="77777777" w:rsidTr="00CC36C1">
        <w:trPr>
          <w:gridBefore w:val="1"/>
          <w:wBefore w:w="17" w:type="dxa"/>
        </w:trPr>
        <w:tc>
          <w:tcPr>
            <w:tcW w:w="7483" w:type="dxa"/>
            <w:gridSpan w:val="2"/>
          </w:tcPr>
          <w:p w14:paraId="3B15A7DC" w14:textId="47AFEE92" w:rsidR="006F3A86" w:rsidRPr="004005A4" w:rsidRDefault="006F3A86" w:rsidP="006F3A86">
            <w:pPr>
              <w:pStyle w:val="level2"/>
              <w:tabs>
                <w:tab w:val="clear" w:pos="576"/>
                <w:tab w:val="clear" w:pos="1152"/>
              </w:tabs>
              <w:spacing w:after="120" w:line="240" w:lineRule="atLeast"/>
              <w:ind w:left="592" w:hanging="270"/>
              <w:rPr>
                <w:rFonts w:cs="Calibri Light"/>
                <w:sz w:val="20"/>
                <w:szCs w:val="20"/>
              </w:rPr>
            </w:pPr>
            <w:r w:rsidRPr="004005A4">
              <w:rPr>
                <w:rFonts w:cs="Calibri Light"/>
                <w:sz w:val="20"/>
                <w:szCs w:val="20"/>
              </w:rPr>
              <w:lastRenderedPageBreak/>
              <w:t>(1)</w:t>
            </w:r>
            <w:r w:rsidRPr="004005A4">
              <w:rPr>
                <w:rFonts w:cs="Calibri Light"/>
                <w:sz w:val="20"/>
                <w:szCs w:val="20"/>
              </w:rPr>
              <w:tab/>
              <w:t xml:space="preserve">Describe the most significant restrictions on the payment of dividends by the registrant, indicating their sources, their pertinent provisions, and the amount of retained earnings or net income restricted or free of restrictions.  </w:t>
            </w:r>
          </w:p>
        </w:tc>
        <w:tc>
          <w:tcPr>
            <w:tcW w:w="1209" w:type="dxa"/>
            <w:gridSpan w:val="2"/>
            <w:tcBorders>
              <w:bottom w:val="single" w:sz="6" w:space="0" w:color="auto"/>
            </w:tcBorders>
            <w:vAlign w:val="bottom"/>
          </w:tcPr>
          <w:p w14:paraId="48D56FA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F290D2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24EA161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2DCAC71" w14:textId="77777777" w:rsidTr="00CC36C1">
        <w:trPr>
          <w:gridBefore w:val="1"/>
          <w:wBefore w:w="17" w:type="dxa"/>
        </w:trPr>
        <w:tc>
          <w:tcPr>
            <w:tcW w:w="7483" w:type="dxa"/>
            <w:gridSpan w:val="2"/>
          </w:tcPr>
          <w:p w14:paraId="35BE6553" w14:textId="7B83CF78" w:rsidR="006F3A86" w:rsidRPr="004005A4" w:rsidRDefault="006F3A86" w:rsidP="006F3A86">
            <w:pPr>
              <w:pStyle w:val="level2"/>
              <w:tabs>
                <w:tab w:val="clear" w:pos="576"/>
                <w:tab w:val="clear" w:pos="1152"/>
              </w:tabs>
              <w:spacing w:after="120" w:line="240" w:lineRule="atLeast"/>
              <w:ind w:left="592" w:hanging="270"/>
              <w:rPr>
                <w:rFonts w:cs="Calibri Light"/>
                <w:sz w:val="20"/>
                <w:szCs w:val="20"/>
              </w:rPr>
            </w:pPr>
            <w:r w:rsidRPr="004005A4">
              <w:rPr>
                <w:rFonts w:cs="Calibri Light"/>
                <w:sz w:val="20"/>
                <w:szCs w:val="20"/>
              </w:rPr>
              <w:t>(2)</w:t>
            </w:r>
            <w:r w:rsidRPr="004005A4">
              <w:rPr>
                <w:rFonts w:cs="Calibri Light"/>
                <w:sz w:val="20"/>
                <w:szCs w:val="20"/>
              </w:rPr>
              <w:tab/>
              <w:t xml:space="preserve">Disclose the amount of consolidated retained earnings that represents undistributed earnings of 50%-or-less-owned persons accounted for by the equity method.  </w:t>
            </w:r>
          </w:p>
        </w:tc>
        <w:tc>
          <w:tcPr>
            <w:tcW w:w="1209" w:type="dxa"/>
            <w:gridSpan w:val="2"/>
            <w:tcBorders>
              <w:top w:val="single" w:sz="6" w:space="0" w:color="auto"/>
            </w:tcBorders>
            <w:vAlign w:val="bottom"/>
          </w:tcPr>
          <w:p w14:paraId="6441ECE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02A4C4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01BC60D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BE95A6D" w14:textId="77777777" w:rsidTr="00CC36C1">
        <w:trPr>
          <w:gridBefore w:val="1"/>
          <w:wBefore w:w="17" w:type="dxa"/>
        </w:trPr>
        <w:tc>
          <w:tcPr>
            <w:tcW w:w="7483" w:type="dxa"/>
            <w:gridSpan w:val="2"/>
          </w:tcPr>
          <w:p w14:paraId="56D040B2" w14:textId="43603693" w:rsidR="006F3A86" w:rsidRPr="004005A4" w:rsidRDefault="006F3A86" w:rsidP="006F3A86">
            <w:pPr>
              <w:pStyle w:val="level2"/>
              <w:tabs>
                <w:tab w:val="clear" w:pos="576"/>
                <w:tab w:val="clear" w:pos="1152"/>
              </w:tabs>
              <w:spacing w:after="120" w:line="240" w:lineRule="atLeast"/>
              <w:ind w:left="592" w:hanging="270"/>
              <w:rPr>
                <w:rFonts w:cs="Calibri Light"/>
                <w:sz w:val="20"/>
                <w:szCs w:val="20"/>
              </w:rPr>
            </w:pPr>
            <w:r w:rsidRPr="004005A4">
              <w:rPr>
                <w:rFonts w:cs="Calibri Light"/>
                <w:sz w:val="20"/>
                <w:szCs w:val="20"/>
              </w:rPr>
              <w:t>(3)</w:t>
            </w:r>
            <w:r w:rsidRPr="004005A4">
              <w:rPr>
                <w:rFonts w:cs="Calibri Light"/>
                <w:sz w:val="20"/>
                <w:szCs w:val="20"/>
              </w:rPr>
              <w:tab/>
              <w:t xml:space="preserve">Disclose the following information when material: </w:t>
            </w:r>
          </w:p>
        </w:tc>
        <w:tc>
          <w:tcPr>
            <w:tcW w:w="1209" w:type="dxa"/>
            <w:gridSpan w:val="2"/>
            <w:tcBorders>
              <w:top w:val="single" w:sz="4" w:space="0" w:color="auto"/>
            </w:tcBorders>
            <w:vAlign w:val="bottom"/>
          </w:tcPr>
          <w:p w14:paraId="0E4ECEC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05E465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BBC252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AEA3075" w14:textId="77777777" w:rsidTr="00CC36C1">
        <w:trPr>
          <w:gridBefore w:val="1"/>
          <w:wBefore w:w="17" w:type="dxa"/>
        </w:trPr>
        <w:tc>
          <w:tcPr>
            <w:tcW w:w="7483" w:type="dxa"/>
            <w:gridSpan w:val="2"/>
          </w:tcPr>
          <w:p w14:paraId="023EDDFE" w14:textId="77777777" w:rsidR="006F3A86" w:rsidRPr="004005A4" w:rsidRDefault="006F3A86" w:rsidP="006F3A86">
            <w:pPr>
              <w:pStyle w:val="level3"/>
              <w:tabs>
                <w:tab w:val="clear" w:pos="576"/>
                <w:tab w:val="clear" w:pos="1152"/>
              </w:tabs>
              <w:spacing w:after="120" w:line="240" w:lineRule="atLeast"/>
              <w:ind w:left="862" w:hanging="270"/>
              <w:rPr>
                <w:rFonts w:cs="Calibri Light"/>
                <w:sz w:val="20"/>
                <w:szCs w:val="20"/>
              </w:rPr>
            </w:pPr>
            <w:r w:rsidRPr="004005A4">
              <w:rPr>
                <w:rFonts w:cs="Calibri Light"/>
                <w:sz w:val="20"/>
                <w:szCs w:val="20"/>
              </w:rPr>
              <w:t>(i)</w:t>
            </w:r>
            <w:r w:rsidRPr="004005A4">
              <w:rPr>
                <w:rFonts w:cs="Calibri Light"/>
                <w:sz w:val="20"/>
                <w:szCs w:val="20"/>
              </w:rPr>
              <w:tab/>
              <w:t>Describe the nature of any restrictions on the ability of consolidated subsidiaries and unconsolidated subsidiaries to transfer funds to the registrant in the form of cash dividends, loans or advances (e.g., borrowing arrangements, regulatory restraints, foreign government).</w:t>
            </w:r>
          </w:p>
        </w:tc>
        <w:tc>
          <w:tcPr>
            <w:tcW w:w="1209" w:type="dxa"/>
            <w:gridSpan w:val="2"/>
            <w:tcBorders>
              <w:bottom w:val="single" w:sz="6" w:space="0" w:color="auto"/>
            </w:tcBorders>
            <w:vAlign w:val="bottom"/>
          </w:tcPr>
          <w:p w14:paraId="40D71D4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78C36D9"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7920D076"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C2CEA1D" w14:textId="77777777" w:rsidTr="00CC36C1">
        <w:trPr>
          <w:gridBefore w:val="1"/>
          <w:wBefore w:w="17" w:type="dxa"/>
        </w:trPr>
        <w:tc>
          <w:tcPr>
            <w:tcW w:w="7483" w:type="dxa"/>
            <w:gridSpan w:val="2"/>
          </w:tcPr>
          <w:p w14:paraId="0551E06F" w14:textId="77777777" w:rsidR="006F3A86" w:rsidRPr="004005A4" w:rsidRDefault="006F3A86" w:rsidP="006F3A86">
            <w:pPr>
              <w:pStyle w:val="level3"/>
              <w:tabs>
                <w:tab w:val="clear" w:pos="576"/>
                <w:tab w:val="clear" w:pos="1152"/>
              </w:tabs>
              <w:spacing w:after="120" w:line="240" w:lineRule="atLeast"/>
              <w:ind w:left="862" w:hanging="270"/>
              <w:rPr>
                <w:rFonts w:cs="Calibri Light"/>
                <w:sz w:val="20"/>
                <w:szCs w:val="20"/>
              </w:rPr>
            </w:pPr>
            <w:r w:rsidRPr="004005A4">
              <w:rPr>
                <w:rFonts w:cs="Calibri Light"/>
                <w:sz w:val="20"/>
                <w:szCs w:val="20"/>
              </w:rPr>
              <w:t>(ii)</w:t>
            </w:r>
            <w:r w:rsidRPr="004005A4">
              <w:rPr>
                <w:rFonts w:cs="Calibri Light"/>
                <w:sz w:val="20"/>
                <w:szCs w:val="20"/>
              </w:rPr>
              <w:tab/>
              <w:t>Disclose separately the amounts of such restricted net assets for unconsolidated subsidiaries and consolidated subsidiaries as of the end of the most recently completed fiscal year.</w:t>
            </w:r>
          </w:p>
        </w:tc>
        <w:tc>
          <w:tcPr>
            <w:tcW w:w="1209" w:type="dxa"/>
            <w:gridSpan w:val="2"/>
            <w:tcBorders>
              <w:top w:val="single" w:sz="6" w:space="0" w:color="auto"/>
              <w:bottom w:val="single" w:sz="4" w:space="0" w:color="auto"/>
            </w:tcBorders>
            <w:vAlign w:val="bottom"/>
          </w:tcPr>
          <w:p w14:paraId="311BB36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EBE4F49"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35F4675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0D1A906" w14:textId="77777777" w:rsidTr="00CC36C1">
        <w:trPr>
          <w:gridBefore w:val="1"/>
          <w:wBefore w:w="17" w:type="dxa"/>
        </w:trPr>
        <w:tc>
          <w:tcPr>
            <w:tcW w:w="7483" w:type="dxa"/>
            <w:gridSpan w:val="2"/>
          </w:tcPr>
          <w:p w14:paraId="621E4A40" w14:textId="0A0E9564" w:rsidR="006F3A86" w:rsidRPr="004005A4" w:rsidRDefault="006F3A86" w:rsidP="006F3A86">
            <w:pPr>
              <w:pStyle w:val="level5"/>
              <w:tabs>
                <w:tab w:val="clear" w:pos="576"/>
                <w:tab w:val="clear" w:pos="1152"/>
              </w:tabs>
              <w:spacing w:after="120" w:line="240" w:lineRule="atLeast"/>
              <w:ind w:left="322" w:firstLine="18"/>
              <w:rPr>
                <w:rFonts w:cs="Calibri Light"/>
                <w:b/>
                <w:sz w:val="20"/>
                <w:szCs w:val="20"/>
              </w:rPr>
            </w:pPr>
            <w:r w:rsidRPr="004005A4">
              <w:rPr>
                <w:rFonts w:cs="Calibri Light"/>
                <w:sz w:val="20"/>
                <w:szCs w:val="20"/>
              </w:rPr>
              <w:t>Note: As defined by S-X</w:t>
            </w:r>
            <w:r w:rsidR="009A20B8">
              <w:rPr>
                <w:rFonts w:cs="Calibri Light"/>
                <w:sz w:val="20"/>
                <w:szCs w:val="20"/>
              </w:rPr>
              <w:t xml:space="preserve"> Rule </w:t>
            </w:r>
            <w:r w:rsidRPr="004005A4">
              <w:rPr>
                <w:rFonts w:cs="Calibri Light"/>
                <w:sz w:val="20"/>
                <w:szCs w:val="20"/>
              </w:rPr>
              <w:t xml:space="preserve">1-02(dd), the term “restricted net assets” shall mean that amount of the registrant's proportionate share of net assets of consolidated subsidiaries (after intercompany eliminations) which as of the end of the most recent fiscal year may not be transferred to the parent company by subsidiaries in the form of loans, advances, or cash dividends without the consent of a third party (i.e., lender, regulatory agency, foreign government, etc.). Not all limitations on transferability of assets are considered to be restrictions for purposes of this rule paragraph, which considers only specific third-party restrictions on the ability of subsidiaries to transfer funds outside of the entity. For example, the presence of subsidiary debt which is secured by certain of the subsidiary's assets does not constitute a restriction under this rule paragraph. However, if there are any loan provisions prohibiting dividend payments, loans, or advances to the parent by a subsidiary, these are considered restrictions for purposes of computing restricted net assets. When a loan agreement requires that a subsidiary maintain certain working capital, net tangible asset, or net asset levels, or where formal compensating arrangements exist, there is considered to be a restriction under the rule of this paragraph because the lender's intent is normally to preclude the transfer by dividend or otherwise of funds to the parent company. Similarly, a provision which requires that a subsidiary reinvest all of its earnings is a restriction, since this precludes loans, advances, or dividends in the amount of such undistributed earnings by the entity. When restrictions on the amount of funds which may be loaned or advanced differ from the amount restricted as to transfer in the form of cash dividends, the amount least restrictive to the subsidiary shall be used. Redeemable preferred stocks and noncontrolling interests shall be deducted in computing net assets for purposes of this test. </w:t>
            </w:r>
          </w:p>
        </w:tc>
        <w:tc>
          <w:tcPr>
            <w:tcW w:w="1209" w:type="dxa"/>
            <w:gridSpan w:val="2"/>
            <w:tcBorders>
              <w:top w:val="single" w:sz="4" w:space="0" w:color="auto"/>
            </w:tcBorders>
            <w:vAlign w:val="bottom"/>
          </w:tcPr>
          <w:p w14:paraId="3F1372DC"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82A343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6212693"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9B5DBF3" w14:textId="77777777" w:rsidTr="00CC36C1">
        <w:trPr>
          <w:gridBefore w:val="1"/>
          <w:wBefore w:w="17" w:type="dxa"/>
        </w:trPr>
        <w:tc>
          <w:tcPr>
            <w:tcW w:w="7483" w:type="dxa"/>
            <w:gridSpan w:val="2"/>
          </w:tcPr>
          <w:p w14:paraId="764E19ED" w14:textId="5C4108AC"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b/>
                <w:sz w:val="20"/>
                <w:szCs w:val="20"/>
              </w:rPr>
            </w:pPr>
            <w:r w:rsidRPr="004005A4">
              <w:rPr>
                <w:rFonts w:cs="Calibri Light"/>
                <w:b/>
                <w:sz w:val="20"/>
                <w:szCs w:val="20"/>
              </w:rPr>
              <w:lastRenderedPageBreak/>
              <w:t>*</w:t>
            </w:r>
            <w:r>
              <w:rPr>
                <w:rFonts w:cs="Calibri Light"/>
                <w:b/>
                <w:sz w:val="20"/>
                <w:szCs w:val="20"/>
              </w:rPr>
              <w:t>S</w:t>
            </w:r>
            <w:r w:rsidRPr="004005A4">
              <w:rPr>
                <w:rFonts w:cs="Calibri Light"/>
                <w:b/>
                <w:sz w:val="20"/>
                <w:szCs w:val="20"/>
              </w:rPr>
              <w:t xml:space="preserve">ignificant changes in authorized amounts of bonds, mortgages, and similar debt </w:t>
            </w:r>
            <w:r w:rsidRPr="004005A4">
              <w:rPr>
                <w:rFonts w:cs="Calibri Light"/>
                <w:sz w:val="20"/>
                <w:szCs w:val="20"/>
              </w:rPr>
              <w:t>subsequent to the date of the latest balance sheet being filed.  See FRR Section 217 regarding debt defeasance.</w:t>
            </w:r>
          </w:p>
        </w:tc>
        <w:tc>
          <w:tcPr>
            <w:tcW w:w="1209" w:type="dxa"/>
            <w:gridSpan w:val="2"/>
            <w:tcBorders>
              <w:bottom w:val="single" w:sz="6" w:space="0" w:color="auto"/>
            </w:tcBorders>
            <w:vAlign w:val="bottom"/>
          </w:tcPr>
          <w:p w14:paraId="2D4595A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18A172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09A63E6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B45839B" w14:textId="77777777" w:rsidTr="008A15E7">
        <w:trPr>
          <w:gridBefore w:val="1"/>
          <w:wBefore w:w="17" w:type="dxa"/>
        </w:trPr>
        <w:tc>
          <w:tcPr>
            <w:tcW w:w="7483" w:type="dxa"/>
            <w:gridSpan w:val="2"/>
          </w:tcPr>
          <w:p w14:paraId="60C3D8E2" w14:textId="4A24781A"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sz w:val="20"/>
                <w:szCs w:val="20"/>
              </w:rPr>
            </w:pPr>
            <w:r w:rsidRPr="004005A4">
              <w:rPr>
                <w:rFonts w:cs="Calibri Light"/>
                <w:b/>
                <w:sz w:val="20"/>
                <w:szCs w:val="20"/>
              </w:rPr>
              <w:t xml:space="preserve">Summarized financial information </w:t>
            </w:r>
            <w:r w:rsidRPr="004005A4">
              <w:rPr>
                <w:rFonts w:cs="Calibri Light"/>
                <w:sz w:val="20"/>
                <w:szCs w:val="20"/>
              </w:rPr>
              <w:t>of subsidiaries not consolidated and 50%-or-less-owned persons:</w:t>
            </w:r>
          </w:p>
        </w:tc>
        <w:tc>
          <w:tcPr>
            <w:tcW w:w="1209" w:type="dxa"/>
            <w:gridSpan w:val="2"/>
            <w:tcBorders>
              <w:top w:val="single" w:sz="6" w:space="0" w:color="auto"/>
            </w:tcBorders>
            <w:vAlign w:val="bottom"/>
          </w:tcPr>
          <w:p w14:paraId="54644D9C"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7024F03"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1E9DEAC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2FCBAEF" w14:textId="77777777" w:rsidTr="008A15E7">
        <w:trPr>
          <w:gridBefore w:val="1"/>
          <w:wBefore w:w="17" w:type="dxa"/>
        </w:trPr>
        <w:tc>
          <w:tcPr>
            <w:tcW w:w="7483" w:type="dxa"/>
            <w:gridSpan w:val="2"/>
          </w:tcPr>
          <w:p w14:paraId="43BFFA2D" w14:textId="77777777" w:rsidR="00ED29DA"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(1)</w:t>
            </w:r>
            <w:r w:rsidRPr="004005A4">
              <w:rPr>
                <w:rFonts w:cs="Calibri Light"/>
                <w:sz w:val="20"/>
                <w:szCs w:val="20"/>
              </w:rPr>
              <w:tab/>
            </w:r>
            <w:r w:rsidRPr="00DD5DDF">
              <w:rPr>
                <w:rFonts w:cs="Calibri Light"/>
                <w:sz w:val="20"/>
                <w:szCs w:val="20"/>
              </w:rPr>
              <w:t>The summarized information as to assets, liabilities</w:t>
            </w:r>
            <w:r>
              <w:rPr>
                <w:rFonts w:cs="Calibri Light"/>
                <w:sz w:val="20"/>
                <w:szCs w:val="20"/>
              </w:rPr>
              <w:t>,</w:t>
            </w:r>
            <w:r w:rsidRPr="00DD5DDF">
              <w:rPr>
                <w:rFonts w:cs="Calibri Light"/>
                <w:sz w:val="20"/>
                <w:szCs w:val="20"/>
              </w:rPr>
              <w:t xml:space="preserve"> and results of operations as detailed in </w:t>
            </w:r>
            <w:r>
              <w:rPr>
                <w:rFonts w:cs="Calibri Light"/>
                <w:sz w:val="20"/>
                <w:szCs w:val="20"/>
              </w:rPr>
              <w:t xml:space="preserve">S-X Rule </w:t>
            </w:r>
            <w:r w:rsidRPr="00DD5DDF">
              <w:rPr>
                <w:rFonts w:cs="Calibri Light"/>
                <w:sz w:val="20"/>
                <w:szCs w:val="20"/>
              </w:rPr>
              <w:t>1-02(bb) shall be presented in notes to the financial statements on an individual or group basis for</w:t>
            </w:r>
            <w:r w:rsidRPr="00BC2603">
              <w:rPr>
                <w:rFonts w:cs="Calibri Light"/>
                <w:sz w:val="20"/>
                <w:szCs w:val="20"/>
              </w:rPr>
              <w:t xml:space="preserve"> </w:t>
            </w:r>
            <w:r>
              <w:rPr>
                <w:rFonts w:cs="Calibri Light"/>
                <w:sz w:val="20"/>
                <w:szCs w:val="20"/>
              </w:rPr>
              <w:t>(i) s</w:t>
            </w:r>
            <w:r w:rsidRPr="00BC2603">
              <w:rPr>
                <w:rFonts w:cs="Calibri Light"/>
                <w:sz w:val="20"/>
                <w:szCs w:val="20"/>
              </w:rPr>
              <w:t>ubsidiaries not consolidated; or</w:t>
            </w:r>
            <w:r w:rsidRPr="004005A4" w:rsidDel="00DD5DDF">
              <w:rPr>
                <w:rFonts w:cs="Calibri Light"/>
                <w:sz w:val="20"/>
                <w:szCs w:val="20"/>
              </w:rPr>
              <w:t xml:space="preserve"> </w:t>
            </w:r>
            <w:r>
              <w:rPr>
                <w:rFonts w:cs="Calibri Light"/>
                <w:sz w:val="20"/>
                <w:szCs w:val="20"/>
              </w:rPr>
              <w:t>(ii) f</w:t>
            </w:r>
            <w:r w:rsidRPr="00BC2603">
              <w:rPr>
                <w:rFonts w:cs="Calibri Light"/>
                <w:sz w:val="20"/>
                <w:szCs w:val="20"/>
              </w:rPr>
              <w:t xml:space="preserve">or 50 percent or less owned persons accounted for by the equity method by the registrant or by a subsidiary of the registrant, if the criteria in S-X </w:t>
            </w:r>
            <w:r>
              <w:rPr>
                <w:rFonts w:cs="Calibri Light"/>
                <w:sz w:val="20"/>
                <w:szCs w:val="20"/>
              </w:rPr>
              <w:t xml:space="preserve">Rule </w:t>
            </w:r>
            <w:r w:rsidRPr="00BC2603">
              <w:rPr>
                <w:rFonts w:cs="Calibri Light"/>
                <w:sz w:val="20"/>
                <w:szCs w:val="20"/>
              </w:rPr>
              <w:t>1-02(w) for a significant subsidiary are met</w:t>
            </w:r>
            <w:r w:rsidR="00ED29DA">
              <w:rPr>
                <w:rFonts w:cs="Calibri Light"/>
                <w:sz w:val="20"/>
                <w:szCs w:val="20"/>
              </w:rPr>
              <w:t>:</w:t>
            </w:r>
          </w:p>
          <w:p w14:paraId="24D68F93" w14:textId="6B5923F8" w:rsidR="006F3A86" w:rsidRPr="004005A4" w:rsidRDefault="006F3A86" w:rsidP="00D7481A">
            <w:pPr>
              <w:pStyle w:val="level2"/>
              <w:tabs>
                <w:tab w:val="clear" w:pos="576"/>
                <w:tab w:val="clear" w:pos="1152"/>
                <w:tab w:val="clear" w:pos="2304"/>
                <w:tab w:val="left" w:pos="867"/>
              </w:tabs>
              <w:spacing w:after="120" w:line="240" w:lineRule="atLeast"/>
              <w:ind w:left="867" w:hanging="362"/>
              <w:rPr>
                <w:rFonts w:cs="Calibri Light"/>
                <w:sz w:val="20"/>
                <w:szCs w:val="20"/>
              </w:rPr>
            </w:pPr>
            <w:r>
              <w:rPr>
                <w:rFonts w:cs="Calibri Light"/>
                <w:sz w:val="20"/>
                <w:szCs w:val="20"/>
              </w:rPr>
              <w:t xml:space="preserve">(A) </w:t>
            </w:r>
            <w:r w:rsidR="00D7481A">
              <w:rPr>
                <w:rFonts w:cs="Calibri Light"/>
                <w:sz w:val="20"/>
                <w:szCs w:val="20"/>
              </w:rPr>
              <w:tab/>
            </w:r>
            <w:r>
              <w:rPr>
                <w:rFonts w:cs="Calibri Light"/>
                <w:sz w:val="20"/>
                <w:szCs w:val="20"/>
              </w:rPr>
              <w:t>i</w:t>
            </w:r>
            <w:r w:rsidRPr="00BC2603">
              <w:rPr>
                <w:rFonts w:cs="Calibri Light"/>
                <w:sz w:val="20"/>
                <w:szCs w:val="20"/>
              </w:rPr>
              <w:t>ndividually by any subsidiary not consolidated or any 50% or less owned person</w:t>
            </w:r>
            <w:r>
              <w:rPr>
                <w:rFonts w:cs="Calibri Light"/>
                <w:sz w:val="20"/>
                <w:szCs w:val="20"/>
              </w:rPr>
              <w:t xml:space="preserve"> or </w:t>
            </w:r>
          </w:p>
        </w:tc>
        <w:tc>
          <w:tcPr>
            <w:tcW w:w="1209" w:type="dxa"/>
            <w:gridSpan w:val="2"/>
            <w:tcBorders>
              <w:bottom w:val="single" w:sz="4" w:space="0" w:color="auto"/>
            </w:tcBorders>
            <w:vAlign w:val="bottom"/>
          </w:tcPr>
          <w:p w14:paraId="564ED21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8DDC3F3"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5EB2F8B9" w14:textId="77777777" w:rsidR="006F3A86" w:rsidRPr="004005A4" w:rsidRDefault="006F3A86" w:rsidP="006F3A86">
            <w:pPr>
              <w:spacing w:before="120" w:after="120" w:line="240" w:lineRule="atLeast"/>
              <w:jc w:val="center"/>
              <w:rPr>
                <w:rFonts w:cs="Calibri Light"/>
                <w:b/>
                <w:sz w:val="20"/>
                <w:szCs w:val="20"/>
              </w:rPr>
            </w:pPr>
          </w:p>
        </w:tc>
      </w:tr>
      <w:tr w:rsidR="00D7481A" w:rsidRPr="004005A4" w14:paraId="59B69E2B" w14:textId="77777777" w:rsidTr="008A15E7">
        <w:trPr>
          <w:gridBefore w:val="1"/>
          <w:wBefore w:w="17" w:type="dxa"/>
        </w:trPr>
        <w:tc>
          <w:tcPr>
            <w:tcW w:w="7483" w:type="dxa"/>
            <w:gridSpan w:val="2"/>
          </w:tcPr>
          <w:p w14:paraId="7937254B" w14:textId="55C5E232" w:rsidR="00D7481A" w:rsidRPr="004005A4" w:rsidRDefault="00D7481A" w:rsidP="00D7481A">
            <w:pPr>
              <w:pStyle w:val="level2"/>
              <w:tabs>
                <w:tab w:val="clear" w:pos="576"/>
                <w:tab w:val="clear" w:pos="1152"/>
                <w:tab w:val="clear" w:pos="2304"/>
                <w:tab w:val="left" w:pos="867"/>
              </w:tabs>
              <w:spacing w:after="120" w:line="240" w:lineRule="atLeast"/>
              <w:ind w:left="867" w:hanging="362"/>
              <w:rPr>
                <w:rFonts w:cs="Calibri Light"/>
                <w:sz w:val="20"/>
                <w:szCs w:val="20"/>
              </w:rPr>
            </w:pPr>
            <w:r>
              <w:rPr>
                <w:rFonts w:cs="Calibri Light"/>
                <w:sz w:val="20"/>
                <w:szCs w:val="20"/>
              </w:rPr>
              <w:t xml:space="preserve">(B) </w:t>
            </w:r>
            <w:r>
              <w:rPr>
                <w:rFonts w:cs="Calibri Light"/>
                <w:sz w:val="20"/>
                <w:szCs w:val="20"/>
              </w:rPr>
              <w:tab/>
              <w:t>o</w:t>
            </w:r>
            <w:r w:rsidRPr="00BC2603">
              <w:rPr>
                <w:rFonts w:cs="Calibri Light"/>
                <w:sz w:val="20"/>
                <w:szCs w:val="20"/>
              </w:rPr>
              <w:t>n an aggregated basis by any combination of such subsidiaries and persons.</w:t>
            </w:r>
          </w:p>
        </w:tc>
        <w:tc>
          <w:tcPr>
            <w:tcW w:w="1209" w:type="dxa"/>
            <w:gridSpan w:val="2"/>
            <w:tcBorders>
              <w:top w:val="single" w:sz="4" w:space="0" w:color="auto"/>
            </w:tcBorders>
            <w:vAlign w:val="bottom"/>
          </w:tcPr>
          <w:p w14:paraId="539EA216" w14:textId="77777777" w:rsidR="00D7481A" w:rsidRPr="004005A4" w:rsidRDefault="00D7481A" w:rsidP="006F3A86">
            <w:pPr>
              <w:spacing w:before="120" w:after="120" w:line="240" w:lineRule="atLeast"/>
              <w:jc w:val="center"/>
              <w:rPr>
                <w:rFonts w:cs="Calibri Light"/>
                <w:b/>
                <w:sz w:val="20"/>
                <w:szCs w:val="20"/>
              </w:rPr>
            </w:pPr>
          </w:p>
        </w:tc>
        <w:tc>
          <w:tcPr>
            <w:tcW w:w="236" w:type="dxa"/>
            <w:gridSpan w:val="3"/>
            <w:vAlign w:val="bottom"/>
          </w:tcPr>
          <w:p w14:paraId="07BCF8F1" w14:textId="77777777" w:rsidR="00D7481A" w:rsidRPr="004005A4" w:rsidRDefault="00D7481A"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7A6EBF2" w14:textId="77777777" w:rsidR="00D7481A" w:rsidRPr="004005A4" w:rsidRDefault="00D7481A" w:rsidP="006F3A86">
            <w:pPr>
              <w:spacing w:before="120" w:after="120" w:line="240" w:lineRule="atLeast"/>
              <w:jc w:val="center"/>
              <w:rPr>
                <w:rFonts w:cs="Calibri Light"/>
                <w:b/>
                <w:sz w:val="20"/>
                <w:szCs w:val="20"/>
              </w:rPr>
            </w:pPr>
          </w:p>
        </w:tc>
      </w:tr>
      <w:tr w:rsidR="006F3A86" w:rsidRPr="004005A4" w14:paraId="41BA8748" w14:textId="77777777" w:rsidTr="00CC36C1">
        <w:trPr>
          <w:gridBefore w:val="1"/>
          <w:wBefore w:w="17" w:type="dxa"/>
        </w:trPr>
        <w:tc>
          <w:tcPr>
            <w:tcW w:w="7483" w:type="dxa"/>
            <w:gridSpan w:val="2"/>
          </w:tcPr>
          <w:p w14:paraId="049C219E" w14:textId="69DF2AFB"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(2)</w:t>
            </w:r>
            <w:r w:rsidRPr="004005A4">
              <w:rPr>
                <w:rFonts w:cs="Calibri Light"/>
                <w:sz w:val="20"/>
                <w:szCs w:val="20"/>
              </w:rPr>
              <w:tab/>
            </w:r>
            <w:r w:rsidRPr="00DD5DDF">
              <w:rPr>
                <w:rFonts w:cs="Calibri Light"/>
                <w:sz w:val="20"/>
                <w:szCs w:val="20"/>
              </w:rPr>
              <w:t xml:space="preserve">Summarized financial information shall be presented insofar as is practicable as of the same dates and for the same periods as the audited consolidated financial statements provided and shall include the disclosures prescribed by </w:t>
            </w:r>
            <w:r>
              <w:rPr>
                <w:rFonts w:cs="Calibri Light"/>
                <w:sz w:val="20"/>
                <w:szCs w:val="20"/>
              </w:rPr>
              <w:t xml:space="preserve">S-X Rule </w:t>
            </w:r>
            <w:r w:rsidRPr="00DD5DDF">
              <w:rPr>
                <w:rFonts w:cs="Calibri Light"/>
                <w:sz w:val="20"/>
                <w:szCs w:val="20"/>
              </w:rPr>
              <w:t>1-02(bb). Summarized information of subsidiaries not consolidated shall not be combined for disclosure purposes with the summarized information of 50 percent or less owned persons.</w:t>
            </w:r>
          </w:p>
        </w:tc>
        <w:tc>
          <w:tcPr>
            <w:tcW w:w="1209" w:type="dxa"/>
            <w:gridSpan w:val="2"/>
            <w:tcBorders>
              <w:top w:val="single" w:sz="4" w:space="0" w:color="auto"/>
            </w:tcBorders>
            <w:vAlign w:val="bottom"/>
          </w:tcPr>
          <w:p w14:paraId="74C2661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0D45DD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E2021B9"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64A6BEF" w14:textId="77777777" w:rsidTr="00CC36C1">
        <w:trPr>
          <w:gridBefore w:val="1"/>
          <w:wBefore w:w="17" w:type="dxa"/>
        </w:trPr>
        <w:tc>
          <w:tcPr>
            <w:tcW w:w="7483" w:type="dxa"/>
            <w:gridSpan w:val="2"/>
          </w:tcPr>
          <w:p w14:paraId="2BE49D2A" w14:textId="19E4F5DB"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b/>
                <w:sz w:val="20"/>
                <w:szCs w:val="20"/>
              </w:rPr>
            </w:pPr>
            <w:r w:rsidRPr="004005A4">
              <w:rPr>
                <w:rFonts w:cs="Calibri Light"/>
                <w:b/>
                <w:sz w:val="20"/>
                <w:szCs w:val="20"/>
              </w:rPr>
              <w:t>Income tax expense —</w:t>
            </w:r>
          </w:p>
        </w:tc>
        <w:tc>
          <w:tcPr>
            <w:tcW w:w="1209" w:type="dxa"/>
            <w:gridSpan w:val="2"/>
            <w:tcBorders>
              <w:top w:val="single" w:sz="4" w:space="0" w:color="auto"/>
            </w:tcBorders>
            <w:vAlign w:val="bottom"/>
          </w:tcPr>
          <w:p w14:paraId="7C6E1D1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75EC41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9964E6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1E564E1" w14:textId="77777777" w:rsidTr="00CC36C1">
        <w:trPr>
          <w:gridBefore w:val="1"/>
          <w:wBefore w:w="17" w:type="dxa"/>
          <w:trHeight w:val="495"/>
        </w:trPr>
        <w:tc>
          <w:tcPr>
            <w:tcW w:w="7483" w:type="dxa"/>
            <w:gridSpan w:val="2"/>
          </w:tcPr>
          <w:p w14:paraId="401B7163" w14:textId="6F262160"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(1)</w:t>
            </w:r>
            <w:r w:rsidRPr="004005A4">
              <w:rPr>
                <w:rFonts w:cs="Calibri Light"/>
                <w:b/>
                <w:sz w:val="20"/>
                <w:szCs w:val="20"/>
              </w:rPr>
              <w:tab/>
              <w:t xml:space="preserve">Major components of tax expense.  </w:t>
            </w:r>
            <w:r w:rsidRPr="004005A4">
              <w:rPr>
                <w:rFonts w:cs="Calibri Light"/>
                <w:sz w:val="20"/>
                <w:szCs w:val="20"/>
              </w:rPr>
              <w:t xml:space="preserve">Disclose in the statement of comprehensive income, or in a footnote, the domestic and foreign components of pretax income.  </w:t>
            </w:r>
          </w:p>
        </w:tc>
        <w:tc>
          <w:tcPr>
            <w:tcW w:w="1209" w:type="dxa"/>
            <w:gridSpan w:val="2"/>
            <w:tcBorders>
              <w:bottom w:val="single" w:sz="4" w:space="0" w:color="auto"/>
            </w:tcBorders>
            <w:vAlign w:val="bottom"/>
          </w:tcPr>
          <w:p w14:paraId="77D9BA54"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6CE20C6"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5CCC3A4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8B0FF7A" w14:textId="77777777" w:rsidTr="00CC36C1">
        <w:trPr>
          <w:gridBefore w:val="1"/>
          <w:wBefore w:w="17" w:type="dxa"/>
        </w:trPr>
        <w:tc>
          <w:tcPr>
            <w:tcW w:w="7483" w:type="dxa"/>
            <w:gridSpan w:val="2"/>
          </w:tcPr>
          <w:p w14:paraId="785BDB75" w14:textId="6F5EE916" w:rsidR="006F3A86" w:rsidRPr="004005A4" w:rsidRDefault="006F3A86" w:rsidP="006F3A86">
            <w:pPr>
              <w:pStyle w:val="level2"/>
              <w:tabs>
                <w:tab w:val="clear" w:pos="576"/>
                <w:tab w:val="clear" w:pos="1152"/>
              </w:tabs>
              <w:spacing w:after="120" w:line="240" w:lineRule="atLeast"/>
              <w:ind w:left="502" w:firstLine="0"/>
              <w:rPr>
                <w:rFonts w:cs="Calibri Light"/>
                <w:b/>
                <w:sz w:val="20"/>
                <w:szCs w:val="20"/>
              </w:rPr>
            </w:pPr>
            <w:r w:rsidRPr="004005A4">
              <w:rPr>
                <w:rFonts w:cs="Calibri Light"/>
                <w:b/>
                <w:sz w:val="20"/>
                <w:szCs w:val="20"/>
              </w:rPr>
              <w:t xml:space="preserve">Federal, foreign, and state income taxes.  </w:t>
            </w:r>
            <w:r w:rsidRPr="004005A4">
              <w:rPr>
                <w:rFonts w:cs="Calibri Light"/>
                <w:sz w:val="20"/>
                <w:szCs w:val="20"/>
              </w:rPr>
              <w:t xml:space="preserve">Amounts applicable to United States Federal income taxes, </w:t>
            </w:r>
            <w:r>
              <w:rPr>
                <w:rFonts w:cs="Calibri Light"/>
                <w:sz w:val="20"/>
                <w:szCs w:val="20"/>
              </w:rPr>
              <w:t xml:space="preserve">to </w:t>
            </w:r>
            <w:r w:rsidRPr="004005A4">
              <w:rPr>
                <w:rFonts w:cs="Calibri Light"/>
                <w:sz w:val="20"/>
                <w:szCs w:val="20"/>
              </w:rPr>
              <w:t>foreign income taxes, and the other income taxes shall be stated separately for each major component. Amounts applicable to foreign income (loss) and amounts applicable to foreign or other income taxes which are less than five percent of the total of income before taxes or the component of tax expense, respectively, need not be separately disclosed.</w:t>
            </w:r>
            <w:r w:rsidRPr="004005A4" w:rsidDel="00397DBA">
              <w:rPr>
                <w:rFonts w:cs="Calibri Light"/>
                <w:sz w:val="20"/>
                <w:szCs w:val="20"/>
              </w:rPr>
              <w:t xml:space="preserve"> </w:t>
            </w:r>
          </w:p>
        </w:tc>
        <w:tc>
          <w:tcPr>
            <w:tcW w:w="1209" w:type="dxa"/>
            <w:gridSpan w:val="2"/>
            <w:tcBorders>
              <w:top w:val="single" w:sz="4" w:space="0" w:color="auto"/>
              <w:bottom w:val="single" w:sz="4" w:space="0" w:color="auto"/>
            </w:tcBorders>
            <w:vAlign w:val="bottom"/>
          </w:tcPr>
          <w:p w14:paraId="76FF21E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4C43AE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714EC1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0E7C6B5" w14:textId="77777777" w:rsidTr="00CC36C1">
        <w:trPr>
          <w:gridBefore w:val="1"/>
          <w:wBefore w:w="17" w:type="dxa"/>
        </w:trPr>
        <w:tc>
          <w:tcPr>
            <w:tcW w:w="7483" w:type="dxa"/>
            <w:gridSpan w:val="2"/>
          </w:tcPr>
          <w:p w14:paraId="2945A0BF" w14:textId="61D2EA28"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(2)</w:t>
            </w:r>
            <w:r w:rsidRPr="004005A4">
              <w:rPr>
                <w:rFonts w:cs="Calibri Light"/>
                <w:sz w:val="20"/>
                <w:szCs w:val="20"/>
              </w:rPr>
              <w:tab/>
            </w:r>
            <w:r w:rsidRPr="004005A4">
              <w:rPr>
                <w:rFonts w:cs="Calibri Light"/>
                <w:b/>
                <w:sz w:val="20"/>
                <w:szCs w:val="20"/>
              </w:rPr>
              <w:t xml:space="preserve">Reconciliation.  </w:t>
            </w:r>
            <w:r w:rsidRPr="004005A4">
              <w:rPr>
                <w:rFonts w:cs="Calibri Light"/>
                <w:sz w:val="20"/>
                <w:szCs w:val="20"/>
              </w:rPr>
              <w:t xml:space="preserve">Provide a reconciliation between the reported income tax expense (benefit) and the amount computed by multiplying pretax income (loss) by the statutory federal tax rate.  See ASC Paragraph 740-10-50-12. </w:t>
            </w:r>
            <w:bookmarkStart w:id="25" w:name="subdoc129"/>
            <w:bookmarkEnd w:id="25"/>
          </w:p>
        </w:tc>
        <w:tc>
          <w:tcPr>
            <w:tcW w:w="1209" w:type="dxa"/>
            <w:gridSpan w:val="2"/>
            <w:tcBorders>
              <w:top w:val="single" w:sz="4" w:space="0" w:color="auto"/>
              <w:bottom w:val="single" w:sz="4" w:space="0" w:color="auto"/>
            </w:tcBorders>
            <w:vAlign w:val="bottom"/>
          </w:tcPr>
          <w:p w14:paraId="6F34866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D159834"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07CDAE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83347A8" w14:textId="77777777" w:rsidTr="00CC36C1">
        <w:trPr>
          <w:gridBefore w:val="1"/>
          <w:wBefore w:w="17" w:type="dxa"/>
        </w:trPr>
        <w:tc>
          <w:tcPr>
            <w:tcW w:w="7483" w:type="dxa"/>
            <w:gridSpan w:val="2"/>
          </w:tcPr>
          <w:p w14:paraId="3947E71A" w14:textId="40B772D0" w:rsidR="006F3A86" w:rsidRPr="004005A4" w:rsidRDefault="006F3A86" w:rsidP="006F3A86">
            <w:pPr>
              <w:pStyle w:val="level2"/>
              <w:numPr>
                <w:ilvl w:val="2"/>
                <w:numId w:val="28"/>
              </w:numPr>
              <w:tabs>
                <w:tab w:val="clear" w:pos="576"/>
                <w:tab w:val="clear" w:pos="1152"/>
                <w:tab w:val="clear" w:pos="1728"/>
                <w:tab w:val="clear" w:pos="2304"/>
              </w:tabs>
              <w:spacing w:after="120" w:line="240" w:lineRule="atLeast"/>
              <w:ind w:left="772" w:hanging="270"/>
              <w:rPr>
                <w:rFonts w:cs="Calibri Light"/>
                <w:sz w:val="20"/>
                <w:szCs w:val="20"/>
              </w:rPr>
            </w:pPr>
            <w:r w:rsidRPr="004005A4">
              <w:rPr>
                <w:rFonts w:cs="Calibri Light"/>
                <w:sz w:val="20"/>
                <w:szCs w:val="20"/>
              </w:rPr>
              <w:t xml:space="preserve">If no individual reconciling item amounts to more than 5 percent of the amount computed by multiplying the income before tax by the applicable statutory Federal income tax rate, and the total difference to be reconciled is less than 5 percent of such amount, no reconciliation needs to be provided. </w:t>
            </w:r>
          </w:p>
        </w:tc>
        <w:tc>
          <w:tcPr>
            <w:tcW w:w="1209" w:type="dxa"/>
            <w:gridSpan w:val="2"/>
            <w:tcBorders>
              <w:top w:val="single" w:sz="4" w:space="0" w:color="auto"/>
              <w:bottom w:val="single" w:sz="4" w:space="0" w:color="auto"/>
            </w:tcBorders>
            <w:vAlign w:val="bottom"/>
          </w:tcPr>
          <w:p w14:paraId="1679B06E"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5723996"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A18103A"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6C22D59" w14:textId="77777777" w:rsidTr="00CC36C1">
        <w:trPr>
          <w:gridBefore w:val="1"/>
          <w:wBefore w:w="17" w:type="dxa"/>
        </w:trPr>
        <w:tc>
          <w:tcPr>
            <w:tcW w:w="7483" w:type="dxa"/>
            <w:gridSpan w:val="2"/>
          </w:tcPr>
          <w:p w14:paraId="40649F69" w14:textId="33A20AC9" w:rsidR="006F3A86" w:rsidRPr="004005A4" w:rsidRDefault="006F3A86" w:rsidP="006F3A86">
            <w:pPr>
              <w:pStyle w:val="level2"/>
              <w:numPr>
                <w:ilvl w:val="2"/>
                <w:numId w:val="28"/>
              </w:numPr>
              <w:tabs>
                <w:tab w:val="clear" w:pos="576"/>
                <w:tab w:val="clear" w:pos="1152"/>
                <w:tab w:val="clear" w:pos="1728"/>
                <w:tab w:val="clear" w:pos="2304"/>
              </w:tabs>
              <w:spacing w:after="120" w:line="240" w:lineRule="atLeast"/>
              <w:ind w:left="772" w:hanging="270"/>
              <w:rPr>
                <w:rFonts w:cs="Calibri Light"/>
                <w:sz w:val="20"/>
                <w:szCs w:val="20"/>
              </w:rPr>
            </w:pPr>
            <w:r w:rsidRPr="004005A4">
              <w:rPr>
                <w:rFonts w:cs="Calibri Light"/>
                <w:sz w:val="20"/>
                <w:szCs w:val="20"/>
              </w:rPr>
              <w:lastRenderedPageBreak/>
              <w:t xml:space="preserve">Reconciling items that are individually less than 5 percent of the computed amount may be aggregated in the reconciliation.  </w:t>
            </w:r>
          </w:p>
        </w:tc>
        <w:tc>
          <w:tcPr>
            <w:tcW w:w="1209" w:type="dxa"/>
            <w:gridSpan w:val="2"/>
            <w:tcBorders>
              <w:top w:val="single" w:sz="4" w:space="0" w:color="auto"/>
              <w:bottom w:val="single" w:sz="4" w:space="0" w:color="auto"/>
            </w:tcBorders>
            <w:vAlign w:val="bottom"/>
          </w:tcPr>
          <w:p w14:paraId="6F4460C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D417FC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4CF7B83"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0325B15" w14:textId="77777777" w:rsidTr="00CC36C1">
        <w:trPr>
          <w:gridBefore w:val="1"/>
          <w:wBefore w:w="17" w:type="dxa"/>
        </w:trPr>
        <w:tc>
          <w:tcPr>
            <w:tcW w:w="7483" w:type="dxa"/>
            <w:gridSpan w:val="2"/>
          </w:tcPr>
          <w:p w14:paraId="3AFDA013" w14:textId="1ADD59C4" w:rsidR="006F3A86" w:rsidRPr="004005A4" w:rsidRDefault="006F3A86" w:rsidP="006F3A86">
            <w:pPr>
              <w:pStyle w:val="level2"/>
              <w:numPr>
                <w:ilvl w:val="2"/>
                <w:numId w:val="28"/>
              </w:numPr>
              <w:tabs>
                <w:tab w:val="clear" w:pos="576"/>
                <w:tab w:val="clear" w:pos="1152"/>
                <w:tab w:val="clear" w:pos="1728"/>
                <w:tab w:val="clear" w:pos="2304"/>
              </w:tabs>
              <w:spacing w:after="120" w:line="240" w:lineRule="atLeast"/>
              <w:ind w:left="772" w:hanging="270"/>
              <w:rPr>
                <w:rFonts w:cs="Calibri Light"/>
                <w:sz w:val="20"/>
                <w:szCs w:val="20"/>
              </w:rPr>
            </w:pPr>
            <w:r w:rsidRPr="004005A4">
              <w:rPr>
                <w:rFonts w:cs="Calibri Light"/>
                <w:sz w:val="20"/>
                <w:szCs w:val="20"/>
              </w:rPr>
              <w:t>If the reporting person is a foreign entity, the income tax rate in the person’s country of domicile should normally be used in making the above computation, but different rates should not be used for subsidiaries or other segments of a reporting entity.</w:t>
            </w:r>
          </w:p>
        </w:tc>
        <w:tc>
          <w:tcPr>
            <w:tcW w:w="1209" w:type="dxa"/>
            <w:gridSpan w:val="2"/>
            <w:tcBorders>
              <w:top w:val="single" w:sz="4" w:space="0" w:color="auto"/>
              <w:bottom w:val="single" w:sz="4" w:space="0" w:color="auto"/>
            </w:tcBorders>
            <w:vAlign w:val="bottom"/>
          </w:tcPr>
          <w:p w14:paraId="2EF2C1A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1FC322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31DFAF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4D53FC6" w14:textId="77777777" w:rsidTr="00CC36C1">
        <w:trPr>
          <w:gridBefore w:val="1"/>
          <w:wBefore w:w="17" w:type="dxa"/>
        </w:trPr>
        <w:tc>
          <w:tcPr>
            <w:tcW w:w="7483" w:type="dxa"/>
            <w:gridSpan w:val="2"/>
          </w:tcPr>
          <w:p w14:paraId="21B4BD33" w14:textId="53545F9C" w:rsidR="006F3A86" w:rsidRPr="004005A4" w:rsidRDefault="006F3A86" w:rsidP="006F3A86">
            <w:pPr>
              <w:pStyle w:val="level2"/>
              <w:numPr>
                <w:ilvl w:val="2"/>
                <w:numId w:val="28"/>
              </w:numPr>
              <w:tabs>
                <w:tab w:val="clear" w:pos="576"/>
                <w:tab w:val="clear" w:pos="1152"/>
                <w:tab w:val="clear" w:pos="1728"/>
                <w:tab w:val="clear" w:pos="2304"/>
              </w:tabs>
              <w:spacing w:after="120" w:line="240" w:lineRule="atLeast"/>
              <w:ind w:left="772" w:hanging="270"/>
              <w:rPr>
                <w:rFonts w:cs="Calibri Light"/>
                <w:sz w:val="20"/>
                <w:szCs w:val="20"/>
              </w:rPr>
            </w:pPr>
            <w:r w:rsidRPr="004005A4">
              <w:rPr>
                <w:rFonts w:cs="Calibri Light"/>
                <w:sz w:val="20"/>
                <w:szCs w:val="20"/>
              </w:rPr>
              <w:t>When the rate used by a reporting person is other than the U.S. Federal corporate income tax rate, the rate used and the basis for using such rate shall be disclosed.</w:t>
            </w:r>
          </w:p>
        </w:tc>
        <w:tc>
          <w:tcPr>
            <w:tcW w:w="1209" w:type="dxa"/>
            <w:gridSpan w:val="2"/>
            <w:tcBorders>
              <w:top w:val="single" w:sz="4" w:space="0" w:color="auto"/>
              <w:bottom w:val="single" w:sz="4" w:space="0" w:color="auto"/>
            </w:tcBorders>
            <w:vAlign w:val="bottom"/>
          </w:tcPr>
          <w:p w14:paraId="2DCB156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30031D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98595E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8183729" w14:textId="77777777" w:rsidTr="00CC36C1">
        <w:trPr>
          <w:gridBefore w:val="1"/>
          <w:wBefore w:w="17" w:type="dxa"/>
        </w:trPr>
        <w:tc>
          <w:tcPr>
            <w:tcW w:w="7483" w:type="dxa"/>
            <w:gridSpan w:val="2"/>
          </w:tcPr>
          <w:p w14:paraId="215F463D" w14:textId="12309AD1"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sz w:val="20"/>
                <w:szCs w:val="20"/>
              </w:rPr>
            </w:pPr>
            <w:r>
              <w:rPr>
                <w:rFonts w:cs="Calibri Light"/>
                <w:sz w:val="20"/>
                <w:szCs w:val="20"/>
              </w:rPr>
              <w:t>[Reserved]</w:t>
            </w:r>
          </w:p>
        </w:tc>
        <w:tc>
          <w:tcPr>
            <w:tcW w:w="1209" w:type="dxa"/>
            <w:gridSpan w:val="2"/>
            <w:tcBorders>
              <w:top w:val="single" w:sz="4" w:space="0" w:color="auto"/>
            </w:tcBorders>
            <w:vAlign w:val="bottom"/>
          </w:tcPr>
          <w:p w14:paraId="5F16485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4E1CB3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53E74E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3D0C945" w14:textId="77777777" w:rsidTr="00CC36C1">
        <w:trPr>
          <w:gridBefore w:val="1"/>
          <w:wBefore w:w="17" w:type="dxa"/>
        </w:trPr>
        <w:tc>
          <w:tcPr>
            <w:tcW w:w="7483" w:type="dxa"/>
            <w:gridSpan w:val="2"/>
          </w:tcPr>
          <w:p w14:paraId="66F88408" w14:textId="6DAFECAF"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sz w:val="20"/>
                <w:szCs w:val="20"/>
              </w:rPr>
            </w:pPr>
            <w:r>
              <w:rPr>
                <w:rFonts w:cs="Calibri Light"/>
                <w:sz w:val="20"/>
                <w:szCs w:val="20"/>
              </w:rPr>
              <w:t>[Reserved]</w:t>
            </w:r>
          </w:p>
        </w:tc>
        <w:tc>
          <w:tcPr>
            <w:tcW w:w="1209" w:type="dxa"/>
            <w:gridSpan w:val="2"/>
            <w:vAlign w:val="bottom"/>
          </w:tcPr>
          <w:p w14:paraId="66EE24E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90BD29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359AEF0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506F4E5" w14:textId="77777777" w:rsidTr="00CC36C1">
        <w:trPr>
          <w:gridBefore w:val="1"/>
          <w:wBefore w:w="17" w:type="dxa"/>
        </w:trPr>
        <w:tc>
          <w:tcPr>
            <w:tcW w:w="7483" w:type="dxa"/>
            <w:gridSpan w:val="2"/>
          </w:tcPr>
          <w:p w14:paraId="4BC61ADB" w14:textId="68A4871D"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sz w:val="20"/>
                <w:szCs w:val="20"/>
              </w:rPr>
            </w:pPr>
            <w:r w:rsidRPr="004005A4">
              <w:rPr>
                <w:rFonts w:cs="Calibri Light"/>
                <w:b/>
                <w:sz w:val="20"/>
                <w:szCs w:val="20"/>
              </w:rPr>
              <w:t>Related-party transactions that affect the financial statements.</w:t>
            </w:r>
            <w:r w:rsidRPr="004005A4">
              <w:rPr>
                <w:rFonts w:cs="Calibri Light"/>
                <w:sz w:val="20"/>
                <w:szCs w:val="20"/>
              </w:rPr>
              <w:t xml:space="preserve">  [For a definition of Related Party, see S-X Rule 1-02(u).]</w:t>
            </w:r>
          </w:p>
        </w:tc>
        <w:tc>
          <w:tcPr>
            <w:tcW w:w="1209" w:type="dxa"/>
            <w:gridSpan w:val="2"/>
            <w:vAlign w:val="bottom"/>
          </w:tcPr>
          <w:p w14:paraId="0A0125A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90DD58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52C46FE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3EFEF48" w14:textId="77777777" w:rsidTr="00CC36C1">
        <w:trPr>
          <w:gridBefore w:val="1"/>
          <w:wBefore w:w="17" w:type="dxa"/>
        </w:trPr>
        <w:tc>
          <w:tcPr>
            <w:tcW w:w="7483" w:type="dxa"/>
            <w:gridSpan w:val="2"/>
          </w:tcPr>
          <w:p w14:paraId="06EDE391" w14:textId="1117EE96"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(1)</w:t>
            </w:r>
            <w:r w:rsidRPr="004005A4">
              <w:rPr>
                <w:rFonts w:cs="Calibri Light"/>
                <w:sz w:val="20"/>
                <w:szCs w:val="20"/>
              </w:rPr>
              <w:tab/>
              <w:t>Amounts of related-party transactions should be stated on the face of the balance sheet, statement of comprehensive income, or statement of cash flows</w:t>
            </w:r>
            <w:r>
              <w:rPr>
                <w:rFonts w:cs="Calibri Light"/>
                <w:sz w:val="20"/>
                <w:szCs w:val="20"/>
              </w:rPr>
              <w:t>.</w:t>
            </w:r>
          </w:p>
        </w:tc>
        <w:tc>
          <w:tcPr>
            <w:tcW w:w="1209" w:type="dxa"/>
            <w:gridSpan w:val="2"/>
            <w:tcBorders>
              <w:bottom w:val="single" w:sz="4" w:space="0" w:color="auto"/>
            </w:tcBorders>
            <w:vAlign w:val="bottom"/>
          </w:tcPr>
          <w:p w14:paraId="6F3FD424"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EBA583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4DD65E6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B3D08FB" w14:textId="77777777" w:rsidTr="00CC36C1">
        <w:trPr>
          <w:gridBefore w:val="1"/>
          <w:wBefore w:w="17" w:type="dxa"/>
        </w:trPr>
        <w:tc>
          <w:tcPr>
            <w:tcW w:w="7483" w:type="dxa"/>
            <w:gridSpan w:val="2"/>
          </w:tcPr>
          <w:p w14:paraId="16BB658A" w14:textId="5E28B174"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(2)</w:t>
            </w:r>
            <w:r w:rsidRPr="004005A4">
              <w:rPr>
                <w:rFonts w:cs="Calibri Light"/>
                <w:sz w:val="20"/>
                <w:szCs w:val="20"/>
              </w:rPr>
              <w:tab/>
              <w:t xml:space="preserve">If separate financial statements are presented for the registrant, certain investees, or subsidiaries, any intercompany profits or losses resulting from transactions with related parties, and the effects thereof, </w:t>
            </w:r>
            <w:r>
              <w:rPr>
                <w:rFonts w:cs="Calibri Light"/>
                <w:sz w:val="20"/>
                <w:szCs w:val="20"/>
              </w:rPr>
              <w:t>shall be</w:t>
            </w:r>
            <w:r w:rsidRPr="004005A4">
              <w:rPr>
                <w:rFonts w:cs="Calibri Light"/>
                <w:sz w:val="20"/>
                <w:szCs w:val="20"/>
              </w:rPr>
              <w:t xml:space="preserve"> disclosed.</w:t>
            </w:r>
          </w:p>
        </w:tc>
        <w:tc>
          <w:tcPr>
            <w:tcW w:w="1209" w:type="dxa"/>
            <w:gridSpan w:val="2"/>
            <w:tcBorders>
              <w:bottom w:val="single" w:sz="6" w:space="0" w:color="auto"/>
            </w:tcBorders>
            <w:vAlign w:val="bottom"/>
          </w:tcPr>
          <w:p w14:paraId="2E33247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B09DD9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4485C756"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EDCFF52" w14:textId="77777777" w:rsidTr="00CC36C1">
        <w:trPr>
          <w:gridBefore w:val="1"/>
          <w:wBefore w:w="17" w:type="dxa"/>
        </w:trPr>
        <w:tc>
          <w:tcPr>
            <w:tcW w:w="7483" w:type="dxa"/>
            <w:gridSpan w:val="2"/>
          </w:tcPr>
          <w:p w14:paraId="4F8E5DC0" w14:textId="06AD664D" w:rsidR="006F3A86" w:rsidRPr="004005A4" w:rsidRDefault="006F3A86" w:rsidP="006F3A86">
            <w:pPr>
              <w:pStyle w:val="level2"/>
              <w:tabs>
                <w:tab w:val="clear" w:pos="576"/>
                <w:tab w:val="clear" w:pos="1152"/>
              </w:tabs>
              <w:spacing w:after="120" w:line="240" w:lineRule="atLeast"/>
              <w:ind w:left="232" w:firstLine="0"/>
              <w:rPr>
                <w:rFonts w:cs="Calibri Light"/>
                <w:sz w:val="20"/>
                <w:szCs w:val="20"/>
              </w:rPr>
            </w:pPr>
            <w:r w:rsidRPr="004005A4">
              <w:rPr>
                <w:rFonts w:cs="Calibri Light"/>
                <w:sz w:val="20"/>
                <w:szCs w:val="20"/>
              </w:rPr>
              <w:t>See SAB Topic 5-T regarding accounting for expenses or liabilities paid by a principal stockholder.</w:t>
            </w:r>
          </w:p>
        </w:tc>
        <w:tc>
          <w:tcPr>
            <w:tcW w:w="1209" w:type="dxa"/>
            <w:gridSpan w:val="2"/>
            <w:tcBorders>
              <w:top w:val="single" w:sz="4" w:space="0" w:color="auto"/>
            </w:tcBorders>
            <w:vAlign w:val="bottom"/>
          </w:tcPr>
          <w:p w14:paraId="23AF5D0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9918E7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0127346"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578BB6E" w14:textId="77777777" w:rsidTr="00CC36C1">
        <w:trPr>
          <w:gridBefore w:val="1"/>
          <w:wBefore w:w="17" w:type="dxa"/>
        </w:trPr>
        <w:tc>
          <w:tcPr>
            <w:tcW w:w="7483" w:type="dxa"/>
            <w:gridSpan w:val="2"/>
          </w:tcPr>
          <w:p w14:paraId="5F3BE426" w14:textId="5A2C9B7C"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sz w:val="20"/>
                <w:szCs w:val="20"/>
              </w:rPr>
            </w:pPr>
            <w:r>
              <w:rPr>
                <w:rFonts w:cs="Calibri Light"/>
                <w:sz w:val="20"/>
                <w:szCs w:val="20"/>
              </w:rPr>
              <w:t>[Reserved]</w:t>
            </w:r>
          </w:p>
        </w:tc>
        <w:tc>
          <w:tcPr>
            <w:tcW w:w="1209" w:type="dxa"/>
            <w:gridSpan w:val="2"/>
            <w:vAlign w:val="bottom"/>
          </w:tcPr>
          <w:p w14:paraId="17AC7AD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EF17FA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21BB9CB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527AAE8" w14:textId="77777777" w:rsidTr="00CC36C1">
        <w:trPr>
          <w:gridBefore w:val="1"/>
          <w:wBefore w:w="17" w:type="dxa"/>
        </w:trPr>
        <w:tc>
          <w:tcPr>
            <w:tcW w:w="7483" w:type="dxa"/>
            <w:gridSpan w:val="2"/>
          </w:tcPr>
          <w:p w14:paraId="73BB2A59" w14:textId="44AAFE9D"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b/>
                <w:sz w:val="20"/>
                <w:szCs w:val="20"/>
              </w:rPr>
            </w:pPr>
            <w:r w:rsidRPr="004005A4">
              <w:rPr>
                <w:rFonts w:cs="Calibri Light"/>
                <w:b/>
                <w:sz w:val="20"/>
                <w:szCs w:val="20"/>
              </w:rPr>
              <w:t>Repurchase and reverse repurchase agreements.</w:t>
            </w:r>
          </w:p>
          <w:p w14:paraId="6E548BCB" w14:textId="1DE9F0E3"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548EBB82">
              <w:rPr>
                <w:rFonts w:cs="Calibri Light"/>
                <w:sz w:val="20"/>
                <w:szCs w:val="20"/>
              </w:rPr>
              <w:t>(1)</w:t>
            </w:r>
            <w:r>
              <w:tab/>
            </w:r>
            <w:r w:rsidRPr="548EBB82">
              <w:rPr>
                <w:rFonts w:cs="Calibri Light"/>
                <w:sz w:val="20"/>
                <w:szCs w:val="20"/>
              </w:rPr>
              <w:t>If the greater of the carrying amount or market value of securities or other assets sold under repurchase agreements exceed 10% of total assets of the registrant:</w:t>
            </w:r>
          </w:p>
        </w:tc>
        <w:tc>
          <w:tcPr>
            <w:tcW w:w="1209" w:type="dxa"/>
            <w:gridSpan w:val="2"/>
            <w:vAlign w:val="bottom"/>
          </w:tcPr>
          <w:p w14:paraId="3C83E78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B5503F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7786459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B05190B" w14:textId="77777777" w:rsidTr="00CC36C1">
        <w:trPr>
          <w:gridBefore w:val="1"/>
          <w:wBefore w:w="17" w:type="dxa"/>
        </w:trPr>
        <w:tc>
          <w:tcPr>
            <w:tcW w:w="7483" w:type="dxa"/>
            <w:gridSpan w:val="2"/>
          </w:tcPr>
          <w:p w14:paraId="0DD48164" w14:textId="77777777" w:rsidR="006F3A86" w:rsidRPr="004005A4" w:rsidRDefault="006F3A86" w:rsidP="006F3A86">
            <w:pPr>
              <w:pStyle w:val="level3"/>
              <w:tabs>
                <w:tab w:val="clear" w:pos="576"/>
                <w:tab w:val="clear" w:pos="1152"/>
              </w:tabs>
              <w:spacing w:after="120" w:line="240" w:lineRule="atLeast"/>
              <w:ind w:left="772" w:hanging="270"/>
              <w:rPr>
                <w:rFonts w:cs="Calibri Light"/>
                <w:sz w:val="20"/>
                <w:szCs w:val="20"/>
              </w:rPr>
            </w:pPr>
            <w:r w:rsidRPr="004005A4">
              <w:rPr>
                <w:rFonts w:cs="Calibri Light"/>
                <w:sz w:val="20"/>
                <w:szCs w:val="20"/>
              </w:rPr>
              <w:t>(i)</w:t>
            </w:r>
            <w:r w:rsidRPr="004005A4">
              <w:rPr>
                <w:rFonts w:cs="Calibri Light"/>
                <w:sz w:val="20"/>
                <w:szCs w:val="20"/>
              </w:rPr>
              <w:tab/>
              <w:t>Disclose separately in the balance sheet the aggregate amount of liabilities incurred pursuant to repurchase agreements including accrued interest thereon.</w:t>
            </w:r>
          </w:p>
        </w:tc>
        <w:tc>
          <w:tcPr>
            <w:tcW w:w="1209" w:type="dxa"/>
            <w:gridSpan w:val="2"/>
            <w:tcBorders>
              <w:bottom w:val="single" w:sz="6" w:space="0" w:color="auto"/>
            </w:tcBorders>
            <w:vAlign w:val="bottom"/>
          </w:tcPr>
          <w:p w14:paraId="2C749D9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0CE6F8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5A99D82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12D5A0C" w14:textId="77777777" w:rsidTr="00CC36C1">
        <w:trPr>
          <w:gridBefore w:val="1"/>
          <w:wBefore w:w="17" w:type="dxa"/>
        </w:trPr>
        <w:tc>
          <w:tcPr>
            <w:tcW w:w="7483" w:type="dxa"/>
            <w:gridSpan w:val="2"/>
          </w:tcPr>
          <w:p w14:paraId="6D9E9788" w14:textId="77777777" w:rsidR="006F3A86" w:rsidRPr="004005A4" w:rsidRDefault="006F3A86" w:rsidP="006F3A86">
            <w:pPr>
              <w:pStyle w:val="level3"/>
              <w:tabs>
                <w:tab w:val="clear" w:pos="576"/>
                <w:tab w:val="clear" w:pos="1152"/>
              </w:tabs>
              <w:spacing w:after="120" w:line="240" w:lineRule="atLeast"/>
              <w:ind w:left="772" w:hanging="270"/>
              <w:rPr>
                <w:rFonts w:cs="Calibri Light"/>
                <w:sz w:val="20"/>
                <w:szCs w:val="20"/>
              </w:rPr>
            </w:pPr>
            <w:r w:rsidRPr="004005A4">
              <w:rPr>
                <w:rFonts w:cs="Calibri Light"/>
                <w:sz w:val="20"/>
                <w:szCs w:val="20"/>
              </w:rPr>
              <w:t>(ii)</w:t>
            </w:r>
            <w:r w:rsidRPr="004005A4">
              <w:rPr>
                <w:rFonts w:cs="Calibri Light"/>
                <w:sz w:val="20"/>
                <w:szCs w:val="20"/>
              </w:rPr>
              <w:tab/>
              <w:t>Disclose in a footnote a tabular presentation segregated as to type of security and maturity date the following: (a) carrying amount and market value of the assets sold under the repurchase agreement including accrued interest plus any cash or other assets on deposit, and (b) the repurchase liability associated with such transaction or group of transactions and the interest rate thereon.</w:t>
            </w:r>
          </w:p>
          <w:p w14:paraId="782822C1" w14:textId="47ACE002" w:rsidR="006F3A86" w:rsidRPr="004005A4" w:rsidRDefault="006F3A86" w:rsidP="006F3A86">
            <w:pPr>
              <w:pStyle w:val="level2"/>
              <w:tabs>
                <w:tab w:val="clear" w:pos="576"/>
                <w:tab w:val="clear" w:pos="1152"/>
                <w:tab w:val="clear" w:pos="1728"/>
                <w:tab w:val="clear" w:pos="2304"/>
                <w:tab w:val="clear" w:pos="2880"/>
              </w:tabs>
              <w:spacing w:after="120" w:line="240" w:lineRule="atLeast"/>
              <w:ind w:left="772" w:firstLine="0"/>
              <w:rPr>
                <w:rFonts w:cs="Calibri Light"/>
                <w:sz w:val="20"/>
                <w:szCs w:val="20"/>
              </w:rPr>
            </w:pPr>
            <w:r w:rsidRPr="004005A4">
              <w:rPr>
                <w:rFonts w:cs="Calibri Light"/>
                <w:sz w:val="20"/>
                <w:szCs w:val="20"/>
              </w:rPr>
              <w:lastRenderedPageBreak/>
              <w:t>For purposes of this footnote disclosure, do not include securities or other assets for which unrealized changes in market value are reported in current income or which have been obtained under reverse repurchase agreements.</w:t>
            </w:r>
          </w:p>
        </w:tc>
        <w:tc>
          <w:tcPr>
            <w:tcW w:w="1209" w:type="dxa"/>
            <w:gridSpan w:val="2"/>
            <w:tcBorders>
              <w:top w:val="single" w:sz="6" w:space="0" w:color="auto"/>
              <w:bottom w:val="single" w:sz="4" w:space="0" w:color="auto"/>
            </w:tcBorders>
            <w:vAlign w:val="bottom"/>
          </w:tcPr>
          <w:p w14:paraId="36CA4B1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9B05AE6"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4D9BE85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67A250A" w14:textId="77777777" w:rsidTr="00CC36C1">
        <w:trPr>
          <w:gridBefore w:val="1"/>
          <w:wBefore w:w="17" w:type="dxa"/>
        </w:trPr>
        <w:tc>
          <w:tcPr>
            <w:tcW w:w="7483" w:type="dxa"/>
            <w:gridSpan w:val="2"/>
          </w:tcPr>
          <w:p w14:paraId="73E475A4" w14:textId="5C708611" w:rsidR="006F3A86" w:rsidRPr="004005A4" w:rsidRDefault="006F3A86" w:rsidP="006F3A86">
            <w:pPr>
              <w:pStyle w:val="level3"/>
              <w:tabs>
                <w:tab w:val="clear" w:pos="576"/>
                <w:tab w:val="clear" w:pos="1152"/>
                <w:tab w:val="clear" w:pos="2880"/>
                <w:tab w:val="left" w:pos="780"/>
              </w:tabs>
              <w:spacing w:after="120" w:line="240" w:lineRule="atLeast"/>
              <w:ind w:left="772" w:hanging="270"/>
              <w:rPr>
                <w:rFonts w:cs="Calibri Light"/>
                <w:sz w:val="20"/>
                <w:szCs w:val="20"/>
              </w:rPr>
            </w:pPr>
            <w:r w:rsidRPr="004005A4">
              <w:rPr>
                <w:rFonts w:cs="Calibri Light"/>
                <w:sz w:val="20"/>
                <w:szCs w:val="20"/>
              </w:rPr>
              <w:t>(iii)</w:t>
            </w:r>
            <w:r>
              <w:rPr>
                <w:rFonts w:cs="Calibri Light"/>
                <w:sz w:val="20"/>
                <w:szCs w:val="20"/>
              </w:rPr>
              <w:tab/>
            </w:r>
            <w:r w:rsidRPr="004005A4">
              <w:rPr>
                <w:rFonts w:cs="Calibri Light"/>
                <w:sz w:val="20"/>
                <w:szCs w:val="20"/>
              </w:rPr>
              <w:tab/>
              <w:t xml:space="preserve">If, as of the most recent balance-sheet date, the amount at risk under repurchase agreements with any individual counterparty or group of related counterparties exceeds 10% of stockholders’ equity (or in the case of investment companies, net asset value), disclose (i) the name of each such counterparty or group of related counterparties, (ii) the amount at risk with each, and (iii) the weighted average maturity of the repurchase agreements with each. </w:t>
            </w:r>
          </w:p>
          <w:p w14:paraId="1E821B60" w14:textId="7D3A1617" w:rsidR="006F3A86" w:rsidRPr="004005A4" w:rsidRDefault="006F3A86" w:rsidP="006F3A86">
            <w:pPr>
              <w:pStyle w:val="level2"/>
              <w:tabs>
                <w:tab w:val="clear" w:pos="576"/>
                <w:tab w:val="clear" w:pos="1152"/>
                <w:tab w:val="clear" w:pos="1728"/>
                <w:tab w:val="clear" w:pos="2304"/>
                <w:tab w:val="clear" w:pos="2880"/>
              </w:tabs>
              <w:spacing w:after="120" w:line="240" w:lineRule="atLeast"/>
              <w:ind w:left="772" w:firstLine="0"/>
              <w:rPr>
                <w:rFonts w:cs="Calibri Light"/>
                <w:sz w:val="20"/>
                <w:szCs w:val="20"/>
              </w:rPr>
            </w:pPr>
            <w:r w:rsidRPr="004005A4">
              <w:rPr>
                <w:rFonts w:cs="Calibri Light"/>
                <w:sz w:val="20"/>
                <w:szCs w:val="20"/>
              </w:rPr>
              <w:t xml:space="preserve">The amount at risk under repurchase agreements is defined as the excess of carrying amount (or market value, if higher than the carrying amount or if there is no carrying amount) of the securities or other assets sold under agreement to repurchase, including accrued interest plus any cash or other assets on deposit to secure the repurchase obligation, over the amount of the repurchase liability (adjusted for accrued interest). </w:t>
            </w:r>
          </w:p>
        </w:tc>
        <w:tc>
          <w:tcPr>
            <w:tcW w:w="1209" w:type="dxa"/>
            <w:gridSpan w:val="2"/>
            <w:tcBorders>
              <w:top w:val="single" w:sz="4" w:space="0" w:color="auto"/>
            </w:tcBorders>
            <w:vAlign w:val="bottom"/>
          </w:tcPr>
          <w:p w14:paraId="0061030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4BDCC2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04DDF3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7BB6BC8" w14:textId="77777777" w:rsidTr="00CC36C1">
        <w:trPr>
          <w:gridBefore w:val="1"/>
          <w:wBefore w:w="17" w:type="dxa"/>
        </w:trPr>
        <w:tc>
          <w:tcPr>
            <w:tcW w:w="7483" w:type="dxa"/>
            <w:gridSpan w:val="2"/>
          </w:tcPr>
          <w:p w14:paraId="76EBD077" w14:textId="3F0AB113" w:rsidR="006F3A86" w:rsidRPr="004005A4" w:rsidRDefault="006F3A86" w:rsidP="005A13DD">
            <w:pPr>
              <w:pStyle w:val="level2"/>
              <w:tabs>
                <w:tab w:val="clear" w:pos="576"/>
                <w:tab w:val="clear" w:pos="1152"/>
                <w:tab w:val="clear" w:pos="1728"/>
                <w:tab w:val="clear" w:pos="2304"/>
                <w:tab w:val="clear" w:pos="2880"/>
                <w:tab w:val="left" w:pos="687"/>
              </w:tabs>
              <w:spacing w:after="120" w:line="240" w:lineRule="atLeast"/>
              <w:ind w:left="502" w:hanging="270"/>
              <w:rPr>
                <w:rFonts w:cs="Calibri Light"/>
                <w:sz w:val="20"/>
                <w:szCs w:val="20"/>
              </w:rPr>
            </w:pPr>
            <w:r w:rsidRPr="004005A4">
              <w:rPr>
                <w:rFonts w:cs="Calibri Light"/>
                <w:sz w:val="20"/>
                <w:szCs w:val="20"/>
              </w:rPr>
              <w:t>(2)</w:t>
            </w:r>
            <w:r>
              <w:rPr>
                <w:rFonts w:cs="Calibri Light"/>
                <w:sz w:val="20"/>
                <w:szCs w:val="20"/>
              </w:rPr>
              <w:t>(i)</w:t>
            </w:r>
            <w:r w:rsidRPr="004005A4">
              <w:rPr>
                <w:rFonts w:cs="Calibri Light"/>
                <w:sz w:val="20"/>
                <w:szCs w:val="20"/>
              </w:rPr>
              <w:tab/>
              <w:t xml:space="preserve">If, as of the most recent balance-sheet date, the aggregate carrying amount of “reverse repurchase agreements” (securities or other assets purchased under agreements to resell) exceeds 10% of total assets: </w:t>
            </w:r>
          </w:p>
        </w:tc>
        <w:tc>
          <w:tcPr>
            <w:tcW w:w="1209" w:type="dxa"/>
            <w:gridSpan w:val="2"/>
            <w:tcBorders>
              <w:top w:val="single" w:sz="6" w:space="0" w:color="auto"/>
            </w:tcBorders>
            <w:vAlign w:val="bottom"/>
          </w:tcPr>
          <w:p w14:paraId="4FA94B4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CB9F24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749087E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FDE00F4" w14:textId="77777777" w:rsidTr="00CC36C1">
        <w:trPr>
          <w:gridBefore w:val="1"/>
          <w:wBefore w:w="17" w:type="dxa"/>
        </w:trPr>
        <w:tc>
          <w:tcPr>
            <w:tcW w:w="7483" w:type="dxa"/>
            <w:gridSpan w:val="2"/>
          </w:tcPr>
          <w:p w14:paraId="1C22CC06" w14:textId="77777777" w:rsidR="006F3A86" w:rsidRPr="004005A4" w:rsidRDefault="006F3A86" w:rsidP="006F3A86">
            <w:pPr>
              <w:pStyle w:val="level1"/>
              <w:tabs>
                <w:tab w:val="clear" w:pos="576"/>
                <w:tab w:val="clear" w:pos="1152"/>
                <w:tab w:val="clear" w:pos="1728"/>
                <w:tab w:val="clear" w:pos="2304"/>
                <w:tab w:val="clear" w:pos="2880"/>
              </w:tabs>
              <w:spacing w:after="120" w:line="240" w:lineRule="atLeast"/>
              <w:ind w:left="772" w:hanging="270"/>
              <w:rPr>
                <w:rFonts w:cs="Calibri Light"/>
                <w:sz w:val="20"/>
                <w:szCs w:val="20"/>
              </w:rPr>
            </w:pPr>
            <w:r w:rsidRPr="004005A4">
              <w:rPr>
                <w:rFonts w:cs="Calibri Light"/>
                <w:sz w:val="20"/>
                <w:szCs w:val="20"/>
              </w:rPr>
              <w:t>(a)</w:t>
            </w:r>
            <w:r w:rsidRPr="004005A4">
              <w:rPr>
                <w:rFonts w:cs="Calibri Light"/>
                <w:sz w:val="20"/>
                <w:szCs w:val="20"/>
              </w:rPr>
              <w:tab/>
              <w:t xml:space="preserve">Disclose separately such amount in the balance sheet </w:t>
            </w:r>
          </w:p>
        </w:tc>
        <w:tc>
          <w:tcPr>
            <w:tcW w:w="1209" w:type="dxa"/>
            <w:gridSpan w:val="2"/>
            <w:tcBorders>
              <w:bottom w:val="single" w:sz="6" w:space="0" w:color="auto"/>
            </w:tcBorders>
            <w:vAlign w:val="bottom"/>
          </w:tcPr>
          <w:p w14:paraId="7DF9B90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03C19E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4CB9D2E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4932B0B" w14:textId="77777777" w:rsidTr="00CC36C1">
        <w:trPr>
          <w:gridBefore w:val="1"/>
          <w:wBefore w:w="17" w:type="dxa"/>
        </w:trPr>
        <w:tc>
          <w:tcPr>
            <w:tcW w:w="7483" w:type="dxa"/>
            <w:gridSpan w:val="2"/>
          </w:tcPr>
          <w:p w14:paraId="52D75A38" w14:textId="77777777" w:rsidR="006F3A86" w:rsidRPr="004005A4" w:rsidRDefault="006F3A86" w:rsidP="006F3A86">
            <w:pPr>
              <w:pStyle w:val="level1"/>
              <w:tabs>
                <w:tab w:val="clear" w:pos="576"/>
                <w:tab w:val="clear" w:pos="1152"/>
                <w:tab w:val="clear" w:pos="1728"/>
                <w:tab w:val="clear" w:pos="2304"/>
                <w:tab w:val="clear" w:pos="2880"/>
              </w:tabs>
              <w:spacing w:after="120" w:line="240" w:lineRule="atLeast"/>
              <w:ind w:left="772" w:hanging="270"/>
              <w:rPr>
                <w:rFonts w:cs="Calibri Light"/>
                <w:sz w:val="20"/>
                <w:szCs w:val="20"/>
              </w:rPr>
            </w:pPr>
            <w:r w:rsidRPr="004005A4">
              <w:rPr>
                <w:rFonts w:cs="Calibri Light"/>
                <w:sz w:val="20"/>
                <w:szCs w:val="20"/>
              </w:rPr>
              <w:t>(b)</w:t>
            </w:r>
            <w:r w:rsidRPr="004005A4">
              <w:rPr>
                <w:rFonts w:cs="Calibri Light"/>
                <w:sz w:val="20"/>
                <w:szCs w:val="20"/>
              </w:rPr>
              <w:tab/>
              <w:t>Disclose in an appropriately captioned footnote: (1) the registrant’s policy with regard to taking possession of securities or other assets purchased under agreements to resell; and (2) whether or not there are any provisions to ensure that the market value of the underlying assets remains sufficient to protect the registrant in the event of default by the counterparty and if so, the nature of those provisions.</w:t>
            </w:r>
          </w:p>
        </w:tc>
        <w:tc>
          <w:tcPr>
            <w:tcW w:w="1209" w:type="dxa"/>
            <w:gridSpan w:val="2"/>
            <w:tcBorders>
              <w:top w:val="single" w:sz="6" w:space="0" w:color="auto"/>
              <w:bottom w:val="single" w:sz="4" w:space="0" w:color="auto"/>
            </w:tcBorders>
            <w:vAlign w:val="bottom"/>
          </w:tcPr>
          <w:p w14:paraId="2AACFE6C"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9A9342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7B436C0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3F76C2C" w14:textId="77777777" w:rsidTr="00CC36C1">
        <w:trPr>
          <w:gridBefore w:val="1"/>
          <w:wBefore w:w="17" w:type="dxa"/>
        </w:trPr>
        <w:tc>
          <w:tcPr>
            <w:tcW w:w="7483" w:type="dxa"/>
            <w:gridSpan w:val="2"/>
          </w:tcPr>
          <w:p w14:paraId="7CE72653" w14:textId="77481E7F" w:rsidR="006F3A86" w:rsidRPr="004005A4" w:rsidRDefault="006F3A86" w:rsidP="0004185C">
            <w:pPr>
              <w:pStyle w:val="level2"/>
              <w:tabs>
                <w:tab w:val="clear" w:pos="576"/>
                <w:tab w:val="clear" w:pos="1152"/>
                <w:tab w:val="clear" w:pos="1728"/>
                <w:tab w:val="clear" w:pos="2304"/>
                <w:tab w:val="clear" w:pos="2880"/>
                <w:tab w:val="left" w:pos="687"/>
              </w:tabs>
              <w:spacing w:after="120" w:line="240" w:lineRule="atLeast"/>
              <w:ind w:left="502" w:hanging="270"/>
              <w:rPr>
                <w:rFonts w:cs="Calibri Light"/>
                <w:sz w:val="20"/>
                <w:szCs w:val="20"/>
              </w:rPr>
            </w:pPr>
            <w:r>
              <w:rPr>
                <w:rFonts w:cs="Calibri Light"/>
                <w:sz w:val="20"/>
                <w:szCs w:val="20"/>
              </w:rPr>
              <w:t>(ii)</w:t>
            </w:r>
            <w:r w:rsidRPr="004005A4">
              <w:rPr>
                <w:rFonts w:cs="Calibri Light"/>
                <w:sz w:val="20"/>
                <w:szCs w:val="20"/>
              </w:rPr>
              <w:tab/>
              <w:t xml:space="preserve">If, as of the most recent balance-sheet date, the amount of risk under reverse repurchase agreements with any individual counterparty or group of related counterparties exceeds 10% of stockholders’ equity (or in the case of investment companies, net asset value), disclose the name of each such counterparty or group of related counterparties, the amount at risk with each, and the weighted average maturity of the reverse repurchase agreements with each. </w:t>
            </w:r>
          </w:p>
          <w:p w14:paraId="4AB63C7B" w14:textId="074EC052" w:rsidR="006F3A86" w:rsidRPr="004005A4" w:rsidRDefault="006F3A86" w:rsidP="006F3A86">
            <w:pPr>
              <w:pStyle w:val="level1"/>
              <w:tabs>
                <w:tab w:val="clear" w:pos="576"/>
                <w:tab w:val="clear" w:pos="1152"/>
                <w:tab w:val="left" w:pos="597"/>
              </w:tabs>
              <w:spacing w:after="120" w:line="240" w:lineRule="atLeast"/>
              <w:ind w:left="597" w:firstLine="0"/>
              <w:rPr>
                <w:rFonts w:cs="Calibri Light"/>
                <w:sz w:val="20"/>
                <w:szCs w:val="20"/>
              </w:rPr>
            </w:pPr>
            <w:r w:rsidRPr="004005A4">
              <w:rPr>
                <w:rFonts w:cs="Calibri Light"/>
                <w:sz w:val="20"/>
                <w:szCs w:val="20"/>
              </w:rPr>
              <w:t>The amount at risk under reverse repurchase agreements is defined as the excess of the carrying amount of the reverse repurchase agreements over the market value of assets delivered pursuant to the agreements by the counterparty to the registrant (or to a third-party agent that has affirmatively agreed to act on behalf of the registrant) and not returned to the counterparty, except in exchange for their approximate market value in a separate transaction.</w:t>
            </w:r>
          </w:p>
        </w:tc>
        <w:tc>
          <w:tcPr>
            <w:tcW w:w="1209" w:type="dxa"/>
            <w:gridSpan w:val="2"/>
            <w:tcBorders>
              <w:top w:val="single" w:sz="4" w:space="0" w:color="auto"/>
            </w:tcBorders>
            <w:vAlign w:val="bottom"/>
          </w:tcPr>
          <w:p w14:paraId="4C3B1E1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2FF19C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F8D8A17"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38F82B1" w14:textId="77777777" w:rsidTr="00CC36C1">
        <w:trPr>
          <w:gridBefore w:val="1"/>
          <w:wBefore w:w="17" w:type="dxa"/>
        </w:trPr>
        <w:tc>
          <w:tcPr>
            <w:tcW w:w="7483" w:type="dxa"/>
            <w:gridSpan w:val="2"/>
          </w:tcPr>
          <w:p w14:paraId="3AADFA93" w14:textId="11CD7D89" w:rsidR="006F3A86" w:rsidRPr="004005A4" w:rsidRDefault="006F3A86" w:rsidP="006F3A86">
            <w:pPr>
              <w:pStyle w:val="standard"/>
              <w:numPr>
                <w:ilvl w:val="0"/>
                <w:numId w:val="107"/>
              </w:numPr>
              <w:tabs>
                <w:tab w:val="clear" w:pos="576"/>
              </w:tabs>
              <w:spacing w:before="120" w:after="120" w:line="240" w:lineRule="atLeast"/>
              <w:ind w:left="232" w:hanging="232"/>
              <w:rPr>
                <w:rFonts w:cs="Calibri Light"/>
                <w:sz w:val="20"/>
                <w:szCs w:val="20"/>
              </w:rPr>
            </w:pPr>
            <w:r w:rsidRPr="004005A4">
              <w:rPr>
                <w:rFonts w:cs="Calibri Light"/>
                <w:b/>
                <w:sz w:val="20"/>
                <w:szCs w:val="20"/>
              </w:rPr>
              <w:t>Accounting policies for certain derivative instruments.</w:t>
            </w:r>
          </w:p>
          <w:p w14:paraId="55FDA954" w14:textId="765F279D" w:rsidR="006F3A86" w:rsidRPr="004005A4" w:rsidRDefault="006F3A86" w:rsidP="006F3A86">
            <w:pPr>
              <w:pStyle w:val="level1"/>
              <w:tabs>
                <w:tab w:val="clear" w:pos="576"/>
              </w:tabs>
              <w:spacing w:after="120" w:line="240" w:lineRule="atLeast"/>
              <w:ind w:left="232" w:firstLine="14"/>
              <w:rPr>
                <w:rFonts w:cs="Calibri Light"/>
                <w:sz w:val="20"/>
                <w:szCs w:val="20"/>
              </w:rPr>
            </w:pPr>
            <w:r w:rsidRPr="004005A4">
              <w:rPr>
                <w:rFonts w:cs="Calibri Light"/>
                <w:sz w:val="20"/>
                <w:szCs w:val="20"/>
              </w:rPr>
              <w:lastRenderedPageBreak/>
              <w:t>Disclosures regarding accounting policies should include to the extent material</w:t>
            </w:r>
            <w:r>
              <w:rPr>
                <w:rFonts w:cs="Calibri Light"/>
                <w:sz w:val="20"/>
                <w:szCs w:val="20"/>
              </w:rPr>
              <w:t xml:space="preserve"> where derivative financial instruments, and their related gains and losses, as defined by U.S. GAAP, are reported in the statement of cash flows.</w:t>
            </w:r>
          </w:p>
        </w:tc>
        <w:tc>
          <w:tcPr>
            <w:tcW w:w="1209" w:type="dxa"/>
            <w:gridSpan w:val="2"/>
            <w:tcBorders>
              <w:top w:val="single" w:sz="6" w:space="0" w:color="auto"/>
            </w:tcBorders>
            <w:vAlign w:val="bottom"/>
          </w:tcPr>
          <w:p w14:paraId="7F55D11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A42FD1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16F4ACA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32CEB84" w14:textId="77777777" w:rsidTr="00CC36C1">
        <w:trPr>
          <w:gridBefore w:val="1"/>
          <w:wBefore w:w="17" w:type="dxa"/>
        </w:trPr>
        <w:tc>
          <w:tcPr>
            <w:tcW w:w="7483" w:type="dxa"/>
            <w:gridSpan w:val="2"/>
          </w:tcPr>
          <w:p w14:paraId="3E1A9E73" w14:textId="018E82B6" w:rsidR="006F3A86" w:rsidRPr="004005A4" w:rsidRDefault="006F3A86" w:rsidP="005A13DD">
            <w:pPr>
              <w:pStyle w:val="standard"/>
              <w:keepNext/>
              <w:spacing w:before="120" w:after="120" w:line="240" w:lineRule="atLeast"/>
              <w:rPr>
                <w:rFonts w:cs="Calibri Light"/>
                <w:b/>
                <w:sz w:val="20"/>
                <w:szCs w:val="20"/>
              </w:rPr>
            </w:pPr>
            <w:r w:rsidRPr="004005A4">
              <w:rPr>
                <w:rFonts w:cs="Calibri Light"/>
                <w:b/>
                <w:sz w:val="20"/>
                <w:szCs w:val="20"/>
              </w:rPr>
              <w:t xml:space="preserve">Rule 4-10 </w:t>
            </w:r>
            <w:r w:rsidRPr="004005A4">
              <w:rPr>
                <w:rFonts w:cs="Calibri Light"/>
                <w:sz w:val="20"/>
                <w:szCs w:val="20"/>
              </w:rPr>
              <w:t>— Prescribes financial accounting and reporting standards for registrants engaged in oil and gas producing activities and persons engaged in the production of crude oil or natural gas in the United States under Section 503 of the Energy Policy and Conservation Act and Section 11(c) of the Energy Supply and Environmental Coordination Act.  [Also see FRR Section 406, SAB Topic 12, SAB 113, and Industry Guide 2.]</w:t>
            </w:r>
          </w:p>
        </w:tc>
        <w:tc>
          <w:tcPr>
            <w:tcW w:w="1209" w:type="dxa"/>
            <w:gridSpan w:val="2"/>
            <w:tcBorders>
              <w:top w:val="single" w:sz="4" w:space="0" w:color="auto"/>
              <w:bottom w:val="single" w:sz="6" w:space="0" w:color="auto"/>
            </w:tcBorders>
            <w:vAlign w:val="bottom"/>
          </w:tcPr>
          <w:p w14:paraId="1E3D6C09" w14:textId="77777777" w:rsidR="006F3A86" w:rsidRPr="004005A4" w:rsidRDefault="006F3A86" w:rsidP="005A13DD">
            <w:pPr>
              <w:keepNext/>
              <w:spacing w:before="120" w:after="120" w:line="240" w:lineRule="atLeast"/>
              <w:jc w:val="center"/>
              <w:rPr>
                <w:rFonts w:cs="Calibri Light"/>
                <w:b/>
                <w:sz w:val="20"/>
                <w:szCs w:val="20"/>
              </w:rPr>
            </w:pPr>
          </w:p>
        </w:tc>
        <w:tc>
          <w:tcPr>
            <w:tcW w:w="236" w:type="dxa"/>
            <w:gridSpan w:val="3"/>
            <w:vAlign w:val="bottom"/>
          </w:tcPr>
          <w:p w14:paraId="356648F9" w14:textId="77777777" w:rsidR="006F3A86" w:rsidRPr="004005A4" w:rsidRDefault="006F3A86" w:rsidP="005A13DD">
            <w:pPr>
              <w:keepNext/>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300A38AC" w14:textId="77777777" w:rsidR="006F3A86" w:rsidRPr="004005A4" w:rsidRDefault="006F3A86" w:rsidP="005A13DD">
            <w:pPr>
              <w:keepNext/>
              <w:spacing w:before="120" w:after="120" w:line="240" w:lineRule="atLeast"/>
              <w:jc w:val="center"/>
              <w:rPr>
                <w:rFonts w:cs="Calibri Light"/>
                <w:b/>
                <w:sz w:val="20"/>
                <w:szCs w:val="20"/>
              </w:rPr>
            </w:pPr>
          </w:p>
        </w:tc>
      </w:tr>
      <w:tr w:rsidR="006F3A86" w:rsidRPr="004005A4" w14:paraId="23761CD8" w14:textId="77777777" w:rsidTr="00CC36C1">
        <w:trPr>
          <w:gridBefore w:val="1"/>
          <w:wBefore w:w="17" w:type="dxa"/>
        </w:trPr>
        <w:tc>
          <w:tcPr>
            <w:tcW w:w="7483" w:type="dxa"/>
            <w:gridSpan w:val="2"/>
          </w:tcPr>
          <w:p w14:paraId="3D53CFF0" w14:textId="77777777" w:rsidR="006F3A86" w:rsidRPr="004005A4" w:rsidRDefault="006F3A86" w:rsidP="006F3A86">
            <w:pPr>
              <w:pStyle w:val="standard"/>
              <w:spacing w:before="120" w:after="120" w:line="240" w:lineRule="atLeast"/>
              <w:rPr>
                <w:rFonts w:cs="Calibri Light"/>
                <w:b/>
                <w:sz w:val="20"/>
                <w:szCs w:val="20"/>
              </w:rPr>
            </w:pPr>
            <w:r w:rsidRPr="004005A4">
              <w:rPr>
                <w:rFonts w:cs="Calibri Light"/>
                <w:b/>
                <w:sz w:val="20"/>
                <w:szCs w:val="20"/>
              </w:rPr>
              <w:t xml:space="preserve">See SAB Topic 2-D </w:t>
            </w:r>
            <w:r w:rsidRPr="004005A4">
              <w:rPr>
                <w:rFonts w:cs="Calibri Light"/>
                <w:sz w:val="20"/>
                <w:szCs w:val="20"/>
              </w:rPr>
              <w:t xml:space="preserve">regarding financial statement requirements and accounting for oil and gas exchange offers.  </w:t>
            </w:r>
          </w:p>
        </w:tc>
        <w:tc>
          <w:tcPr>
            <w:tcW w:w="1209" w:type="dxa"/>
            <w:gridSpan w:val="2"/>
            <w:tcBorders>
              <w:top w:val="single" w:sz="6" w:space="0" w:color="auto"/>
            </w:tcBorders>
            <w:vAlign w:val="bottom"/>
          </w:tcPr>
          <w:p w14:paraId="535D11B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47E5A8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6E64935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41737DF" w14:textId="77777777" w:rsidTr="00CC36C1">
        <w:trPr>
          <w:gridBefore w:val="1"/>
          <w:wBefore w:w="17" w:type="dxa"/>
        </w:trPr>
        <w:tc>
          <w:tcPr>
            <w:tcW w:w="7483" w:type="dxa"/>
            <w:gridSpan w:val="2"/>
          </w:tcPr>
          <w:p w14:paraId="3E8DF6FD" w14:textId="77777777" w:rsidR="006F3A86" w:rsidRPr="004005A4" w:rsidRDefault="006F3A86" w:rsidP="006F3A86">
            <w:pPr>
              <w:pStyle w:val="FormTableHeaderRow"/>
              <w:keepNext/>
              <w:rPr>
                <w:rFonts w:cs="Calibri Light"/>
                <w:b w:val="0"/>
                <w:sz w:val="20"/>
                <w:szCs w:val="20"/>
              </w:rPr>
            </w:pPr>
            <w:bookmarkStart w:id="26" w:name="_ARTICLE_5._COMMERCIAL"/>
            <w:bookmarkEnd w:id="26"/>
            <w:r w:rsidRPr="004005A4">
              <w:rPr>
                <w:rFonts w:cs="Calibri Light"/>
                <w:sz w:val="20"/>
                <w:szCs w:val="20"/>
              </w:rPr>
              <w:t>ARTICLE 5. COMMERCIAL AND INDUSTRIAL COMPANIES</w:t>
            </w:r>
          </w:p>
        </w:tc>
        <w:tc>
          <w:tcPr>
            <w:tcW w:w="1209" w:type="dxa"/>
            <w:gridSpan w:val="2"/>
            <w:tcBorders>
              <w:top w:val="single" w:sz="4" w:space="0" w:color="auto"/>
            </w:tcBorders>
            <w:vAlign w:val="bottom"/>
          </w:tcPr>
          <w:p w14:paraId="67490B5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8451B16"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E2D1F5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5BF8E9E" w14:textId="77777777" w:rsidTr="00CC36C1">
        <w:trPr>
          <w:gridBefore w:val="1"/>
          <w:wBefore w:w="17" w:type="dxa"/>
        </w:trPr>
        <w:tc>
          <w:tcPr>
            <w:tcW w:w="7483" w:type="dxa"/>
            <w:gridSpan w:val="2"/>
          </w:tcPr>
          <w:p w14:paraId="39C750DC" w14:textId="77777777" w:rsidR="006F3A86" w:rsidRPr="004005A4" w:rsidRDefault="006F3A86" w:rsidP="006F3A86">
            <w:pPr>
              <w:spacing w:before="120" w:after="120" w:line="240" w:lineRule="atLeast"/>
              <w:outlineLvl w:val="4"/>
              <w:rPr>
                <w:rFonts w:cs="Calibri Light"/>
                <w:b/>
                <w:bCs/>
                <w:sz w:val="20"/>
                <w:szCs w:val="20"/>
              </w:rPr>
            </w:pPr>
            <w:r w:rsidRPr="004005A4">
              <w:rPr>
                <w:rFonts w:cs="Calibri Light"/>
                <w:b/>
                <w:bCs/>
                <w:sz w:val="20"/>
                <w:szCs w:val="20"/>
              </w:rPr>
              <w:t>Rule 5-01 — General application</w:t>
            </w:r>
          </w:p>
          <w:p w14:paraId="2E75E2A9" w14:textId="291F1F6B" w:rsidR="006F3A86" w:rsidRPr="004005A4" w:rsidRDefault="006F3A86" w:rsidP="006F3A86">
            <w:pPr>
              <w:spacing w:before="120" w:after="120" w:line="240" w:lineRule="atLeast"/>
              <w:rPr>
                <w:rFonts w:cs="Calibri Light"/>
                <w:sz w:val="20"/>
                <w:szCs w:val="20"/>
              </w:rPr>
            </w:pPr>
            <w:r w:rsidRPr="004005A4">
              <w:rPr>
                <w:rFonts w:cs="Calibri Light"/>
                <w:sz w:val="20"/>
                <w:szCs w:val="20"/>
              </w:rPr>
              <w:t>Rules 5-01 to 5-04 should be applicable to financial statements filed for all persons except</w:t>
            </w:r>
            <w:r>
              <w:rPr>
                <w:rFonts w:cs="Calibri Light"/>
                <w:sz w:val="20"/>
                <w:szCs w:val="20"/>
              </w:rPr>
              <w:t>:</w:t>
            </w:r>
          </w:p>
          <w:p w14:paraId="7B8545F5" w14:textId="2A0507AA" w:rsidR="006F3A86" w:rsidRPr="004005A4" w:rsidRDefault="006F3A86" w:rsidP="006F3A86">
            <w:pPr>
              <w:spacing w:before="120" w:after="120" w:line="240" w:lineRule="atLeast"/>
              <w:ind w:left="232" w:hanging="232"/>
              <w:rPr>
                <w:rFonts w:cs="Calibri Light"/>
                <w:sz w:val="20"/>
                <w:szCs w:val="20"/>
              </w:rPr>
            </w:pPr>
            <w:r w:rsidRPr="004005A4">
              <w:rPr>
                <w:rFonts w:cs="Calibri Light"/>
                <w:sz w:val="20"/>
                <w:szCs w:val="20"/>
              </w:rPr>
              <w:t>(a)</w:t>
            </w:r>
            <w:r w:rsidRPr="004005A4">
              <w:rPr>
                <w:rFonts w:cs="Calibri Light"/>
                <w:sz w:val="20"/>
                <w:szCs w:val="20"/>
              </w:rPr>
              <w:tab/>
              <w:t>Registered investment companies (see Rule 6-01 to 6-1</w:t>
            </w:r>
            <w:r>
              <w:rPr>
                <w:rFonts w:cs="Calibri Light"/>
                <w:sz w:val="20"/>
                <w:szCs w:val="20"/>
              </w:rPr>
              <w:t>1</w:t>
            </w:r>
            <w:r w:rsidRPr="004005A4">
              <w:rPr>
                <w:rFonts w:cs="Calibri Light"/>
                <w:sz w:val="20"/>
                <w:szCs w:val="20"/>
              </w:rPr>
              <w:t xml:space="preserve">). </w:t>
            </w:r>
          </w:p>
          <w:p w14:paraId="42D9BCAB" w14:textId="77777777" w:rsidR="006F3A86" w:rsidRPr="004005A4" w:rsidRDefault="006F3A86" w:rsidP="006F3A86">
            <w:pPr>
              <w:spacing w:before="120" w:after="120" w:line="240" w:lineRule="atLeast"/>
              <w:ind w:left="232" w:hanging="232"/>
              <w:rPr>
                <w:rFonts w:cs="Calibri Light"/>
                <w:sz w:val="20"/>
                <w:szCs w:val="20"/>
              </w:rPr>
            </w:pPr>
            <w:r w:rsidRPr="004005A4">
              <w:rPr>
                <w:rFonts w:cs="Calibri Light"/>
                <w:sz w:val="20"/>
                <w:szCs w:val="20"/>
              </w:rPr>
              <w:t>(b)</w:t>
            </w:r>
            <w:r w:rsidRPr="004005A4">
              <w:rPr>
                <w:rFonts w:cs="Calibri Light"/>
                <w:sz w:val="20"/>
                <w:szCs w:val="20"/>
              </w:rPr>
              <w:tab/>
              <w:t xml:space="preserve">Employee stock purchase, savings and similar plans (see Rule 6A-01 to 6A-05). </w:t>
            </w:r>
          </w:p>
          <w:p w14:paraId="3627BEEB" w14:textId="77777777" w:rsidR="006F3A86" w:rsidRPr="004005A4" w:rsidRDefault="006F3A86" w:rsidP="006F3A86">
            <w:pPr>
              <w:spacing w:before="120" w:after="120" w:line="240" w:lineRule="atLeast"/>
              <w:ind w:left="232" w:hanging="232"/>
              <w:rPr>
                <w:rFonts w:cs="Calibri Light"/>
                <w:sz w:val="20"/>
                <w:szCs w:val="20"/>
              </w:rPr>
            </w:pPr>
            <w:r w:rsidRPr="004005A4">
              <w:rPr>
                <w:rFonts w:cs="Calibri Light"/>
                <w:sz w:val="20"/>
                <w:szCs w:val="20"/>
              </w:rPr>
              <w:t>(c)</w:t>
            </w:r>
            <w:r w:rsidRPr="004005A4">
              <w:rPr>
                <w:rFonts w:cs="Calibri Light"/>
                <w:sz w:val="20"/>
                <w:szCs w:val="20"/>
              </w:rPr>
              <w:tab/>
              <w:t xml:space="preserve">Insurance companies (see Rule 7-01 to 7-05). </w:t>
            </w:r>
          </w:p>
          <w:p w14:paraId="2DD40C32" w14:textId="0DFCA5E2" w:rsidR="006F3A86" w:rsidRPr="004005A4" w:rsidRDefault="006F3A86" w:rsidP="006F3A86">
            <w:pPr>
              <w:spacing w:before="120" w:after="120" w:line="240" w:lineRule="atLeast"/>
              <w:ind w:left="232" w:hanging="232"/>
              <w:rPr>
                <w:rFonts w:cs="Calibri Light"/>
                <w:sz w:val="20"/>
                <w:szCs w:val="20"/>
              </w:rPr>
            </w:pPr>
            <w:r w:rsidRPr="004005A4">
              <w:rPr>
                <w:rFonts w:cs="Calibri Light"/>
                <w:sz w:val="20"/>
                <w:szCs w:val="20"/>
              </w:rPr>
              <w:t>(d)</w:t>
            </w:r>
            <w:r w:rsidRPr="004005A4">
              <w:rPr>
                <w:rFonts w:cs="Calibri Light"/>
                <w:sz w:val="20"/>
                <w:szCs w:val="20"/>
              </w:rPr>
              <w:tab/>
              <w:t xml:space="preserve">Bank holding companies and banks (see Rule 9-01 to 9-07). </w:t>
            </w:r>
          </w:p>
          <w:p w14:paraId="3AE4B74D" w14:textId="77777777" w:rsidR="006F3A86" w:rsidRPr="004005A4" w:rsidRDefault="006F3A86" w:rsidP="006F3A86">
            <w:pPr>
              <w:spacing w:before="120" w:after="120" w:line="240" w:lineRule="atLeast"/>
              <w:ind w:left="232" w:hanging="232"/>
              <w:rPr>
                <w:rFonts w:cs="Calibri Light"/>
                <w:sz w:val="20"/>
                <w:szCs w:val="20"/>
              </w:rPr>
            </w:pPr>
            <w:r w:rsidRPr="004005A4">
              <w:rPr>
                <w:rFonts w:cs="Calibri Light"/>
                <w:sz w:val="20"/>
                <w:szCs w:val="20"/>
              </w:rPr>
              <w:t>(e)</w:t>
            </w:r>
            <w:r w:rsidRPr="004005A4">
              <w:rPr>
                <w:rFonts w:cs="Calibri Light"/>
                <w:sz w:val="20"/>
                <w:szCs w:val="20"/>
              </w:rPr>
              <w:tab/>
              <w:t xml:space="preserve">Brokers and dealers when filing Form X-17A-5 (see Rule 17a-5 and 17a-10 under the Exchange Act). </w:t>
            </w:r>
          </w:p>
        </w:tc>
        <w:tc>
          <w:tcPr>
            <w:tcW w:w="1209" w:type="dxa"/>
            <w:gridSpan w:val="2"/>
            <w:tcBorders>
              <w:bottom w:val="single" w:sz="4" w:space="0" w:color="auto"/>
            </w:tcBorders>
            <w:vAlign w:val="bottom"/>
          </w:tcPr>
          <w:p w14:paraId="7358D65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223D1D9"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2336509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89E0670" w14:textId="77777777" w:rsidTr="00CC36C1">
        <w:trPr>
          <w:gridBefore w:val="1"/>
          <w:wBefore w:w="17" w:type="dxa"/>
        </w:trPr>
        <w:tc>
          <w:tcPr>
            <w:tcW w:w="7483" w:type="dxa"/>
            <w:gridSpan w:val="2"/>
          </w:tcPr>
          <w:p w14:paraId="07B4B633" w14:textId="77777777" w:rsidR="006F3A86" w:rsidRDefault="006F3A86" w:rsidP="006F3A86">
            <w:pPr>
              <w:pStyle w:val="standard"/>
              <w:keepNext/>
              <w:spacing w:before="120" w:after="120" w:line="240" w:lineRule="atLeast"/>
              <w:rPr>
                <w:rFonts w:cs="Calibri Light"/>
                <w:b/>
                <w:sz w:val="20"/>
                <w:szCs w:val="20"/>
              </w:rPr>
            </w:pPr>
            <w:r w:rsidRPr="004005A4">
              <w:rPr>
                <w:rFonts w:cs="Calibri Light"/>
                <w:b/>
                <w:sz w:val="20"/>
                <w:szCs w:val="20"/>
              </w:rPr>
              <w:t xml:space="preserve">Rule 5-02 </w:t>
            </w:r>
            <w:r w:rsidRPr="004005A4">
              <w:rPr>
                <w:rFonts w:cs="Calibri Light"/>
                <w:sz w:val="20"/>
                <w:szCs w:val="20"/>
              </w:rPr>
              <w:t xml:space="preserve">— </w:t>
            </w:r>
            <w:r w:rsidRPr="004005A4">
              <w:rPr>
                <w:rFonts w:cs="Calibri Light"/>
                <w:b/>
                <w:sz w:val="20"/>
                <w:szCs w:val="20"/>
              </w:rPr>
              <w:t>Balance sheets</w:t>
            </w:r>
          </w:p>
          <w:p w14:paraId="6103B765" w14:textId="77777777" w:rsidR="006F3A86" w:rsidRDefault="006F3A86" w:rsidP="006F3A86">
            <w:pPr>
              <w:pStyle w:val="standard"/>
              <w:keepNext/>
              <w:spacing w:before="120" w:after="120" w:line="240" w:lineRule="atLeast"/>
              <w:rPr>
                <w:rFonts w:cs="Calibri Light"/>
                <w:b/>
                <w:sz w:val="20"/>
                <w:szCs w:val="20"/>
              </w:rPr>
            </w:pPr>
            <w:r>
              <w:rPr>
                <w:rFonts w:cs="Calibri Light"/>
                <w:b/>
                <w:sz w:val="20"/>
                <w:szCs w:val="20"/>
              </w:rPr>
              <w:t>Assets and Other Debits</w:t>
            </w:r>
          </w:p>
          <w:p w14:paraId="50CF3FB4" w14:textId="38B4B411" w:rsidR="006F3A86" w:rsidRPr="004005A4" w:rsidRDefault="006F3A86" w:rsidP="006F3A86">
            <w:pPr>
              <w:pStyle w:val="standard"/>
              <w:keepNext/>
              <w:spacing w:before="120" w:after="120" w:line="240" w:lineRule="atLeast"/>
              <w:rPr>
                <w:rFonts w:cs="Calibri Light"/>
                <w:sz w:val="20"/>
                <w:szCs w:val="20"/>
              </w:rPr>
            </w:pPr>
            <w:r>
              <w:rPr>
                <w:rFonts w:cs="Calibri Light"/>
                <w:b/>
                <w:sz w:val="20"/>
                <w:szCs w:val="20"/>
              </w:rPr>
              <w:t>Current Assets, when appropriate</w:t>
            </w:r>
          </w:p>
        </w:tc>
        <w:tc>
          <w:tcPr>
            <w:tcW w:w="1209" w:type="dxa"/>
            <w:gridSpan w:val="2"/>
            <w:tcBorders>
              <w:top w:val="single" w:sz="4" w:space="0" w:color="auto"/>
            </w:tcBorders>
            <w:vAlign w:val="bottom"/>
          </w:tcPr>
          <w:p w14:paraId="39CBC36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914B05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9BDFCF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84B23F2" w14:textId="77777777" w:rsidTr="00CC36C1">
        <w:trPr>
          <w:gridBefore w:val="1"/>
          <w:wBefore w:w="17" w:type="dxa"/>
        </w:trPr>
        <w:tc>
          <w:tcPr>
            <w:tcW w:w="7483" w:type="dxa"/>
            <w:gridSpan w:val="2"/>
          </w:tcPr>
          <w:p w14:paraId="4169E2CF" w14:textId="74B7AAD1"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1.</w:t>
            </w:r>
            <w:r w:rsidRPr="004005A4">
              <w:rPr>
                <w:rFonts w:cs="Calibri Light"/>
                <w:sz w:val="20"/>
                <w:szCs w:val="20"/>
              </w:rPr>
              <w:tab/>
            </w:r>
            <w:r w:rsidRPr="004005A4">
              <w:rPr>
                <w:rFonts w:cs="Calibri Light"/>
                <w:b/>
                <w:sz w:val="20"/>
                <w:szCs w:val="20"/>
              </w:rPr>
              <w:t xml:space="preserve">Cash and cash items.  </w:t>
            </w:r>
            <w:r w:rsidRPr="004005A4">
              <w:rPr>
                <w:rFonts w:cs="Calibri Light"/>
                <w:sz w:val="20"/>
                <w:szCs w:val="20"/>
              </w:rPr>
              <w:t>State separately cash and cash items that are restricted as to withdrawal or usage (e.g., legally restricted deposits held as compensating balances, contracts entered into with others, company statements of intention with regard to particular deposits) and describe in the notes the provisions of restrictions.  Time deposits and short-term CDs are not generally included in legally restricted deposits.  Disclose cases in which compensating balance arrangements exist but do not legally restrict the use of cash, for the latest audited balance sheet and any unaudited interim balance sheet.  Disclose compensating balances maintained to assure future credit availability.</w:t>
            </w:r>
          </w:p>
        </w:tc>
        <w:tc>
          <w:tcPr>
            <w:tcW w:w="1209" w:type="dxa"/>
            <w:gridSpan w:val="2"/>
            <w:vAlign w:val="bottom"/>
          </w:tcPr>
          <w:p w14:paraId="162EFD2A"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3B2DF3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202937B7"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A253299" w14:textId="77777777" w:rsidTr="00CC36C1">
        <w:trPr>
          <w:gridBefore w:val="1"/>
          <w:wBefore w:w="17" w:type="dxa"/>
        </w:trPr>
        <w:tc>
          <w:tcPr>
            <w:tcW w:w="7483" w:type="dxa"/>
            <w:gridSpan w:val="2"/>
          </w:tcPr>
          <w:p w14:paraId="25AEEB29" w14:textId="77777777" w:rsidR="006F3A86" w:rsidRPr="004005A4" w:rsidRDefault="006F3A86" w:rsidP="006F3A86">
            <w:pPr>
              <w:pStyle w:val="level1"/>
              <w:tabs>
                <w:tab w:val="clear" w:pos="576"/>
              </w:tabs>
              <w:spacing w:after="120" w:line="240" w:lineRule="atLeast"/>
              <w:ind w:left="232" w:hanging="232"/>
              <w:rPr>
                <w:rFonts w:cs="Calibri Light"/>
                <w:sz w:val="20"/>
                <w:szCs w:val="20"/>
              </w:rPr>
            </w:pPr>
            <w:r w:rsidRPr="004005A4">
              <w:rPr>
                <w:rFonts w:cs="Calibri Light"/>
                <w:sz w:val="20"/>
                <w:szCs w:val="20"/>
              </w:rPr>
              <w:tab/>
              <w:t>See FRR Section 203 and SAB Topic 6-H for interpretations.</w:t>
            </w:r>
          </w:p>
        </w:tc>
        <w:tc>
          <w:tcPr>
            <w:tcW w:w="1209" w:type="dxa"/>
            <w:gridSpan w:val="2"/>
            <w:tcBorders>
              <w:top w:val="single" w:sz="4" w:space="0" w:color="auto"/>
            </w:tcBorders>
            <w:vAlign w:val="bottom"/>
          </w:tcPr>
          <w:p w14:paraId="42803B1E"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C68C2B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A02D7F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29480EE" w14:textId="77777777" w:rsidTr="00CC36C1">
        <w:trPr>
          <w:gridBefore w:val="1"/>
          <w:wBefore w:w="17" w:type="dxa"/>
        </w:trPr>
        <w:tc>
          <w:tcPr>
            <w:tcW w:w="7483" w:type="dxa"/>
            <w:gridSpan w:val="2"/>
          </w:tcPr>
          <w:p w14:paraId="5012CCB5" w14:textId="77777777"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2.</w:t>
            </w:r>
            <w:r w:rsidRPr="004005A4">
              <w:rPr>
                <w:rFonts w:cs="Calibri Light"/>
                <w:sz w:val="20"/>
                <w:szCs w:val="20"/>
              </w:rPr>
              <w:tab/>
            </w:r>
            <w:r w:rsidRPr="004005A4">
              <w:rPr>
                <w:rFonts w:cs="Calibri Light"/>
                <w:b/>
                <w:sz w:val="20"/>
                <w:szCs w:val="20"/>
              </w:rPr>
              <w:t xml:space="preserve">Marketable securities.  </w:t>
            </w:r>
            <w:r w:rsidRPr="004005A4">
              <w:rPr>
                <w:rFonts w:cs="Calibri Light"/>
                <w:sz w:val="20"/>
                <w:szCs w:val="20"/>
              </w:rPr>
              <w:t>Disclose the basis of determining the total amount shown in the balance sheet, and the total cost or the total market value.</w:t>
            </w:r>
          </w:p>
        </w:tc>
        <w:tc>
          <w:tcPr>
            <w:tcW w:w="1209" w:type="dxa"/>
            <w:gridSpan w:val="2"/>
            <w:tcBorders>
              <w:bottom w:val="single" w:sz="6" w:space="0" w:color="auto"/>
            </w:tcBorders>
            <w:vAlign w:val="bottom"/>
          </w:tcPr>
          <w:p w14:paraId="7C440D4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9BE283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6F1ACF6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C47B4A0" w14:textId="77777777" w:rsidTr="00CC36C1">
        <w:trPr>
          <w:gridBefore w:val="1"/>
          <w:wBefore w:w="17" w:type="dxa"/>
        </w:trPr>
        <w:tc>
          <w:tcPr>
            <w:tcW w:w="7483" w:type="dxa"/>
            <w:gridSpan w:val="2"/>
          </w:tcPr>
          <w:p w14:paraId="46231FE0" w14:textId="1534A89F" w:rsidR="006F3A86" w:rsidRPr="004005A4" w:rsidRDefault="006F3A86" w:rsidP="006F3A86">
            <w:pPr>
              <w:pStyle w:val="level1"/>
              <w:tabs>
                <w:tab w:val="clear" w:pos="576"/>
              </w:tabs>
              <w:spacing w:after="120" w:line="240" w:lineRule="atLeast"/>
              <w:ind w:left="232" w:hanging="232"/>
              <w:rPr>
                <w:rFonts w:cs="Calibri Light"/>
                <w:sz w:val="20"/>
                <w:szCs w:val="20"/>
              </w:rPr>
            </w:pPr>
            <w:r w:rsidRPr="004005A4">
              <w:rPr>
                <w:rFonts w:cs="Calibri Light"/>
                <w:sz w:val="20"/>
                <w:szCs w:val="20"/>
              </w:rPr>
              <w:lastRenderedPageBreak/>
              <w:tab/>
              <w:t>See FRR Section 207 for additional guidance.</w:t>
            </w:r>
          </w:p>
        </w:tc>
        <w:tc>
          <w:tcPr>
            <w:tcW w:w="1209" w:type="dxa"/>
            <w:gridSpan w:val="2"/>
            <w:tcBorders>
              <w:top w:val="single" w:sz="6" w:space="0" w:color="auto"/>
            </w:tcBorders>
            <w:vAlign w:val="bottom"/>
          </w:tcPr>
          <w:p w14:paraId="4C8AA02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D2DDDF6"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63A92D9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28D3DEE" w14:textId="77777777" w:rsidTr="00CC36C1">
        <w:trPr>
          <w:gridBefore w:val="1"/>
          <w:wBefore w:w="17" w:type="dxa"/>
        </w:trPr>
        <w:tc>
          <w:tcPr>
            <w:tcW w:w="7483" w:type="dxa"/>
            <w:gridSpan w:val="2"/>
          </w:tcPr>
          <w:p w14:paraId="15E9611A" w14:textId="77777777" w:rsidR="006F3A86" w:rsidRPr="004005A4" w:rsidRDefault="006F3A86" w:rsidP="006F3A86">
            <w:pPr>
              <w:pStyle w:val="levela"/>
              <w:tabs>
                <w:tab w:val="clear" w:pos="576"/>
              </w:tabs>
              <w:spacing w:before="120" w:after="120" w:line="240" w:lineRule="atLeast"/>
              <w:ind w:left="232" w:hanging="232"/>
              <w:rPr>
                <w:rFonts w:cs="Calibri Light"/>
                <w:b/>
                <w:sz w:val="20"/>
                <w:szCs w:val="20"/>
              </w:rPr>
            </w:pPr>
            <w:r w:rsidRPr="004005A4">
              <w:rPr>
                <w:rFonts w:cs="Calibri Light"/>
                <w:sz w:val="20"/>
                <w:szCs w:val="20"/>
              </w:rPr>
              <w:t>3.</w:t>
            </w:r>
            <w:r w:rsidRPr="004005A4">
              <w:rPr>
                <w:rFonts w:cs="Calibri Light"/>
                <w:b/>
                <w:sz w:val="20"/>
                <w:szCs w:val="20"/>
              </w:rPr>
              <w:tab/>
              <w:t>Accounts and notes receivable.</w:t>
            </w:r>
          </w:p>
        </w:tc>
        <w:tc>
          <w:tcPr>
            <w:tcW w:w="1209" w:type="dxa"/>
            <w:gridSpan w:val="2"/>
            <w:vAlign w:val="bottom"/>
          </w:tcPr>
          <w:p w14:paraId="353EE96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98CEEC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3EB14AB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D00A50F" w14:textId="77777777" w:rsidTr="00CC36C1">
        <w:trPr>
          <w:gridBefore w:val="1"/>
          <w:wBefore w:w="17" w:type="dxa"/>
        </w:trPr>
        <w:tc>
          <w:tcPr>
            <w:tcW w:w="7483" w:type="dxa"/>
            <w:gridSpan w:val="2"/>
          </w:tcPr>
          <w:p w14:paraId="6F8DA44E" w14:textId="77777777" w:rsidR="006F3A86" w:rsidRPr="004005A4" w:rsidRDefault="006F3A86" w:rsidP="006F3A86">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a.</w:t>
            </w:r>
            <w:r w:rsidRPr="004005A4">
              <w:rPr>
                <w:rFonts w:cs="Calibri Light"/>
                <w:sz w:val="20"/>
                <w:szCs w:val="20"/>
              </w:rPr>
              <w:tab/>
              <w:t>State separately amounts receivable from customers, related parties [see S-X Rule 4-08(k)], underwriters, promoters, and employees (other than related parties) that arose other than in the ordinary course of business, and others.</w:t>
            </w:r>
          </w:p>
        </w:tc>
        <w:tc>
          <w:tcPr>
            <w:tcW w:w="1209" w:type="dxa"/>
            <w:gridSpan w:val="2"/>
            <w:tcBorders>
              <w:bottom w:val="single" w:sz="4" w:space="0" w:color="auto"/>
            </w:tcBorders>
            <w:vAlign w:val="bottom"/>
          </w:tcPr>
          <w:p w14:paraId="27E5442A"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174D49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1A0CED8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D5DEBD0" w14:textId="77777777" w:rsidTr="00CC36C1">
        <w:trPr>
          <w:gridBefore w:val="1"/>
          <w:wBefore w:w="17" w:type="dxa"/>
        </w:trPr>
        <w:tc>
          <w:tcPr>
            <w:tcW w:w="7483" w:type="dxa"/>
            <w:gridSpan w:val="2"/>
          </w:tcPr>
          <w:p w14:paraId="1CC934ED" w14:textId="77777777" w:rsidR="006F3A86" w:rsidRPr="004005A4" w:rsidRDefault="006F3A86" w:rsidP="006F3A86">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b.</w:t>
            </w:r>
            <w:r w:rsidRPr="004005A4">
              <w:rPr>
                <w:rFonts w:cs="Calibri Light"/>
                <w:sz w:val="20"/>
                <w:szCs w:val="20"/>
              </w:rPr>
              <w:tab/>
              <w:t>If notes receivable exceed 10% of the total receivables, the above information must be stated separately for both accounts and notes receivable in the balance sheet or the footnotes.</w:t>
            </w:r>
          </w:p>
        </w:tc>
        <w:tc>
          <w:tcPr>
            <w:tcW w:w="1209" w:type="dxa"/>
            <w:gridSpan w:val="2"/>
            <w:tcBorders>
              <w:top w:val="single" w:sz="4" w:space="0" w:color="auto"/>
            </w:tcBorders>
            <w:vAlign w:val="bottom"/>
          </w:tcPr>
          <w:p w14:paraId="6E0020F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5FD9EC4"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DC0829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6C545A0" w14:textId="77777777" w:rsidTr="00CC36C1">
        <w:trPr>
          <w:gridBefore w:val="1"/>
          <w:wBefore w:w="17" w:type="dxa"/>
        </w:trPr>
        <w:tc>
          <w:tcPr>
            <w:tcW w:w="7483" w:type="dxa"/>
            <w:gridSpan w:val="2"/>
          </w:tcPr>
          <w:p w14:paraId="372C5D0F" w14:textId="77777777" w:rsidR="006F3A86" w:rsidRPr="004005A4" w:rsidRDefault="006F3A86" w:rsidP="006F3A86">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c.</w:t>
            </w:r>
            <w:r w:rsidRPr="004005A4">
              <w:rPr>
                <w:rFonts w:cs="Calibri Light"/>
                <w:sz w:val="20"/>
                <w:szCs w:val="20"/>
              </w:rPr>
              <w:tab/>
              <w:t>If receivables include amounts due under long-term contracts (see Item 6.d. below and FRR Section 206), state separately in the balance sheet or the footnotes:</w:t>
            </w:r>
          </w:p>
        </w:tc>
        <w:tc>
          <w:tcPr>
            <w:tcW w:w="1209" w:type="dxa"/>
            <w:gridSpan w:val="2"/>
            <w:tcBorders>
              <w:top w:val="single" w:sz="4" w:space="0" w:color="auto"/>
            </w:tcBorders>
            <w:vAlign w:val="bottom"/>
          </w:tcPr>
          <w:p w14:paraId="3BFAE1C4"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2B3E376"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A29F5B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CF13C61" w14:textId="77777777" w:rsidTr="00CC36C1">
        <w:trPr>
          <w:gridBefore w:val="1"/>
          <w:wBefore w:w="17" w:type="dxa"/>
        </w:trPr>
        <w:tc>
          <w:tcPr>
            <w:tcW w:w="7483" w:type="dxa"/>
            <w:gridSpan w:val="2"/>
          </w:tcPr>
          <w:p w14:paraId="390CEF88" w14:textId="77777777" w:rsidR="006F3A86" w:rsidRPr="004005A4" w:rsidRDefault="006F3A86" w:rsidP="006F3A86">
            <w:pPr>
              <w:pStyle w:val="level3"/>
              <w:tabs>
                <w:tab w:val="clear" w:pos="576"/>
                <w:tab w:val="clear" w:pos="1152"/>
              </w:tabs>
              <w:spacing w:after="120" w:line="240" w:lineRule="atLeast"/>
              <w:ind w:left="862" w:hanging="360"/>
              <w:rPr>
                <w:rFonts w:cs="Calibri Light"/>
                <w:sz w:val="20"/>
                <w:szCs w:val="20"/>
              </w:rPr>
            </w:pPr>
            <w:r w:rsidRPr="004005A4">
              <w:rPr>
                <w:rFonts w:cs="Calibri Light"/>
                <w:sz w:val="20"/>
                <w:szCs w:val="20"/>
              </w:rPr>
              <w:t>(1)</w:t>
            </w:r>
            <w:r w:rsidRPr="004005A4">
              <w:rPr>
                <w:rFonts w:cs="Calibri Light"/>
                <w:sz w:val="20"/>
                <w:szCs w:val="20"/>
              </w:rPr>
              <w:tab/>
              <w:t>Receivables billed but not paid under retainage provision in contracts.</w:t>
            </w:r>
          </w:p>
        </w:tc>
        <w:tc>
          <w:tcPr>
            <w:tcW w:w="1209" w:type="dxa"/>
            <w:gridSpan w:val="2"/>
            <w:tcBorders>
              <w:bottom w:val="single" w:sz="6" w:space="0" w:color="auto"/>
            </w:tcBorders>
            <w:vAlign w:val="bottom"/>
          </w:tcPr>
          <w:p w14:paraId="404DF72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A10006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22EBD90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0496852" w14:textId="77777777" w:rsidTr="00CC36C1">
        <w:trPr>
          <w:gridBefore w:val="1"/>
          <w:wBefore w:w="17" w:type="dxa"/>
        </w:trPr>
        <w:tc>
          <w:tcPr>
            <w:tcW w:w="7483" w:type="dxa"/>
            <w:gridSpan w:val="2"/>
          </w:tcPr>
          <w:p w14:paraId="5DA62B7B" w14:textId="77777777" w:rsidR="006F3A86" w:rsidRPr="004005A4" w:rsidRDefault="006F3A86" w:rsidP="006F3A86">
            <w:pPr>
              <w:pStyle w:val="level3"/>
              <w:tabs>
                <w:tab w:val="clear" w:pos="576"/>
                <w:tab w:val="clear" w:pos="1152"/>
              </w:tabs>
              <w:spacing w:after="120" w:line="240" w:lineRule="atLeast"/>
              <w:ind w:left="862" w:hanging="360"/>
              <w:rPr>
                <w:rFonts w:cs="Calibri Light"/>
                <w:sz w:val="20"/>
                <w:szCs w:val="20"/>
              </w:rPr>
            </w:pPr>
            <w:r w:rsidRPr="004005A4">
              <w:rPr>
                <w:rFonts w:cs="Calibri Light"/>
                <w:sz w:val="20"/>
                <w:szCs w:val="20"/>
              </w:rPr>
              <w:t>(2)</w:t>
            </w:r>
            <w:r w:rsidRPr="004005A4">
              <w:rPr>
                <w:rFonts w:cs="Calibri Light"/>
                <w:sz w:val="20"/>
                <w:szCs w:val="20"/>
              </w:rPr>
              <w:tab/>
              <w:t>Recognized sales value of performance and amounts that had not been billed and were not billable, and the prerequisites for billing.</w:t>
            </w:r>
          </w:p>
        </w:tc>
        <w:tc>
          <w:tcPr>
            <w:tcW w:w="1209" w:type="dxa"/>
            <w:gridSpan w:val="2"/>
            <w:tcBorders>
              <w:top w:val="single" w:sz="6" w:space="0" w:color="auto"/>
              <w:bottom w:val="single" w:sz="4" w:space="0" w:color="auto"/>
            </w:tcBorders>
            <w:vAlign w:val="bottom"/>
          </w:tcPr>
          <w:p w14:paraId="4ADEEA2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4C96CD3"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1E60BD43"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8AC45B4" w14:textId="77777777" w:rsidTr="00CC36C1">
        <w:trPr>
          <w:gridBefore w:val="1"/>
          <w:wBefore w:w="17" w:type="dxa"/>
        </w:trPr>
        <w:tc>
          <w:tcPr>
            <w:tcW w:w="7483" w:type="dxa"/>
            <w:gridSpan w:val="2"/>
          </w:tcPr>
          <w:p w14:paraId="1B33AF04" w14:textId="77777777" w:rsidR="006F3A86" w:rsidRPr="004005A4" w:rsidRDefault="006F3A86" w:rsidP="006F3A86">
            <w:pPr>
              <w:pStyle w:val="level3"/>
              <w:tabs>
                <w:tab w:val="clear" w:pos="576"/>
                <w:tab w:val="clear" w:pos="1152"/>
              </w:tabs>
              <w:spacing w:after="120" w:line="240" w:lineRule="atLeast"/>
              <w:ind w:left="862" w:hanging="360"/>
              <w:rPr>
                <w:rFonts w:cs="Calibri Light"/>
                <w:sz w:val="20"/>
                <w:szCs w:val="20"/>
              </w:rPr>
            </w:pPr>
            <w:r w:rsidRPr="004005A4">
              <w:rPr>
                <w:rFonts w:cs="Calibri Light"/>
                <w:sz w:val="20"/>
                <w:szCs w:val="20"/>
              </w:rPr>
              <w:t>(3)</w:t>
            </w:r>
            <w:r w:rsidRPr="004005A4">
              <w:rPr>
                <w:rFonts w:cs="Calibri Light"/>
                <w:sz w:val="20"/>
                <w:szCs w:val="20"/>
              </w:rPr>
              <w:tab/>
              <w:t>Billed or unbilled claims subject to uncertainty concerning their determination or ultimate realization and the nature and status of the principal items comprising such amount.</w:t>
            </w:r>
          </w:p>
        </w:tc>
        <w:tc>
          <w:tcPr>
            <w:tcW w:w="1209" w:type="dxa"/>
            <w:gridSpan w:val="2"/>
            <w:tcBorders>
              <w:top w:val="single" w:sz="4" w:space="0" w:color="auto"/>
              <w:bottom w:val="single" w:sz="4" w:space="0" w:color="auto"/>
            </w:tcBorders>
            <w:vAlign w:val="bottom"/>
          </w:tcPr>
          <w:p w14:paraId="28CDD9CA"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C28D81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5F810E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E99C1D3" w14:textId="77777777" w:rsidTr="00CC36C1">
        <w:trPr>
          <w:gridBefore w:val="1"/>
          <w:wBefore w:w="17" w:type="dxa"/>
        </w:trPr>
        <w:tc>
          <w:tcPr>
            <w:tcW w:w="7483" w:type="dxa"/>
            <w:gridSpan w:val="2"/>
          </w:tcPr>
          <w:p w14:paraId="63FAEC8B" w14:textId="77777777" w:rsidR="006F3A86" w:rsidRPr="004005A4" w:rsidRDefault="006F3A86" w:rsidP="006F3A86">
            <w:pPr>
              <w:pStyle w:val="level3"/>
              <w:tabs>
                <w:tab w:val="clear" w:pos="576"/>
                <w:tab w:val="clear" w:pos="1152"/>
              </w:tabs>
              <w:spacing w:after="120" w:line="240" w:lineRule="atLeast"/>
              <w:ind w:left="862" w:hanging="360"/>
              <w:rPr>
                <w:rFonts w:cs="Calibri Light"/>
                <w:sz w:val="20"/>
                <w:szCs w:val="20"/>
              </w:rPr>
            </w:pPr>
            <w:r w:rsidRPr="004005A4">
              <w:rPr>
                <w:rFonts w:cs="Calibri Light"/>
                <w:sz w:val="20"/>
                <w:szCs w:val="20"/>
              </w:rPr>
              <w:t>(4)</w:t>
            </w:r>
            <w:r w:rsidRPr="004005A4">
              <w:rPr>
                <w:rFonts w:cs="Calibri Light"/>
                <w:sz w:val="20"/>
                <w:szCs w:val="20"/>
              </w:rPr>
              <w:tab/>
              <w:t>For items (1) through (3) state the amounts to be collected after one year.  State, by year, when the amounts of retainage [item (1) above] are expected to be collected.</w:t>
            </w:r>
          </w:p>
        </w:tc>
        <w:tc>
          <w:tcPr>
            <w:tcW w:w="1209" w:type="dxa"/>
            <w:gridSpan w:val="2"/>
            <w:tcBorders>
              <w:top w:val="single" w:sz="4" w:space="0" w:color="auto"/>
              <w:bottom w:val="single" w:sz="4" w:space="0" w:color="auto"/>
            </w:tcBorders>
            <w:vAlign w:val="bottom"/>
          </w:tcPr>
          <w:p w14:paraId="2C518EC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FDE381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B198F43"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1397642" w14:textId="77777777" w:rsidTr="00CC36C1">
        <w:trPr>
          <w:gridBefore w:val="1"/>
          <w:wBefore w:w="17" w:type="dxa"/>
        </w:trPr>
        <w:tc>
          <w:tcPr>
            <w:tcW w:w="7483" w:type="dxa"/>
            <w:gridSpan w:val="2"/>
          </w:tcPr>
          <w:p w14:paraId="2BAD963E" w14:textId="77777777" w:rsidR="006F3A86" w:rsidRPr="004005A4" w:rsidRDefault="006F3A86" w:rsidP="006F3A86">
            <w:pPr>
              <w:pStyle w:val="levelc"/>
              <w:tabs>
                <w:tab w:val="clear" w:pos="1170"/>
                <w:tab w:val="clear" w:pos="2304"/>
              </w:tabs>
              <w:spacing w:after="120" w:line="240" w:lineRule="atLeast"/>
              <w:ind w:left="502" w:firstLine="0"/>
              <w:rPr>
                <w:rFonts w:cs="Calibri Light"/>
                <w:sz w:val="20"/>
                <w:szCs w:val="20"/>
              </w:rPr>
            </w:pPr>
            <w:r w:rsidRPr="004005A4">
              <w:rPr>
                <w:rFonts w:cs="Calibri Light"/>
                <w:sz w:val="20"/>
                <w:szCs w:val="20"/>
              </w:rPr>
              <w:t>Also see SAB Topics 4-E and 4-G.</w:t>
            </w:r>
          </w:p>
        </w:tc>
        <w:tc>
          <w:tcPr>
            <w:tcW w:w="1209" w:type="dxa"/>
            <w:gridSpan w:val="2"/>
            <w:tcBorders>
              <w:top w:val="single" w:sz="4" w:space="0" w:color="auto"/>
            </w:tcBorders>
            <w:vAlign w:val="bottom"/>
          </w:tcPr>
          <w:p w14:paraId="3D69932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63F15B7"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D30B91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B42FB73" w14:textId="77777777" w:rsidTr="00CC36C1">
        <w:trPr>
          <w:gridBefore w:val="1"/>
          <w:wBefore w:w="17" w:type="dxa"/>
        </w:trPr>
        <w:tc>
          <w:tcPr>
            <w:tcW w:w="7483" w:type="dxa"/>
            <w:gridSpan w:val="2"/>
          </w:tcPr>
          <w:p w14:paraId="688DAF93" w14:textId="77777777" w:rsidR="006F3A86" w:rsidRPr="004005A4" w:rsidRDefault="006F3A86" w:rsidP="006F3A86">
            <w:pPr>
              <w:pStyle w:val="levelc"/>
              <w:keepNext/>
              <w:spacing w:after="120" w:line="240" w:lineRule="atLeast"/>
              <w:ind w:left="502" w:firstLine="0"/>
              <w:rPr>
                <w:rFonts w:cs="Calibri Light"/>
                <w:b/>
                <w:sz w:val="20"/>
                <w:szCs w:val="20"/>
              </w:rPr>
            </w:pPr>
            <w:r w:rsidRPr="004005A4">
              <w:rPr>
                <w:rFonts w:cs="Calibri Light"/>
                <w:sz w:val="20"/>
                <w:szCs w:val="20"/>
              </w:rPr>
              <w:t>See SAB Topic 1-I concerning financial statements of properties securing mortgage loans.</w:t>
            </w:r>
          </w:p>
        </w:tc>
        <w:tc>
          <w:tcPr>
            <w:tcW w:w="1209" w:type="dxa"/>
            <w:gridSpan w:val="2"/>
            <w:vAlign w:val="bottom"/>
          </w:tcPr>
          <w:p w14:paraId="1E9595B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B9E266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2D337CA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9E06F0C" w14:textId="77777777" w:rsidTr="00CC36C1">
        <w:trPr>
          <w:gridBefore w:val="1"/>
          <w:wBefore w:w="17" w:type="dxa"/>
        </w:trPr>
        <w:tc>
          <w:tcPr>
            <w:tcW w:w="7483" w:type="dxa"/>
            <w:gridSpan w:val="2"/>
          </w:tcPr>
          <w:p w14:paraId="43B53542" w14:textId="77777777" w:rsidR="006F3A86" w:rsidRPr="004005A4" w:rsidRDefault="006F3A86" w:rsidP="006F3A86">
            <w:pPr>
              <w:pStyle w:val="levela"/>
              <w:tabs>
                <w:tab w:val="clear" w:pos="576"/>
              </w:tabs>
              <w:spacing w:before="120" w:after="120" w:line="240" w:lineRule="atLeast"/>
              <w:ind w:left="232" w:hanging="232"/>
              <w:rPr>
                <w:rFonts w:cs="Calibri Light"/>
                <w:b/>
                <w:sz w:val="20"/>
                <w:szCs w:val="20"/>
              </w:rPr>
            </w:pPr>
            <w:r w:rsidRPr="004005A4">
              <w:rPr>
                <w:rFonts w:cs="Calibri Light"/>
                <w:sz w:val="20"/>
                <w:szCs w:val="20"/>
              </w:rPr>
              <w:t>4.</w:t>
            </w:r>
            <w:r w:rsidRPr="004005A4">
              <w:rPr>
                <w:rFonts w:cs="Calibri Light"/>
                <w:sz w:val="20"/>
                <w:szCs w:val="20"/>
              </w:rPr>
              <w:tab/>
            </w:r>
            <w:r w:rsidRPr="004005A4">
              <w:rPr>
                <w:rFonts w:cs="Calibri Light"/>
                <w:b/>
                <w:sz w:val="20"/>
                <w:szCs w:val="20"/>
              </w:rPr>
              <w:t>Allowances for doubtful accounts and notes receivable.</w:t>
            </w:r>
            <w:r w:rsidRPr="004005A4">
              <w:rPr>
                <w:rFonts w:cs="Calibri Light"/>
                <w:sz w:val="20"/>
                <w:szCs w:val="20"/>
              </w:rPr>
              <w:t xml:space="preserve">  Disclose separately on the balance sheet or in a footnote.</w:t>
            </w:r>
          </w:p>
        </w:tc>
        <w:tc>
          <w:tcPr>
            <w:tcW w:w="1209" w:type="dxa"/>
            <w:gridSpan w:val="2"/>
            <w:tcBorders>
              <w:bottom w:val="single" w:sz="6" w:space="0" w:color="auto"/>
            </w:tcBorders>
            <w:vAlign w:val="bottom"/>
          </w:tcPr>
          <w:p w14:paraId="19C8ED9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C4F475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1870C91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EA5E85E" w14:textId="77777777" w:rsidTr="00CC36C1">
        <w:trPr>
          <w:gridBefore w:val="1"/>
          <w:wBefore w:w="17" w:type="dxa"/>
        </w:trPr>
        <w:tc>
          <w:tcPr>
            <w:tcW w:w="7483" w:type="dxa"/>
            <w:gridSpan w:val="2"/>
          </w:tcPr>
          <w:p w14:paraId="7210EF74" w14:textId="681B309A" w:rsidR="006F3A86" w:rsidRPr="004005A4" w:rsidRDefault="006F3A86" w:rsidP="006F3A86">
            <w:pPr>
              <w:pStyle w:val="standard"/>
              <w:spacing w:before="120" w:after="120" w:line="240" w:lineRule="atLeast"/>
              <w:ind w:left="232"/>
              <w:rPr>
                <w:rFonts w:cs="Calibri Light"/>
                <w:b/>
                <w:sz w:val="20"/>
                <w:szCs w:val="20"/>
              </w:rPr>
            </w:pPr>
            <w:r w:rsidRPr="004005A4">
              <w:rPr>
                <w:rFonts w:cs="Calibri Light"/>
                <w:sz w:val="20"/>
                <w:szCs w:val="20"/>
              </w:rPr>
              <w:t>See Schedule II in Rule 5-04 of this checklist.</w:t>
            </w:r>
          </w:p>
        </w:tc>
        <w:tc>
          <w:tcPr>
            <w:tcW w:w="1209" w:type="dxa"/>
            <w:gridSpan w:val="2"/>
            <w:tcBorders>
              <w:top w:val="single" w:sz="6" w:space="0" w:color="auto"/>
            </w:tcBorders>
            <w:vAlign w:val="bottom"/>
          </w:tcPr>
          <w:p w14:paraId="0EBF3C04"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96E172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6F7A373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BD24C25" w14:textId="77777777" w:rsidTr="00CC36C1">
        <w:trPr>
          <w:gridBefore w:val="1"/>
          <w:wBefore w:w="17" w:type="dxa"/>
        </w:trPr>
        <w:tc>
          <w:tcPr>
            <w:tcW w:w="7483" w:type="dxa"/>
            <w:gridSpan w:val="2"/>
          </w:tcPr>
          <w:p w14:paraId="7DD02374" w14:textId="1197E289" w:rsidR="006F3A86" w:rsidRPr="004005A4" w:rsidRDefault="006F3A86" w:rsidP="006F3A86">
            <w:pPr>
              <w:pStyle w:val="standard"/>
              <w:spacing w:before="120" w:after="120" w:line="240" w:lineRule="atLeast"/>
              <w:ind w:left="232"/>
              <w:rPr>
                <w:rFonts w:cs="Calibri Light"/>
                <w:b/>
                <w:sz w:val="20"/>
                <w:szCs w:val="20"/>
              </w:rPr>
            </w:pPr>
            <w:r w:rsidRPr="004005A4">
              <w:rPr>
                <w:rFonts w:cs="Calibri Light"/>
                <w:sz w:val="20"/>
                <w:szCs w:val="20"/>
              </w:rPr>
              <w:t>See discussion at FRR Section 401.09.</w:t>
            </w:r>
          </w:p>
        </w:tc>
        <w:tc>
          <w:tcPr>
            <w:tcW w:w="1209" w:type="dxa"/>
            <w:gridSpan w:val="2"/>
            <w:vAlign w:val="bottom"/>
          </w:tcPr>
          <w:p w14:paraId="34ED1A0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70BF57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70D523FB"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E06E052" w14:textId="77777777" w:rsidTr="00CC36C1">
        <w:trPr>
          <w:gridBefore w:val="1"/>
          <w:wBefore w:w="17" w:type="dxa"/>
        </w:trPr>
        <w:tc>
          <w:tcPr>
            <w:tcW w:w="7483" w:type="dxa"/>
            <w:gridSpan w:val="2"/>
          </w:tcPr>
          <w:p w14:paraId="0DBFF9F1" w14:textId="5566B7ED" w:rsidR="006F3A86" w:rsidRPr="004005A4" w:rsidRDefault="006F3A86" w:rsidP="006F3A86">
            <w:pPr>
              <w:pStyle w:val="levela"/>
              <w:tabs>
                <w:tab w:val="clear" w:pos="576"/>
              </w:tabs>
              <w:spacing w:before="120" w:after="120" w:line="240" w:lineRule="atLeast"/>
              <w:ind w:left="232" w:firstLine="0"/>
              <w:rPr>
                <w:rFonts w:cs="Calibri Light"/>
                <w:bCs/>
                <w:sz w:val="20"/>
                <w:szCs w:val="20"/>
              </w:rPr>
            </w:pPr>
            <w:r w:rsidRPr="004005A4">
              <w:rPr>
                <w:rFonts w:cs="Calibri Light"/>
                <w:bCs/>
                <w:sz w:val="20"/>
                <w:szCs w:val="20"/>
              </w:rPr>
              <w:t>See SAB Topic 6-L for Staff’s views concerning loan loss allowance</w:t>
            </w:r>
            <w:r>
              <w:rPr>
                <w:rFonts w:cs="Calibri Light"/>
                <w:bCs/>
                <w:sz w:val="20"/>
                <w:szCs w:val="20"/>
              </w:rPr>
              <w:t xml:space="preserve"> </w:t>
            </w:r>
            <w:r w:rsidRPr="004005A4">
              <w:rPr>
                <w:rFonts w:cs="Calibri Light"/>
                <w:bCs/>
                <w:sz w:val="20"/>
                <w:szCs w:val="20"/>
              </w:rPr>
              <w:t>methodology and documentation issues.</w:t>
            </w:r>
          </w:p>
        </w:tc>
        <w:tc>
          <w:tcPr>
            <w:tcW w:w="1209" w:type="dxa"/>
            <w:gridSpan w:val="2"/>
            <w:vAlign w:val="bottom"/>
          </w:tcPr>
          <w:p w14:paraId="18E44581" w14:textId="77777777" w:rsidR="006F3A86" w:rsidRPr="004005A4" w:rsidRDefault="006F3A86" w:rsidP="006F3A86">
            <w:pPr>
              <w:keepNext/>
              <w:spacing w:before="120" w:after="120" w:line="240" w:lineRule="atLeast"/>
              <w:jc w:val="center"/>
              <w:rPr>
                <w:rFonts w:cs="Calibri Light"/>
                <w:b/>
                <w:sz w:val="20"/>
                <w:szCs w:val="20"/>
              </w:rPr>
            </w:pPr>
          </w:p>
        </w:tc>
        <w:tc>
          <w:tcPr>
            <w:tcW w:w="236" w:type="dxa"/>
            <w:gridSpan w:val="3"/>
            <w:vAlign w:val="bottom"/>
          </w:tcPr>
          <w:p w14:paraId="084B2D20" w14:textId="77777777" w:rsidR="006F3A86" w:rsidRPr="004005A4" w:rsidRDefault="006F3A86" w:rsidP="006F3A86">
            <w:pPr>
              <w:keepNext/>
              <w:spacing w:before="120" w:after="120" w:line="240" w:lineRule="atLeast"/>
              <w:jc w:val="center"/>
              <w:rPr>
                <w:rFonts w:cs="Calibri Light"/>
                <w:b/>
                <w:sz w:val="20"/>
                <w:szCs w:val="20"/>
              </w:rPr>
            </w:pPr>
          </w:p>
        </w:tc>
        <w:tc>
          <w:tcPr>
            <w:tcW w:w="1181" w:type="dxa"/>
            <w:gridSpan w:val="2"/>
            <w:vAlign w:val="bottom"/>
          </w:tcPr>
          <w:p w14:paraId="470ECE23" w14:textId="77777777" w:rsidR="006F3A86" w:rsidRPr="004005A4" w:rsidRDefault="006F3A86" w:rsidP="006F3A86">
            <w:pPr>
              <w:keepNext/>
              <w:spacing w:before="120" w:after="120" w:line="240" w:lineRule="atLeast"/>
              <w:jc w:val="center"/>
              <w:rPr>
                <w:rFonts w:cs="Calibri Light"/>
                <w:b/>
                <w:sz w:val="20"/>
                <w:szCs w:val="20"/>
              </w:rPr>
            </w:pPr>
          </w:p>
        </w:tc>
      </w:tr>
      <w:tr w:rsidR="006F3A86" w:rsidRPr="004005A4" w14:paraId="379B2DFC" w14:textId="77777777" w:rsidTr="00CC36C1">
        <w:trPr>
          <w:gridBefore w:val="1"/>
          <w:wBefore w:w="17" w:type="dxa"/>
        </w:trPr>
        <w:tc>
          <w:tcPr>
            <w:tcW w:w="7483" w:type="dxa"/>
            <w:gridSpan w:val="2"/>
          </w:tcPr>
          <w:p w14:paraId="08D867D5" w14:textId="77777777"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5.</w:t>
            </w:r>
            <w:r w:rsidRPr="004005A4">
              <w:rPr>
                <w:rFonts w:cs="Calibri Light"/>
                <w:sz w:val="20"/>
                <w:szCs w:val="20"/>
              </w:rPr>
              <w:tab/>
            </w:r>
            <w:r w:rsidRPr="004005A4">
              <w:rPr>
                <w:rFonts w:cs="Calibri Light"/>
                <w:b/>
                <w:sz w:val="20"/>
                <w:szCs w:val="20"/>
              </w:rPr>
              <w:t>Unearned income.</w:t>
            </w:r>
          </w:p>
        </w:tc>
        <w:tc>
          <w:tcPr>
            <w:tcW w:w="1209" w:type="dxa"/>
            <w:gridSpan w:val="2"/>
            <w:tcBorders>
              <w:bottom w:val="single" w:sz="6" w:space="0" w:color="auto"/>
            </w:tcBorders>
            <w:vAlign w:val="bottom"/>
          </w:tcPr>
          <w:p w14:paraId="7114192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B154DD9"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6B585AAA"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38B0CF5" w14:textId="77777777" w:rsidTr="00CC36C1">
        <w:trPr>
          <w:gridBefore w:val="1"/>
          <w:wBefore w:w="17" w:type="dxa"/>
        </w:trPr>
        <w:tc>
          <w:tcPr>
            <w:tcW w:w="7483" w:type="dxa"/>
            <w:gridSpan w:val="2"/>
          </w:tcPr>
          <w:p w14:paraId="573FEAB2" w14:textId="77777777"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6.</w:t>
            </w:r>
            <w:r w:rsidRPr="004005A4">
              <w:rPr>
                <w:rFonts w:cs="Calibri Light"/>
                <w:sz w:val="20"/>
                <w:szCs w:val="20"/>
              </w:rPr>
              <w:tab/>
            </w:r>
            <w:r w:rsidRPr="004005A4">
              <w:rPr>
                <w:rFonts w:cs="Calibri Light"/>
                <w:b/>
                <w:sz w:val="20"/>
                <w:szCs w:val="20"/>
              </w:rPr>
              <w:t>Inventories.</w:t>
            </w:r>
          </w:p>
        </w:tc>
        <w:tc>
          <w:tcPr>
            <w:tcW w:w="1209" w:type="dxa"/>
            <w:gridSpan w:val="2"/>
            <w:vAlign w:val="bottom"/>
          </w:tcPr>
          <w:p w14:paraId="4A1B99D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FE890A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380283E7"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434D0DA" w14:textId="77777777" w:rsidTr="00CC36C1">
        <w:trPr>
          <w:gridBefore w:val="1"/>
          <w:wBefore w:w="17" w:type="dxa"/>
        </w:trPr>
        <w:tc>
          <w:tcPr>
            <w:tcW w:w="7483" w:type="dxa"/>
            <w:gridSpan w:val="2"/>
          </w:tcPr>
          <w:p w14:paraId="187CFD41" w14:textId="77777777"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lastRenderedPageBreak/>
              <w:t>a.</w:t>
            </w:r>
            <w:r w:rsidRPr="004005A4">
              <w:rPr>
                <w:rFonts w:cs="Calibri Light"/>
                <w:sz w:val="20"/>
                <w:szCs w:val="20"/>
              </w:rPr>
              <w:tab/>
            </w:r>
            <w:r w:rsidRPr="004005A4">
              <w:rPr>
                <w:rFonts w:cs="Calibri Light"/>
                <w:b/>
                <w:sz w:val="20"/>
                <w:szCs w:val="20"/>
              </w:rPr>
              <w:t xml:space="preserve">State separately the major classes of inventory — </w:t>
            </w:r>
            <w:r w:rsidRPr="004005A4">
              <w:rPr>
                <w:rFonts w:cs="Calibri Light"/>
                <w:sz w:val="20"/>
                <w:szCs w:val="20"/>
              </w:rPr>
              <w:t>e.g., finished goods, inventoried costs relating to long-term contracts or programs [see Item (d) below], work in process, raw materials, and supplies.</w:t>
            </w:r>
          </w:p>
        </w:tc>
        <w:tc>
          <w:tcPr>
            <w:tcW w:w="1209" w:type="dxa"/>
            <w:gridSpan w:val="2"/>
            <w:vAlign w:val="bottom"/>
          </w:tcPr>
          <w:p w14:paraId="0E0C6FD2"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E2A9087"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11F7383A"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40E2642" w14:textId="77777777" w:rsidTr="00CC36C1">
        <w:trPr>
          <w:gridBefore w:val="1"/>
          <w:wBefore w:w="17" w:type="dxa"/>
        </w:trPr>
        <w:tc>
          <w:tcPr>
            <w:tcW w:w="7483" w:type="dxa"/>
            <w:gridSpan w:val="2"/>
          </w:tcPr>
          <w:p w14:paraId="093D157D" w14:textId="359AE99A" w:rsidR="006F3A86" w:rsidRPr="004005A4" w:rsidRDefault="006F3A86" w:rsidP="006F3A86">
            <w:pPr>
              <w:pStyle w:val="level2"/>
              <w:tabs>
                <w:tab w:val="clear" w:pos="576"/>
                <w:tab w:val="clear" w:pos="1152"/>
              </w:tabs>
              <w:spacing w:after="120" w:line="240" w:lineRule="atLeast"/>
              <w:ind w:left="502" w:firstLine="0"/>
              <w:rPr>
                <w:rFonts w:cs="Calibri Light"/>
                <w:sz w:val="20"/>
                <w:szCs w:val="20"/>
              </w:rPr>
            </w:pPr>
            <w:r w:rsidRPr="004005A4">
              <w:rPr>
                <w:rFonts w:cs="Calibri Light"/>
                <w:sz w:val="20"/>
                <w:szCs w:val="20"/>
              </w:rPr>
              <w:t>If the method of calculating a LIFO inventory does not allow for the practical determination of amounts assigned to major classes of inventory, the amounts of those classes may be stated under cost flow assumptions other than LIFO, with the excess of such total amount over the aggregate LIFO amount shown as a deduction to arrive at the amount of the LIFO inventory.</w:t>
            </w:r>
          </w:p>
        </w:tc>
        <w:tc>
          <w:tcPr>
            <w:tcW w:w="1209" w:type="dxa"/>
            <w:gridSpan w:val="2"/>
            <w:tcBorders>
              <w:top w:val="single" w:sz="4" w:space="0" w:color="auto"/>
            </w:tcBorders>
            <w:vAlign w:val="bottom"/>
          </w:tcPr>
          <w:p w14:paraId="076E0B2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3AF3149"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3028DF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BB8BCEB" w14:textId="77777777" w:rsidTr="00CC36C1">
        <w:trPr>
          <w:gridBefore w:val="1"/>
          <w:wBefore w:w="17" w:type="dxa"/>
        </w:trPr>
        <w:tc>
          <w:tcPr>
            <w:tcW w:w="7483" w:type="dxa"/>
            <w:gridSpan w:val="2"/>
          </w:tcPr>
          <w:p w14:paraId="0DDE9BC7" w14:textId="77777777"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b.</w:t>
            </w:r>
            <w:r w:rsidRPr="004005A4">
              <w:rPr>
                <w:rFonts w:cs="Calibri Light"/>
                <w:sz w:val="20"/>
                <w:szCs w:val="20"/>
              </w:rPr>
              <w:tab/>
            </w:r>
            <w:r w:rsidRPr="004005A4">
              <w:rPr>
                <w:rFonts w:cs="Calibri Light"/>
                <w:b/>
                <w:sz w:val="20"/>
                <w:szCs w:val="20"/>
              </w:rPr>
              <w:t xml:space="preserve">Disclose the basis of determining the amounts.  </w:t>
            </w:r>
            <w:r w:rsidRPr="004005A4">
              <w:rPr>
                <w:rFonts w:cs="Calibri Light"/>
                <w:sz w:val="20"/>
                <w:szCs w:val="20"/>
              </w:rPr>
              <w:t>If cost is used for any portion of the inventory, describe the nature of the cost elements (e.g., costs in excess of manufacturing or production costs over the amounts charged to cost of sales or delivered or in-process units, initial tooling or other deferred start-up costs, or general and administrative costs).</w:t>
            </w:r>
          </w:p>
        </w:tc>
        <w:tc>
          <w:tcPr>
            <w:tcW w:w="1209" w:type="dxa"/>
            <w:gridSpan w:val="2"/>
            <w:tcBorders>
              <w:top w:val="single" w:sz="4" w:space="0" w:color="auto"/>
              <w:bottom w:val="single" w:sz="4" w:space="0" w:color="auto"/>
            </w:tcBorders>
            <w:vAlign w:val="bottom"/>
          </w:tcPr>
          <w:p w14:paraId="300AE70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D4EBBA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082F9D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5FE6D07" w14:textId="77777777" w:rsidTr="00CC36C1">
        <w:trPr>
          <w:gridBefore w:val="1"/>
          <w:wBefore w:w="17" w:type="dxa"/>
        </w:trPr>
        <w:tc>
          <w:tcPr>
            <w:tcW w:w="7483" w:type="dxa"/>
            <w:gridSpan w:val="2"/>
          </w:tcPr>
          <w:p w14:paraId="79348C90" w14:textId="68E5CD8F" w:rsidR="006F3A86" w:rsidRPr="004005A4" w:rsidRDefault="006F3A86" w:rsidP="006F3A86">
            <w:pPr>
              <w:pStyle w:val="level2"/>
              <w:tabs>
                <w:tab w:val="clear" w:pos="576"/>
                <w:tab w:val="clear" w:pos="1152"/>
              </w:tabs>
              <w:spacing w:after="120" w:line="240" w:lineRule="atLeast"/>
              <w:ind w:left="502" w:firstLine="0"/>
              <w:rPr>
                <w:rFonts w:cs="Calibri Light"/>
                <w:sz w:val="20"/>
                <w:szCs w:val="20"/>
              </w:rPr>
            </w:pPr>
            <w:r w:rsidRPr="004005A4">
              <w:rPr>
                <w:rFonts w:cs="Calibri Light"/>
                <w:sz w:val="20"/>
                <w:szCs w:val="20"/>
              </w:rPr>
              <w:t>Describe the method by which amounts are removed from inventory.  If the “estimated average cost per unit” is used (under a total program or similar basis of accounting), state the assumptions (including the total number of units to be delivered, the number of units delivered to date, and the number of units on order).</w:t>
            </w:r>
          </w:p>
        </w:tc>
        <w:tc>
          <w:tcPr>
            <w:tcW w:w="1209" w:type="dxa"/>
            <w:gridSpan w:val="2"/>
            <w:tcBorders>
              <w:top w:val="single" w:sz="4" w:space="0" w:color="auto"/>
              <w:bottom w:val="single" w:sz="4" w:space="0" w:color="auto"/>
            </w:tcBorders>
            <w:vAlign w:val="bottom"/>
          </w:tcPr>
          <w:p w14:paraId="700160A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FE4E51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B3687A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1624A4A" w14:textId="77777777" w:rsidTr="00CC36C1">
        <w:trPr>
          <w:gridBefore w:val="1"/>
          <w:wBefore w:w="17" w:type="dxa"/>
        </w:trPr>
        <w:tc>
          <w:tcPr>
            <w:tcW w:w="7483" w:type="dxa"/>
            <w:gridSpan w:val="2"/>
          </w:tcPr>
          <w:p w14:paraId="4CA98633" w14:textId="59D5CC6C" w:rsidR="006F3A86" w:rsidRPr="004005A4" w:rsidRDefault="006F3A86" w:rsidP="006F3A86">
            <w:pPr>
              <w:pStyle w:val="level2"/>
              <w:tabs>
                <w:tab w:val="clear" w:pos="576"/>
                <w:tab w:val="clear" w:pos="1152"/>
              </w:tabs>
              <w:spacing w:after="120" w:line="240" w:lineRule="atLeast"/>
              <w:ind w:left="502" w:firstLine="0"/>
              <w:rPr>
                <w:rFonts w:cs="Calibri Light"/>
                <w:sz w:val="20"/>
                <w:szCs w:val="20"/>
              </w:rPr>
            </w:pPr>
            <w:r w:rsidRPr="004005A4">
              <w:rPr>
                <w:rFonts w:cs="Calibri Light"/>
                <w:sz w:val="20"/>
                <w:szCs w:val="20"/>
              </w:rPr>
              <w:t>If general and administrative costs are charged to inventory, state the total amount of such costs incurred in each period and the amount remaining in inventory at each balance-sheet date.</w:t>
            </w:r>
          </w:p>
        </w:tc>
        <w:tc>
          <w:tcPr>
            <w:tcW w:w="1209" w:type="dxa"/>
            <w:gridSpan w:val="2"/>
            <w:tcBorders>
              <w:top w:val="single" w:sz="4" w:space="0" w:color="auto"/>
            </w:tcBorders>
            <w:vAlign w:val="bottom"/>
          </w:tcPr>
          <w:p w14:paraId="1E8E3882"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11A8EDE"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2E7CAF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C520D56" w14:textId="77777777" w:rsidTr="00CC36C1">
        <w:trPr>
          <w:gridBefore w:val="1"/>
          <w:wBefore w:w="17" w:type="dxa"/>
        </w:trPr>
        <w:tc>
          <w:tcPr>
            <w:tcW w:w="7483" w:type="dxa"/>
            <w:gridSpan w:val="2"/>
          </w:tcPr>
          <w:p w14:paraId="02C8A339" w14:textId="77777777" w:rsidR="006F3A86" w:rsidRPr="004005A4" w:rsidRDefault="006F3A86" w:rsidP="006F3A86">
            <w:pPr>
              <w:pStyle w:val="level2"/>
              <w:tabs>
                <w:tab w:val="clear" w:pos="576"/>
                <w:tab w:val="clear" w:pos="1152"/>
              </w:tabs>
              <w:spacing w:after="120" w:line="240" w:lineRule="atLeast"/>
              <w:ind w:left="502" w:hanging="270"/>
              <w:rPr>
                <w:rFonts w:cs="Calibri Light"/>
                <w:b/>
                <w:sz w:val="20"/>
                <w:szCs w:val="20"/>
              </w:rPr>
            </w:pPr>
            <w:r w:rsidRPr="004005A4">
              <w:rPr>
                <w:rFonts w:cs="Calibri Light"/>
                <w:sz w:val="20"/>
                <w:szCs w:val="20"/>
              </w:rPr>
              <w:t>c.</w:t>
            </w:r>
            <w:r w:rsidRPr="004005A4">
              <w:rPr>
                <w:rFonts w:cs="Calibri Light"/>
                <w:sz w:val="20"/>
                <w:szCs w:val="20"/>
              </w:rPr>
              <w:tab/>
            </w:r>
            <w:r w:rsidRPr="004005A4">
              <w:rPr>
                <w:rFonts w:cs="Calibri Light"/>
                <w:b/>
                <w:sz w:val="20"/>
                <w:szCs w:val="20"/>
              </w:rPr>
              <w:t xml:space="preserve">LIFO </w:t>
            </w:r>
            <w:r w:rsidRPr="004005A4">
              <w:rPr>
                <w:rFonts w:cs="Calibri Light"/>
                <w:sz w:val="20"/>
                <w:szCs w:val="20"/>
              </w:rPr>
              <w:t>(See FRR Section 205.)</w:t>
            </w:r>
          </w:p>
        </w:tc>
        <w:tc>
          <w:tcPr>
            <w:tcW w:w="1209" w:type="dxa"/>
            <w:gridSpan w:val="2"/>
            <w:tcBorders>
              <w:top w:val="single" w:sz="4" w:space="0" w:color="auto"/>
            </w:tcBorders>
            <w:vAlign w:val="bottom"/>
          </w:tcPr>
          <w:p w14:paraId="662A7DD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72BCEC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6A75419"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765071F" w14:textId="77777777" w:rsidTr="00CC36C1">
        <w:trPr>
          <w:gridBefore w:val="1"/>
          <w:wBefore w:w="17" w:type="dxa"/>
        </w:trPr>
        <w:tc>
          <w:tcPr>
            <w:tcW w:w="7483" w:type="dxa"/>
            <w:gridSpan w:val="2"/>
          </w:tcPr>
          <w:p w14:paraId="02D6764F" w14:textId="60AAD9FC" w:rsidR="006F3A86" w:rsidRPr="004005A4" w:rsidRDefault="006F3A86" w:rsidP="006F3A86">
            <w:pPr>
              <w:pStyle w:val="level2"/>
              <w:tabs>
                <w:tab w:val="clear" w:pos="576"/>
                <w:tab w:val="clear" w:pos="1152"/>
              </w:tabs>
              <w:spacing w:after="120" w:line="240" w:lineRule="atLeast"/>
              <w:ind w:left="502" w:firstLine="0"/>
              <w:rPr>
                <w:rFonts w:cs="Calibri Light"/>
                <w:sz w:val="20"/>
                <w:szCs w:val="20"/>
              </w:rPr>
            </w:pPr>
            <w:r w:rsidRPr="004005A4">
              <w:rPr>
                <w:rFonts w:cs="Calibri Light"/>
                <w:b/>
                <w:sz w:val="20"/>
                <w:szCs w:val="20"/>
              </w:rPr>
              <w:t xml:space="preserve">Replacement Cost: </w:t>
            </w:r>
            <w:r w:rsidRPr="004005A4">
              <w:rPr>
                <w:rFonts w:cs="Calibri Light"/>
                <w:sz w:val="20"/>
                <w:szCs w:val="20"/>
              </w:rPr>
              <w:t>If LIFO is used, state the excess of replacement or current cost overstated LIFO value.</w:t>
            </w:r>
          </w:p>
        </w:tc>
        <w:tc>
          <w:tcPr>
            <w:tcW w:w="1209" w:type="dxa"/>
            <w:gridSpan w:val="2"/>
            <w:tcBorders>
              <w:bottom w:val="single" w:sz="6" w:space="0" w:color="auto"/>
            </w:tcBorders>
            <w:vAlign w:val="bottom"/>
          </w:tcPr>
          <w:p w14:paraId="788574E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2E3020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49D1F9B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72409EE" w14:textId="77777777" w:rsidTr="00CC36C1">
        <w:trPr>
          <w:gridBefore w:val="1"/>
          <w:wBefore w:w="17" w:type="dxa"/>
        </w:trPr>
        <w:tc>
          <w:tcPr>
            <w:tcW w:w="7483" w:type="dxa"/>
            <w:gridSpan w:val="2"/>
          </w:tcPr>
          <w:p w14:paraId="19CEE17E" w14:textId="672BBD61" w:rsidR="006F3A86" w:rsidRPr="004005A4" w:rsidRDefault="006F3A86" w:rsidP="006F3A86">
            <w:pPr>
              <w:pStyle w:val="level2"/>
              <w:tabs>
                <w:tab w:val="clear" w:pos="576"/>
                <w:tab w:val="clear" w:pos="1152"/>
              </w:tabs>
              <w:spacing w:after="120" w:line="240" w:lineRule="atLeast"/>
              <w:ind w:left="502" w:firstLine="0"/>
              <w:rPr>
                <w:rFonts w:cs="Calibri Light"/>
                <w:sz w:val="20"/>
                <w:szCs w:val="20"/>
              </w:rPr>
            </w:pPr>
            <w:r w:rsidRPr="004005A4">
              <w:rPr>
                <w:rFonts w:cs="Calibri Light"/>
                <w:sz w:val="20"/>
                <w:szCs w:val="20"/>
              </w:rPr>
              <w:t>See AICPA LIFO Issues Paper (December 1984) for guidance on certain financial accounting and reporting issues.  If guidance in the Issues Paper is not followed, the registrant and the auditor should be prepared to justify their position [SAB Topic 5-L].</w:t>
            </w:r>
          </w:p>
        </w:tc>
        <w:tc>
          <w:tcPr>
            <w:tcW w:w="1209" w:type="dxa"/>
            <w:gridSpan w:val="2"/>
            <w:tcBorders>
              <w:top w:val="single" w:sz="6" w:space="0" w:color="auto"/>
              <w:bottom w:val="single" w:sz="4" w:space="0" w:color="auto"/>
            </w:tcBorders>
            <w:vAlign w:val="bottom"/>
          </w:tcPr>
          <w:p w14:paraId="30AD5F3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62A7C8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26F8F036"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5BF3398" w14:textId="77777777" w:rsidTr="00CC36C1">
        <w:trPr>
          <w:gridBefore w:val="1"/>
          <w:wBefore w:w="17" w:type="dxa"/>
        </w:trPr>
        <w:tc>
          <w:tcPr>
            <w:tcW w:w="7483" w:type="dxa"/>
            <w:gridSpan w:val="2"/>
          </w:tcPr>
          <w:p w14:paraId="7C9DBFC8" w14:textId="140D26E8" w:rsidR="006F3A86" w:rsidRPr="004005A4" w:rsidRDefault="006F3A86" w:rsidP="006F3A86">
            <w:pPr>
              <w:pStyle w:val="level2"/>
              <w:tabs>
                <w:tab w:val="clear" w:pos="576"/>
                <w:tab w:val="clear" w:pos="1152"/>
              </w:tabs>
              <w:spacing w:after="120" w:line="240" w:lineRule="atLeast"/>
              <w:ind w:left="502" w:firstLine="0"/>
              <w:rPr>
                <w:rFonts w:cs="Calibri Light"/>
                <w:sz w:val="20"/>
                <w:szCs w:val="20"/>
              </w:rPr>
            </w:pPr>
            <w:r w:rsidRPr="004005A4">
              <w:rPr>
                <w:rFonts w:cs="Calibri Light"/>
                <w:sz w:val="20"/>
                <w:szCs w:val="20"/>
              </w:rPr>
              <w:t>A material change to conform to Issues Paper requires a preferability letter from auditor (SAB Topic 6-G.2.b).</w:t>
            </w:r>
          </w:p>
        </w:tc>
        <w:tc>
          <w:tcPr>
            <w:tcW w:w="1209" w:type="dxa"/>
            <w:gridSpan w:val="2"/>
            <w:tcBorders>
              <w:top w:val="single" w:sz="4" w:space="0" w:color="auto"/>
            </w:tcBorders>
            <w:vAlign w:val="bottom"/>
          </w:tcPr>
          <w:p w14:paraId="4AD35112"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7D9EB4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E246839"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3674B10" w14:textId="77777777" w:rsidTr="00CC36C1">
        <w:trPr>
          <w:gridBefore w:val="1"/>
          <w:wBefore w:w="17" w:type="dxa"/>
        </w:trPr>
        <w:tc>
          <w:tcPr>
            <w:tcW w:w="7483" w:type="dxa"/>
            <w:gridSpan w:val="2"/>
          </w:tcPr>
          <w:p w14:paraId="132AFC74" w14:textId="579A3EA3" w:rsidR="006F3A86" w:rsidRPr="004005A4" w:rsidRDefault="006F3A86" w:rsidP="006F3A86">
            <w:pPr>
              <w:pStyle w:val="level2"/>
              <w:tabs>
                <w:tab w:val="clear" w:pos="576"/>
                <w:tab w:val="clear" w:pos="1152"/>
              </w:tabs>
              <w:spacing w:after="120" w:line="240" w:lineRule="atLeast"/>
              <w:ind w:left="502" w:firstLine="0"/>
              <w:rPr>
                <w:rFonts w:cs="Calibri Light"/>
                <w:sz w:val="20"/>
                <w:szCs w:val="20"/>
              </w:rPr>
            </w:pPr>
            <w:r w:rsidRPr="004005A4">
              <w:rPr>
                <w:rFonts w:cs="Calibri Light"/>
                <w:b/>
                <w:sz w:val="20"/>
                <w:szCs w:val="20"/>
              </w:rPr>
              <w:t xml:space="preserve">LIFO Liquidation: </w:t>
            </w:r>
            <w:r w:rsidRPr="004005A4">
              <w:rPr>
                <w:rFonts w:cs="Calibri Light"/>
                <w:sz w:val="20"/>
                <w:szCs w:val="20"/>
              </w:rPr>
              <w:t>See SAB Topic 11-F for the disclosure of income realized from a liquidation of the LIFO inventory.</w:t>
            </w:r>
          </w:p>
        </w:tc>
        <w:tc>
          <w:tcPr>
            <w:tcW w:w="1209" w:type="dxa"/>
            <w:gridSpan w:val="2"/>
            <w:tcBorders>
              <w:top w:val="single" w:sz="6" w:space="0" w:color="auto"/>
              <w:bottom w:val="single" w:sz="6" w:space="0" w:color="auto"/>
            </w:tcBorders>
            <w:vAlign w:val="bottom"/>
          </w:tcPr>
          <w:p w14:paraId="7323A46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9665749"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6" w:space="0" w:color="auto"/>
            </w:tcBorders>
            <w:vAlign w:val="bottom"/>
          </w:tcPr>
          <w:p w14:paraId="262F65F6"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A40AF77" w14:textId="77777777" w:rsidTr="00CC36C1">
        <w:trPr>
          <w:gridBefore w:val="1"/>
          <w:wBefore w:w="17" w:type="dxa"/>
        </w:trPr>
        <w:tc>
          <w:tcPr>
            <w:tcW w:w="7483" w:type="dxa"/>
            <w:gridSpan w:val="2"/>
          </w:tcPr>
          <w:p w14:paraId="2CB75D3C" w14:textId="77777777"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d.</w:t>
            </w:r>
            <w:r w:rsidRPr="004005A4">
              <w:rPr>
                <w:rFonts w:cs="Calibri Light"/>
                <w:sz w:val="20"/>
                <w:szCs w:val="20"/>
              </w:rPr>
              <w:tab/>
            </w:r>
            <w:r w:rsidRPr="004005A4">
              <w:rPr>
                <w:rFonts w:cs="Calibri Light"/>
                <w:b/>
                <w:sz w:val="20"/>
                <w:szCs w:val="20"/>
              </w:rPr>
              <w:t xml:space="preserve">Long-term contracts or programs </w:t>
            </w:r>
            <w:r w:rsidRPr="004005A4">
              <w:rPr>
                <w:rFonts w:cs="Calibri Light"/>
                <w:sz w:val="20"/>
                <w:szCs w:val="20"/>
              </w:rPr>
              <w:t>include (1) those for which gross profits are recognized on a percentage-of-completion method (or any variant thereof), and (2) those accounted for on a completed contract basis.  Such contracts have been, or will be, performed over a period of more than one year.  Shorter contracts or programs may also be included, if deemed appropriate.  See FRR Section 206.</w:t>
            </w:r>
          </w:p>
        </w:tc>
        <w:tc>
          <w:tcPr>
            <w:tcW w:w="1209" w:type="dxa"/>
            <w:gridSpan w:val="2"/>
            <w:tcBorders>
              <w:top w:val="single" w:sz="4" w:space="0" w:color="auto"/>
            </w:tcBorders>
            <w:vAlign w:val="bottom"/>
          </w:tcPr>
          <w:p w14:paraId="1180980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D54CDC3"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966726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B691843" w14:textId="77777777" w:rsidTr="00CC36C1">
        <w:trPr>
          <w:gridBefore w:val="1"/>
          <w:wBefore w:w="17" w:type="dxa"/>
        </w:trPr>
        <w:tc>
          <w:tcPr>
            <w:tcW w:w="7483" w:type="dxa"/>
            <w:gridSpan w:val="2"/>
          </w:tcPr>
          <w:p w14:paraId="5E984956" w14:textId="5361E16F" w:rsidR="006F3A86" w:rsidRPr="004005A4" w:rsidRDefault="006F3A86" w:rsidP="006F3A86">
            <w:pPr>
              <w:pStyle w:val="level2"/>
              <w:tabs>
                <w:tab w:val="clear" w:pos="576"/>
                <w:tab w:val="clear" w:pos="1152"/>
              </w:tabs>
              <w:spacing w:after="120" w:line="240" w:lineRule="atLeast"/>
              <w:ind w:left="502" w:firstLine="0"/>
              <w:rPr>
                <w:rFonts w:cs="Calibri Light"/>
                <w:b/>
                <w:sz w:val="20"/>
                <w:szCs w:val="20"/>
              </w:rPr>
            </w:pPr>
            <w:r w:rsidRPr="004005A4">
              <w:rPr>
                <w:rFonts w:cs="Calibri Light"/>
                <w:sz w:val="20"/>
                <w:szCs w:val="20"/>
              </w:rPr>
              <w:lastRenderedPageBreak/>
              <w:t>For all long-term contracts or programs not yet complete, state the following information:</w:t>
            </w:r>
          </w:p>
        </w:tc>
        <w:tc>
          <w:tcPr>
            <w:tcW w:w="1209" w:type="dxa"/>
            <w:gridSpan w:val="2"/>
            <w:tcBorders>
              <w:top w:val="single" w:sz="4" w:space="0" w:color="auto"/>
              <w:bottom w:val="single" w:sz="4" w:space="0" w:color="auto"/>
            </w:tcBorders>
            <w:vAlign w:val="bottom"/>
          </w:tcPr>
          <w:p w14:paraId="134251A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243D666"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F84F99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AA60491" w14:textId="77777777" w:rsidTr="00CC36C1">
        <w:trPr>
          <w:gridBefore w:val="1"/>
          <w:wBefore w:w="17" w:type="dxa"/>
        </w:trPr>
        <w:tc>
          <w:tcPr>
            <w:tcW w:w="7483" w:type="dxa"/>
            <w:gridSpan w:val="2"/>
          </w:tcPr>
          <w:p w14:paraId="29D49177" w14:textId="77777777" w:rsidR="006F3A86" w:rsidRPr="004005A4" w:rsidRDefault="006F3A86" w:rsidP="006F3A86">
            <w:pPr>
              <w:pStyle w:val="level2"/>
              <w:tabs>
                <w:tab w:val="clear" w:pos="576"/>
                <w:tab w:val="clear" w:pos="1152"/>
                <w:tab w:val="clear" w:pos="1728"/>
              </w:tabs>
              <w:spacing w:after="120" w:line="240" w:lineRule="atLeast"/>
              <w:ind w:left="772" w:hanging="270"/>
              <w:rPr>
                <w:rFonts w:cs="Calibri Light"/>
                <w:sz w:val="20"/>
                <w:szCs w:val="20"/>
              </w:rPr>
            </w:pPr>
            <w:r w:rsidRPr="004005A4">
              <w:rPr>
                <w:rFonts w:cs="Calibri Light"/>
                <w:sz w:val="20"/>
                <w:szCs w:val="20"/>
              </w:rPr>
              <w:t>(1)</w:t>
            </w:r>
            <w:r w:rsidRPr="004005A4">
              <w:rPr>
                <w:rFonts w:cs="Calibri Light"/>
                <w:sz w:val="20"/>
                <w:szCs w:val="20"/>
              </w:rPr>
              <w:tab/>
              <w:t>The amount of manufacturing or production costs, and any related deferred costs, which exceed the cost of in-process and delivered units on the basis of the estimated average cost of all units expected to be produced (learning curve concept), and that portion of such amount that would not be absorbed in cost of sales based on existing firm orders at the balance-sheet date; also, the amount of deferred costs by type of cost.</w:t>
            </w:r>
          </w:p>
        </w:tc>
        <w:tc>
          <w:tcPr>
            <w:tcW w:w="1209" w:type="dxa"/>
            <w:gridSpan w:val="2"/>
            <w:tcBorders>
              <w:top w:val="single" w:sz="4" w:space="0" w:color="auto"/>
            </w:tcBorders>
            <w:vAlign w:val="bottom"/>
          </w:tcPr>
          <w:p w14:paraId="5ADD54E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80DFCA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BA16B81"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EC8B1E1" w14:textId="77777777" w:rsidTr="00CC36C1">
        <w:trPr>
          <w:gridBefore w:val="1"/>
          <w:wBefore w:w="17" w:type="dxa"/>
        </w:trPr>
        <w:tc>
          <w:tcPr>
            <w:tcW w:w="7483" w:type="dxa"/>
            <w:gridSpan w:val="2"/>
          </w:tcPr>
          <w:p w14:paraId="1E09D3D8" w14:textId="77777777" w:rsidR="006F3A86" w:rsidRPr="004005A4" w:rsidRDefault="006F3A86" w:rsidP="006F3A86">
            <w:pPr>
              <w:pStyle w:val="level2"/>
              <w:tabs>
                <w:tab w:val="clear" w:pos="576"/>
                <w:tab w:val="clear" w:pos="1152"/>
                <w:tab w:val="clear" w:pos="1728"/>
              </w:tabs>
              <w:spacing w:after="120" w:line="240" w:lineRule="atLeast"/>
              <w:ind w:left="772" w:hanging="270"/>
              <w:rPr>
                <w:rFonts w:cs="Calibri Light"/>
                <w:sz w:val="20"/>
                <w:szCs w:val="20"/>
              </w:rPr>
            </w:pPr>
            <w:r w:rsidRPr="004005A4">
              <w:rPr>
                <w:rFonts w:cs="Calibri Light"/>
                <w:sz w:val="20"/>
                <w:szCs w:val="20"/>
              </w:rPr>
              <w:t>(2)</w:t>
            </w:r>
            <w:r w:rsidRPr="004005A4">
              <w:rPr>
                <w:rFonts w:cs="Calibri Light"/>
                <w:sz w:val="20"/>
                <w:szCs w:val="20"/>
              </w:rPr>
              <w:tab/>
              <w:t>The amount of claims, or similar items subject to uncertainty concerning their realization, and the nature and status of the principal items comprising such amount.</w:t>
            </w:r>
          </w:p>
        </w:tc>
        <w:tc>
          <w:tcPr>
            <w:tcW w:w="1209" w:type="dxa"/>
            <w:gridSpan w:val="2"/>
            <w:tcBorders>
              <w:top w:val="single" w:sz="4" w:space="0" w:color="auto"/>
            </w:tcBorders>
            <w:vAlign w:val="bottom"/>
          </w:tcPr>
          <w:p w14:paraId="7A10BC8A"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F1DE76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94247C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8B81E22" w14:textId="77777777" w:rsidTr="00CC36C1">
        <w:trPr>
          <w:gridBefore w:val="1"/>
          <w:wBefore w:w="17" w:type="dxa"/>
        </w:trPr>
        <w:tc>
          <w:tcPr>
            <w:tcW w:w="7483" w:type="dxa"/>
            <w:gridSpan w:val="2"/>
          </w:tcPr>
          <w:p w14:paraId="645CBFA1" w14:textId="77777777" w:rsidR="006F3A86" w:rsidRPr="004005A4" w:rsidRDefault="006F3A86" w:rsidP="006F3A86">
            <w:pPr>
              <w:pStyle w:val="level2"/>
              <w:tabs>
                <w:tab w:val="clear" w:pos="576"/>
                <w:tab w:val="clear" w:pos="1152"/>
                <w:tab w:val="clear" w:pos="1728"/>
              </w:tabs>
              <w:spacing w:after="120" w:line="240" w:lineRule="atLeast"/>
              <w:ind w:left="772" w:hanging="270"/>
              <w:rPr>
                <w:rFonts w:cs="Calibri Light"/>
                <w:sz w:val="20"/>
                <w:szCs w:val="20"/>
              </w:rPr>
            </w:pPr>
            <w:r w:rsidRPr="004005A4">
              <w:rPr>
                <w:rFonts w:cs="Calibri Light"/>
                <w:sz w:val="20"/>
                <w:szCs w:val="20"/>
              </w:rPr>
              <w:t>(3)</w:t>
            </w:r>
            <w:r w:rsidRPr="004005A4">
              <w:rPr>
                <w:rFonts w:cs="Calibri Light"/>
                <w:sz w:val="20"/>
                <w:szCs w:val="20"/>
              </w:rPr>
              <w:tab/>
              <w:t>The amount of progress payments netted against inventory.</w:t>
            </w:r>
          </w:p>
        </w:tc>
        <w:tc>
          <w:tcPr>
            <w:tcW w:w="1209" w:type="dxa"/>
            <w:gridSpan w:val="2"/>
            <w:tcBorders>
              <w:top w:val="single" w:sz="6" w:space="0" w:color="auto"/>
              <w:bottom w:val="single" w:sz="6" w:space="0" w:color="auto"/>
            </w:tcBorders>
            <w:vAlign w:val="bottom"/>
          </w:tcPr>
          <w:p w14:paraId="55307AD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FE5BE3C"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6" w:space="0" w:color="auto"/>
            </w:tcBorders>
            <w:vAlign w:val="bottom"/>
          </w:tcPr>
          <w:p w14:paraId="6BBFD0B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AA69134" w14:textId="77777777" w:rsidTr="00CC36C1">
        <w:trPr>
          <w:gridBefore w:val="1"/>
          <w:wBefore w:w="17" w:type="dxa"/>
        </w:trPr>
        <w:tc>
          <w:tcPr>
            <w:tcW w:w="7483" w:type="dxa"/>
            <w:gridSpan w:val="2"/>
          </w:tcPr>
          <w:p w14:paraId="0A68C3D0" w14:textId="77777777" w:rsidR="006F3A86" w:rsidRPr="004005A4" w:rsidRDefault="006F3A86" w:rsidP="006F3A86">
            <w:pPr>
              <w:pStyle w:val="level2"/>
              <w:tabs>
                <w:tab w:val="clear" w:pos="576"/>
                <w:tab w:val="clear" w:pos="1152"/>
                <w:tab w:val="clear" w:pos="1728"/>
              </w:tabs>
              <w:spacing w:after="120" w:line="240" w:lineRule="atLeast"/>
              <w:ind w:left="772" w:hanging="270"/>
              <w:rPr>
                <w:rFonts w:cs="Calibri Light"/>
                <w:b/>
                <w:sz w:val="20"/>
                <w:szCs w:val="20"/>
              </w:rPr>
            </w:pPr>
            <w:r w:rsidRPr="004005A4">
              <w:rPr>
                <w:rFonts w:cs="Calibri Light"/>
                <w:sz w:val="20"/>
                <w:szCs w:val="20"/>
              </w:rPr>
              <w:tab/>
              <w:t>Disclosures related to defense and other long-term contracts are discussed at FRR Section 206.</w:t>
            </w:r>
          </w:p>
        </w:tc>
        <w:tc>
          <w:tcPr>
            <w:tcW w:w="1209" w:type="dxa"/>
            <w:gridSpan w:val="2"/>
            <w:tcBorders>
              <w:bottom w:val="single" w:sz="6" w:space="0" w:color="auto"/>
            </w:tcBorders>
            <w:vAlign w:val="bottom"/>
          </w:tcPr>
          <w:p w14:paraId="702CC4A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080F617"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6E6D857A"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D215A79" w14:textId="77777777" w:rsidTr="00CC36C1">
        <w:trPr>
          <w:gridBefore w:val="1"/>
          <w:wBefore w:w="17" w:type="dxa"/>
        </w:trPr>
        <w:tc>
          <w:tcPr>
            <w:tcW w:w="7483" w:type="dxa"/>
            <w:gridSpan w:val="2"/>
          </w:tcPr>
          <w:p w14:paraId="631D753E" w14:textId="77777777"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7.</w:t>
            </w:r>
            <w:r w:rsidRPr="004005A4">
              <w:rPr>
                <w:rFonts w:cs="Calibri Light"/>
                <w:sz w:val="20"/>
                <w:szCs w:val="20"/>
              </w:rPr>
              <w:tab/>
            </w:r>
            <w:r w:rsidRPr="004005A4">
              <w:rPr>
                <w:rFonts w:cs="Calibri Light"/>
                <w:b/>
                <w:sz w:val="20"/>
                <w:szCs w:val="20"/>
              </w:rPr>
              <w:t>Prepaid expenses.</w:t>
            </w:r>
          </w:p>
        </w:tc>
        <w:tc>
          <w:tcPr>
            <w:tcW w:w="1209" w:type="dxa"/>
            <w:gridSpan w:val="2"/>
            <w:vAlign w:val="bottom"/>
          </w:tcPr>
          <w:p w14:paraId="7C27C76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D18B7B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584DD641"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B94C420" w14:textId="77777777" w:rsidTr="00CC36C1">
        <w:trPr>
          <w:gridBefore w:val="1"/>
          <w:wBefore w:w="17" w:type="dxa"/>
        </w:trPr>
        <w:tc>
          <w:tcPr>
            <w:tcW w:w="7483" w:type="dxa"/>
            <w:gridSpan w:val="2"/>
          </w:tcPr>
          <w:p w14:paraId="4398AC26" w14:textId="77777777" w:rsidR="006F3A86" w:rsidRPr="004005A4" w:rsidRDefault="006F3A86" w:rsidP="006F3A86">
            <w:pPr>
              <w:pStyle w:val="levela"/>
              <w:tabs>
                <w:tab w:val="clear" w:pos="576"/>
              </w:tabs>
              <w:spacing w:before="120" w:after="120" w:line="240" w:lineRule="atLeast"/>
              <w:ind w:left="232" w:hanging="232"/>
              <w:rPr>
                <w:rFonts w:cs="Calibri Light"/>
                <w:b/>
                <w:sz w:val="20"/>
                <w:szCs w:val="20"/>
              </w:rPr>
            </w:pPr>
            <w:r w:rsidRPr="004005A4">
              <w:rPr>
                <w:rFonts w:cs="Calibri Light"/>
                <w:sz w:val="20"/>
                <w:szCs w:val="20"/>
              </w:rPr>
              <w:t>8.</w:t>
            </w:r>
            <w:r w:rsidRPr="004005A4">
              <w:rPr>
                <w:rFonts w:cs="Calibri Light"/>
                <w:sz w:val="20"/>
                <w:szCs w:val="20"/>
              </w:rPr>
              <w:tab/>
            </w:r>
            <w:r w:rsidRPr="004005A4">
              <w:rPr>
                <w:rFonts w:cs="Calibri Light"/>
                <w:b/>
                <w:sz w:val="20"/>
                <w:szCs w:val="20"/>
              </w:rPr>
              <w:t xml:space="preserve">Other current assets.  </w:t>
            </w:r>
            <w:r w:rsidRPr="004005A4">
              <w:rPr>
                <w:rFonts w:cs="Calibri Light"/>
                <w:sz w:val="20"/>
                <w:szCs w:val="20"/>
              </w:rPr>
              <w:t>State separately in the balance sheet or the footnotes any other items in excess of 5% of total current assets.</w:t>
            </w:r>
          </w:p>
        </w:tc>
        <w:tc>
          <w:tcPr>
            <w:tcW w:w="1209" w:type="dxa"/>
            <w:gridSpan w:val="2"/>
            <w:tcBorders>
              <w:top w:val="single" w:sz="6" w:space="0" w:color="auto"/>
            </w:tcBorders>
            <w:vAlign w:val="bottom"/>
          </w:tcPr>
          <w:p w14:paraId="5310FFA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E2B8473"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6" w:space="0" w:color="auto"/>
            </w:tcBorders>
            <w:vAlign w:val="bottom"/>
          </w:tcPr>
          <w:p w14:paraId="76851C1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8A9E667" w14:textId="77777777" w:rsidTr="00CC36C1">
        <w:trPr>
          <w:gridBefore w:val="1"/>
          <w:wBefore w:w="17" w:type="dxa"/>
        </w:trPr>
        <w:tc>
          <w:tcPr>
            <w:tcW w:w="7483" w:type="dxa"/>
            <w:gridSpan w:val="2"/>
          </w:tcPr>
          <w:p w14:paraId="4534EAFF" w14:textId="29EE2D4B"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9.</w:t>
            </w:r>
            <w:r w:rsidRPr="004005A4">
              <w:rPr>
                <w:rFonts w:cs="Calibri Light"/>
                <w:sz w:val="20"/>
                <w:szCs w:val="20"/>
              </w:rPr>
              <w:tab/>
            </w:r>
            <w:r w:rsidRPr="004005A4">
              <w:rPr>
                <w:rFonts w:cs="Calibri Light"/>
                <w:b/>
                <w:sz w:val="20"/>
                <w:szCs w:val="20"/>
              </w:rPr>
              <w:t xml:space="preserve">Total current assets, </w:t>
            </w:r>
            <w:r>
              <w:rPr>
                <w:rFonts w:cs="Calibri Light"/>
                <w:sz w:val="20"/>
                <w:szCs w:val="20"/>
              </w:rPr>
              <w:t>when</w:t>
            </w:r>
            <w:r w:rsidRPr="004005A4">
              <w:rPr>
                <w:rFonts w:cs="Calibri Light"/>
                <w:sz w:val="20"/>
                <w:szCs w:val="20"/>
              </w:rPr>
              <w:t xml:space="preserve"> appropriate.</w:t>
            </w:r>
          </w:p>
        </w:tc>
        <w:tc>
          <w:tcPr>
            <w:tcW w:w="1209" w:type="dxa"/>
            <w:gridSpan w:val="2"/>
            <w:tcBorders>
              <w:top w:val="single" w:sz="6" w:space="0" w:color="auto"/>
              <w:bottom w:val="single" w:sz="6" w:space="0" w:color="auto"/>
            </w:tcBorders>
            <w:vAlign w:val="bottom"/>
          </w:tcPr>
          <w:p w14:paraId="1A281DB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008D099"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3D372C43"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9B0D8B3" w14:textId="77777777" w:rsidTr="00CC36C1">
        <w:trPr>
          <w:gridBefore w:val="1"/>
          <w:wBefore w:w="17" w:type="dxa"/>
        </w:trPr>
        <w:tc>
          <w:tcPr>
            <w:tcW w:w="7483" w:type="dxa"/>
            <w:gridSpan w:val="2"/>
          </w:tcPr>
          <w:p w14:paraId="78F8ABA5"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10.</w:t>
            </w:r>
            <w:r w:rsidRPr="004005A4">
              <w:rPr>
                <w:rFonts w:cs="Calibri Light"/>
                <w:sz w:val="20"/>
                <w:szCs w:val="20"/>
              </w:rPr>
              <w:tab/>
            </w:r>
            <w:r w:rsidRPr="004005A4">
              <w:rPr>
                <w:rFonts w:cs="Calibri Light"/>
                <w:b/>
                <w:sz w:val="20"/>
                <w:szCs w:val="20"/>
              </w:rPr>
              <w:t xml:space="preserve">Securities of related parties.  </w:t>
            </w:r>
            <w:r w:rsidRPr="004005A4">
              <w:rPr>
                <w:rFonts w:cs="Calibri Light"/>
                <w:sz w:val="20"/>
                <w:szCs w:val="20"/>
              </w:rPr>
              <w:t>[See S-X Rule 4-08(k)].  For definition of “related party,” see S-X Rule 1-02(u).</w:t>
            </w:r>
          </w:p>
        </w:tc>
        <w:tc>
          <w:tcPr>
            <w:tcW w:w="1209" w:type="dxa"/>
            <w:gridSpan w:val="2"/>
            <w:tcBorders>
              <w:top w:val="single" w:sz="6" w:space="0" w:color="auto"/>
              <w:bottom w:val="single" w:sz="4" w:space="0" w:color="auto"/>
            </w:tcBorders>
            <w:vAlign w:val="bottom"/>
          </w:tcPr>
          <w:p w14:paraId="76DDDBEA"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84A8D54"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F1CA9F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9DE4F94" w14:textId="77777777" w:rsidTr="00CC36C1">
        <w:trPr>
          <w:gridBefore w:val="1"/>
          <w:wBefore w:w="17" w:type="dxa"/>
        </w:trPr>
        <w:tc>
          <w:tcPr>
            <w:tcW w:w="7483" w:type="dxa"/>
            <w:gridSpan w:val="2"/>
          </w:tcPr>
          <w:p w14:paraId="00760374"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11.</w:t>
            </w:r>
            <w:r w:rsidRPr="004005A4">
              <w:rPr>
                <w:rFonts w:cs="Calibri Light"/>
                <w:sz w:val="20"/>
                <w:szCs w:val="20"/>
              </w:rPr>
              <w:tab/>
            </w:r>
            <w:r w:rsidRPr="004005A4">
              <w:rPr>
                <w:rFonts w:cs="Calibri Light"/>
                <w:b/>
                <w:sz w:val="20"/>
                <w:szCs w:val="20"/>
              </w:rPr>
              <w:t xml:space="preserve">Indebtedness of related parties — not current.  </w:t>
            </w:r>
            <w:r w:rsidRPr="004005A4">
              <w:rPr>
                <w:rFonts w:cs="Calibri Light"/>
                <w:sz w:val="20"/>
                <w:szCs w:val="20"/>
              </w:rPr>
              <w:t>See S-X Rule 4-08(k).</w:t>
            </w:r>
          </w:p>
        </w:tc>
        <w:tc>
          <w:tcPr>
            <w:tcW w:w="1209" w:type="dxa"/>
            <w:gridSpan w:val="2"/>
            <w:tcBorders>
              <w:top w:val="single" w:sz="4" w:space="0" w:color="auto"/>
              <w:bottom w:val="single" w:sz="6" w:space="0" w:color="auto"/>
            </w:tcBorders>
            <w:vAlign w:val="bottom"/>
          </w:tcPr>
          <w:p w14:paraId="4A6F240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4C4E9F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314FB4F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E34C0AC" w14:textId="77777777" w:rsidTr="00CC36C1">
        <w:trPr>
          <w:gridBefore w:val="1"/>
          <w:wBefore w:w="17" w:type="dxa"/>
        </w:trPr>
        <w:tc>
          <w:tcPr>
            <w:tcW w:w="7483" w:type="dxa"/>
            <w:gridSpan w:val="2"/>
          </w:tcPr>
          <w:p w14:paraId="409FD787" w14:textId="77777777"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12.</w:t>
            </w:r>
            <w:r w:rsidRPr="004005A4">
              <w:rPr>
                <w:rFonts w:cs="Calibri Light"/>
                <w:sz w:val="20"/>
                <w:szCs w:val="20"/>
              </w:rPr>
              <w:tab/>
            </w:r>
            <w:r w:rsidRPr="004005A4">
              <w:rPr>
                <w:rFonts w:cs="Calibri Light"/>
                <w:b/>
                <w:sz w:val="20"/>
                <w:szCs w:val="20"/>
              </w:rPr>
              <w:t xml:space="preserve">Other investments.  </w:t>
            </w:r>
            <w:r w:rsidRPr="004005A4">
              <w:rPr>
                <w:rFonts w:cs="Calibri Light"/>
                <w:sz w:val="20"/>
                <w:szCs w:val="20"/>
              </w:rPr>
              <w:t>For security investments other than noncurrent marketable equity securities (which GAAP addresses), or any other investment, disclose the basis of determining the total amounts shown in the balance sheet, and the total cost or total market value.</w:t>
            </w:r>
          </w:p>
        </w:tc>
        <w:tc>
          <w:tcPr>
            <w:tcW w:w="1209" w:type="dxa"/>
            <w:gridSpan w:val="2"/>
            <w:tcBorders>
              <w:top w:val="single" w:sz="6" w:space="0" w:color="auto"/>
              <w:bottom w:val="single" w:sz="4" w:space="0" w:color="auto"/>
            </w:tcBorders>
            <w:vAlign w:val="bottom"/>
          </w:tcPr>
          <w:p w14:paraId="4F1C2C0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6D3295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6DE6E6E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6DCA13D" w14:textId="77777777" w:rsidTr="00CC36C1">
        <w:trPr>
          <w:gridBefore w:val="1"/>
          <w:wBefore w:w="17" w:type="dxa"/>
        </w:trPr>
        <w:tc>
          <w:tcPr>
            <w:tcW w:w="7483" w:type="dxa"/>
            <w:gridSpan w:val="2"/>
          </w:tcPr>
          <w:p w14:paraId="58D06C76" w14:textId="77777777" w:rsidR="006F3A86" w:rsidRPr="004005A4" w:rsidRDefault="006F3A86" w:rsidP="006F3A86">
            <w:pPr>
              <w:pStyle w:val="level2"/>
              <w:tabs>
                <w:tab w:val="clear" w:pos="576"/>
                <w:tab w:val="clear" w:pos="1152"/>
                <w:tab w:val="clear" w:pos="1728"/>
              </w:tabs>
              <w:spacing w:after="120" w:line="240" w:lineRule="atLeast"/>
              <w:ind w:left="322" w:hanging="270"/>
              <w:rPr>
                <w:rFonts w:cs="Calibri Light"/>
                <w:sz w:val="20"/>
                <w:szCs w:val="20"/>
              </w:rPr>
            </w:pPr>
            <w:r w:rsidRPr="004005A4">
              <w:rPr>
                <w:rFonts w:cs="Calibri Light"/>
                <w:sz w:val="20"/>
                <w:szCs w:val="20"/>
              </w:rPr>
              <w:tab/>
              <w:t>SAB Topic 5-M furnishes the SEC guidance on factors to be considered in determining whether a decline in market value of equity securities is other than temporary.  If other than temporary, a realized loss is to be recorded.</w:t>
            </w:r>
          </w:p>
        </w:tc>
        <w:tc>
          <w:tcPr>
            <w:tcW w:w="1209" w:type="dxa"/>
            <w:gridSpan w:val="2"/>
            <w:tcBorders>
              <w:top w:val="single" w:sz="4" w:space="0" w:color="auto"/>
              <w:bottom w:val="single" w:sz="6" w:space="0" w:color="auto"/>
            </w:tcBorders>
            <w:vAlign w:val="bottom"/>
          </w:tcPr>
          <w:p w14:paraId="4EDDCCD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E09775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3C33B61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13D741C" w14:textId="77777777" w:rsidTr="00CC36C1">
        <w:trPr>
          <w:gridBefore w:val="1"/>
          <w:wBefore w:w="17" w:type="dxa"/>
        </w:trPr>
        <w:tc>
          <w:tcPr>
            <w:tcW w:w="7483" w:type="dxa"/>
            <w:gridSpan w:val="2"/>
          </w:tcPr>
          <w:p w14:paraId="79226CAF"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13.</w:t>
            </w:r>
            <w:r w:rsidRPr="004005A4">
              <w:rPr>
                <w:rFonts w:cs="Calibri Light"/>
                <w:sz w:val="20"/>
                <w:szCs w:val="20"/>
              </w:rPr>
              <w:tab/>
            </w:r>
            <w:r w:rsidRPr="004005A4">
              <w:rPr>
                <w:rFonts w:cs="Calibri Light"/>
                <w:b/>
                <w:sz w:val="20"/>
                <w:szCs w:val="20"/>
              </w:rPr>
              <w:t xml:space="preserve">Property, plant, and equipment.  </w:t>
            </w:r>
            <w:r w:rsidRPr="004005A4">
              <w:rPr>
                <w:rFonts w:cs="Calibri Light"/>
                <w:sz w:val="20"/>
                <w:szCs w:val="20"/>
              </w:rPr>
              <w:t>State each major class (land, buildings, machinery and equipment, leaseholds), or functional grouping (revenue producing equipment or industry categories), and the basis of determining the amounts.  See FRR Section 209.</w:t>
            </w:r>
          </w:p>
        </w:tc>
        <w:tc>
          <w:tcPr>
            <w:tcW w:w="1209" w:type="dxa"/>
            <w:gridSpan w:val="2"/>
            <w:tcBorders>
              <w:top w:val="single" w:sz="6" w:space="0" w:color="auto"/>
            </w:tcBorders>
            <w:vAlign w:val="bottom"/>
          </w:tcPr>
          <w:p w14:paraId="38B0796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52D1ED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0F04ABB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E54EBB0" w14:textId="77777777" w:rsidTr="00CC36C1">
        <w:trPr>
          <w:gridBefore w:val="1"/>
          <w:wBefore w:w="17" w:type="dxa"/>
        </w:trPr>
        <w:tc>
          <w:tcPr>
            <w:tcW w:w="7483" w:type="dxa"/>
            <w:gridSpan w:val="2"/>
          </w:tcPr>
          <w:p w14:paraId="6D9C3913"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14.</w:t>
            </w:r>
            <w:r w:rsidRPr="004005A4">
              <w:rPr>
                <w:rFonts w:cs="Calibri Light"/>
                <w:sz w:val="20"/>
                <w:szCs w:val="20"/>
              </w:rPr>
              <w:tab/>
            </w:r>
            <w:r w:rsidRPr="004005A4">
              <w:rPr>
                <w:rFonts w:cs="Calibri Light"/>
                <w:b/>
                <w:sz w:val="20"/>
                <w:szCs w:val="20"/>
              </w:rPr>
              <w:t xml:space="preserve">Accumulated depreciation, depletion, and amortization of property, plant, and equipment.  </w:t>
            </w:r>
            <w:r w:rsidRPr="004005A4">
              <w:rPr>
                <w:rFonts w:cs="Calibri Light"/>
                <w:sz w:val="20"/>
                <w:szCs w:val="20"/>
              </w:rPr>
              <w:t>State amounts separately in the balance sheet or the footnotes.</w:t>
            </w:r>
          </w:p>
        </w:tc>
        <w:tc>
          <w:tcPr>
            <w:tcW w:w="1209" w:type="dxa"/>
            <w:gridSpan w:val="2"/>
            <w:tcBorders>
              <w:top w:val="single" w:sz="4" w:space="0" w:color="auto"/>
              <w:bottom w:val="single" w:sz="6" w:space="0" w:color="auto"/>
            </w:tcBorders>
            <w:vAlign w:val="bottom"/>
          </w:tcPr>
          <w:p w14:paraId="1D46851E"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56D8313"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454A4C1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B37E096" w14:textId="77777777" w:rsidTr="00CC36C1">
        <w:trPr>
          <w:gridBefore w:val="1"/>
          <w:wBefore w:w="17" w:type="dxa"/>
        </w:trPr>
        <w:tc>
          <w:tcPr>
            <w:tcW w:w="7483" w:type="dxa"/>
            <w:gridSpan w:val="2"/>
          </w:tcPr>
          <w:p w14:paraId="2AE28BAA"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lastRenderedPageBreak/>
              <w:t>15.</w:t>
            </w:r>
            <w:r w:rsidRPr="004005A4">
              <w:rPr>
                <w:rFonts w:cs="Calibri Light"/>
                <w:sz w:val="20"/>
                <w:szCs w:val="20"/>
              </w:rPr>
              <w:tab/>
            </w:r>
            <w:r w:rsidRPr="004005A4">
              <w:rPr>
                <w:rFonts w:cs="Calibri Light"/>
                <w:b/>
                <w:sz w:val="20"/>
                <w:szCs w:val="20"/>
              </w:rPr>
              <w:t xml:space="preserve">Intangible assets.  </w:t>
            </w:r>
            <w:r w:rsidRPr="004005A4">
              <w:rPr>
                <w:rFonts w:cs="Calibri Light"/>
                <w:sz w:val="20"/>
                <w:szCs w:val="20"/>
              </w:rPr>
              <w:t>State each class of intangible assets in excess of 5% of total assets, and the basis of determining the amounts.  Explain significant additions or deletions.</w:t>
            </w:r>
          </w:p>
        </w:tc>
        <w:tc>
          <w:tcPr>
            <w:tcW w:w="1209" w:type="dxa"/>
            <w:gridSpan w:val="2"/>
            <w:tcBorders>
              <w:top w:val="single" w:sz="6" w:space="0" w:color="auto"/>
            </w:tcBorders>
            <w:vAlign w:val="bottom"/>
          </w:tcPr>
          <w:p w14:paraId="5014D29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9E0094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32CFDC01"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E519EDA" w14:textId="77777777" w:rsidTr="00CC36C1">
        <w:trPr>
          <w:gridBefore w:val="1"/>
          <w:wBefore w:w="17" w:type="dxa"/>
        </w:trPr>
        <w:tc>
          <w:tcPr>
            <w:tcW w:w="7483" w:type="dxa"/>
            <w:gridSpan w:val="2"/>
          </w:tcPr>
          <w:p w14:paraId="59AFCC9B"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16.</w:t>
            </w:r>
            <w:r w:rsidRPr="004005A4">
              <w:rPr>
                <w:rFonts w:cs="Calibri Light"/>
                <w:sz w:val="20"/>
                <w:szCs w:val="20"/>
              </w:rPr>
              <w:tab/>
            </w:r>
            <w:r w:rsidRPr="004005A4">
              <w:rPr>
                <w:rFonts w:cs="Calibri Light"/>
                <w:b/>
                <w:sz w:val="20"/>
                <w:szCs w:val="20"/>
              </w:rPr>
              <w:t xml:space="preserve">Accumulated depreciation and amortization of intangible assets.  </w:t>
            </w:r>
            <w:r w:rsidRPr="004005A4">
              <w:rPr>
                <w:rFonts w:cs="Calibri Light"/>
                <w:sz w:val="20"/>
                <w:szCs w:val="20"/>
              </w:rPr>
              <w:t>Disclose the amount separately in the balance sheet or the footnotes.</w:t>
            </w:r>
          </w:p>
        </w:tc>
        <w:tc>
          <w:tcPr>
            <w:tcW w:w="1209" w:type="dxa"/>
            <w:gridSpan w:val="2"/>
            <w:tcBorders>
              <w:top w:val="single" w:sz="4" w:space="0" w:color="auto"/>
            </w:tcBorders>
            <w:vAlign w:val="bottom"/>
          </w:tcPr>
          <w:p w14:paraId="484948B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E77C90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46914DA"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2EE8A03" w14:textId="77777777" w:rsidTr="00CC36C1">
        <w:trPr>
          <w:gridBefore w:val="1"/>
          <w:wBefore w:w="17" w:type="dxa"/>
        </w:trPr>
        <w:tc>
          <w:tcPr>
            <w:tcW w:w="7483" w:type="dxa"/>
            <w:gridSpan w:val="2"/>
          </w:tcPr>
          <w:p w14:paraId="3C47D8C1"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17.</w:t>
            </w:r>
            <w:r w:rsidRPr="004005A4">
              <w:rPr>
                <w:rFonts w:cs="Calibri Light"/>
                <w:sz w:val="20"/>
                <w:szCs w:val="20"/>
              </w:rPr>
              <w:tab/>
            </w:r>
            <w:r w:rsidRPr="004005A4">
              <w:rPr>
                <w:rFonts w:cs="Calibri Light"/>
                <w:b/>
                <w:sz w:val="20"/>
                <w:szCs w:val="20"/>
              </w:rPr>
              <w:t xml:space="preserve">Other assets.  </w:t>
            </w:r>
            <w:r w:rsidRPr="004005A4">
              <w:rPr>
                <w:rFonts w:cs="Calibri Light"/>
                <w:sz w:val="20"/>
                <w:szCs w:val="20"/>
              </w:rPr>
              <w:t>State separately in the balance sheet or the footnotes any other items not properly classed in one of the preceding asset captions in excess of 5% of total assets.  Explain significant additions or deletions.  For deferred charges, state the policy for deferral and amortization.</w:t>
            </w:r>
          </w:p>
        </w:tc>
        <w:tc>
          <w:tcPr>
            <w:tcW w:w="1209" w:type="dxa"/>
            <w:gridSpan w:val="2"/>
            <w:tcBorders>
              <w:top w:val="single" w:sz="4" w:space="0" w:color="auto"/>
            </w:tcBorders>
            <w:vAlign w:val="bottom"/>
          </w:tcPr>
          <w:p w14:paraId="2B53298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06BCE9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2E2694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46D8C13" w14:textId="77777777" w:rsidTr="00CC36C1">
        <w:trPr>
          <w:gridBefore w:val="1"/>
          <w:wBefore w:w="17" w:type="dxa"/>
        </w:trPr>
        <w:tc>
          <w:tcPr>
            <w:tcW w:w="7483" w:type="dxa"/>
            <w:gridSpan w:val="2"/>
          </w:tcPr>
          <w:p w14:paraId="0431632B"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b/>
                <w:sz w:val="20"/>
                <w:szCs w:val="20"/>
              </w:rPr>
              <w:tab/>
            </w:r>
            <w:r w:rsidRPr="004005A4">
              <w:rPr>
                <w:rFonts w:cs="Calibri Light"/>
                <w:sz w:val="20"/>
                <w:szCs w:val="20"/>
              </w:rPr>
              <w:t>SAB Topic 5-A discusses SEC guidance on aborted offering expenses.</w:t>
            </w:r>
          </w:p>
        </w:tc>
        <w:tc>
          <w:tcPr>
            <w:tcW w:w="1209" w:type="dxa"/>
            <w:gridSpan w:val="2"/>
            <w:tcBorders>
              <w:top w:val="single" w:sz="4" w:space="0" w:color="auto"/>
            </w:tcBorders>
            <w:vAlign w:val="bottom"/>
          </w:tcPr>
          <w:p w14:paraId="75B6266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7ED6AE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A2B266B"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B0C6867" w14:textId="77777777" w:rsidTr="00CC36C1">
        <w:trPr>
          <w:gridBefore w:val="1"/>
          <w:wBefore w:w="17" w:type="dxa"/>
        </w:trPr>
        <w:tc>
          <w:tcPr>
            <w:tcW w:w="7483" w:type="dxa"/>
            <w:gridSpan w:val="2"/>
          </w:tcPr>
          <w:p w14:paraId="79A36707"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ab/>
              <w:t>SAB Topic 5-O discusses SEC guidance on financing research and development arrangements.</w:t>
            </w:r>
          </w:p>
        </w:tc>
        <w:tc>
          <w:tcPr>
            <w:tcW w:w="1209" w:type="dxa"/>
            <w:gridSpan w:val="2"/>
            <w:vAlign w:val="bottom"/>
          </w:tcPr>
          <w:p w14:paraId="0CB4653E"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F9CAC0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387F69D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19F9A48" w14:textId="77777777" w:rsidTr="00CC36C1">
        <w:trPr>
          <w:gridBefore w:val="1"/>
          <w:wBefore w:w="17" w:type="dxa"/>
        </w:trPr>
        <w:tc>
          <w:tcPr>
            <w:tcW w:w="7483" w:type="dxa"/>
            <w:gridSpan w:val="2"/>
          </w:tcPr>
          <w:p w14:paraId="3CBC7F6E" w14:textId="77777777" w:rsidR="006F3A86" w:rsidRPr="00594537" w:rsidRDefault="006F3A86" w:rsidP="006F3A86">
            <w:pPr>
              <w:pStyle w:val="levela"/>
              <w:spacing w:before="120" w:after="120" w:line="240" w:lineRule="atLeast"/>
              <w:ind w:left="323" w:firstLine="0"/>
              <w:rPr>
                <w:rFonts w:cs="Calibri Light"/>
                <w:sz w:val="20"/>
                <w:szCs w:val="20"/>
              </w:rPr>
            </w:pPr>
            <w:r w:rsidRPr="00594537">
              <w:rPr>
                <w:rFonts w:cs="Calibri Light"/>
                <w:sz w:val="20"/>
                <w:szCs w:val="20"/>
              </w:rPr>
              <w:t xml:space="preserve">SAB Topic 121 discusses SEC guidance on crypto assets. </w:t>
            </w:r>
          </w:p>
          <w:p w14:paraId="26716578" w14:textId="77777777" w:rsidR="006F3A86" w:rsidRPr="00594537" w:rsidRDefault="006F3A86" w:rsidP="006F3A86">
            <w:pPr>
              <w:pStyle w:val="levela"/>
              <w:spacing w:before="120" w:after="120" w:line="240" w:lineRule="atLeast"/>
              <w:ind w:left="683" w:firstLine="0"/>
              <w:rPr>
                <w:rFonts w:cs="Calibri Light"/>
                <w:sz w:val="20"/>
                <w:szCs w:val="20"/>
              </w:rPr>
            </w:pPr>
            <w:r w:rsidRPr="00594537">
              <w:rPr>
                <w:rFonts w:cs="Calibri Light"/>
                <w:sz w:val="20"/>
                <w:szCs w:val="20"/>
              </w:rPr>
              <w:t>On March 31, 2022, the SEC staff released Staff Accounting Bulletin No. 121, which expresses the staff’s views on how an entity that has an obligation to safeguard "crypto-assets" for another party should account for that obligation. The SEC staff believes these safeguarding arrangements "involve unique risks and uncertainties not present in arrangements to safeguard assets that are not crypto-assets, including technological, legal, and regulatory risks and uncertainties." The SEC staff further believes the guidance in SAB No. 121 "will enhance the information received by investors and other users of financial statements about these risks, thereby assisting them in making investment and other capital allocation decisions."</w:t>
            </w:r>
          </w:p>
          <w:p w14:paraId="674E8382" w14:textId="77777777" w:rsidR="006F3A86" w:rsidRPr="00594537" w:rsidRDefault="006F3A86" w:rsidP="006F3A86">
            <w:pPr>
              <w:pStyle w:val="levela"/>
              <w:tabs>
                <w:tab w:val="clear" w:pos="576"/>
              </w:tabs>
              <w:spacing w:before="120" w:after="120" w:line="240" w:lineRule="atLeast"/>
              <w:ind w:left="683" w:firstLine="0"/>
              <w:rPr>
                <w:rFonts w:cs="Calibri Light"/>
                <w:sz w:val="20"/>
                <w:szCs w:val="20"/>
              </w:rPr>
            </w:pPr>
            <w:r w:rsidRPr="00594537">
              <w:rPr>
                <w:rFonts w:cs="Calibri Light"/>
                <w:sz w:val="20"/>
                <w:szCs w:val="20"/>
              </w:rPr>
              <w:t>Under SAB No. 121, an entity with a safeguarding obligation recognizes a safeguarding liability with an accompanying safeguarding asset, both initially measured at the fair value of the safeguarded "crypto-assets." SAB No. 121 also discusses certain quantitative and qualitative information the staff would expect to see disclosed, both inside and outside the financial statements, about the safeguarding obligation.</w:t>
            </w:r>
          </w:p>
          <w:p w14:paraId="3E7501E7" w14:textId="4A18070A" w:rsidR="006F3A86" w:rsidRPr="009A6659" w:rsidRDefault="006F3A86" w:rsidP="006F3A86">
            <w:pPr>
              <w:pStyle w:val="levela"/>
              <w:tabs>
                <w:tab w:val="clear" w:pos="576"/>
              </w:tabs>
              <w:spacing w:before="120" w:after="120" w:line="240" w:lineRule="atLeast"/>
              <w:ind w:left="683" w:firstLine="0"/>
              <w:rPr>
                <w:rFonts w:cs="Calibri Light"/>
                <w:sz w:val="20"/>
                <w:szCs w:val="20"/>
              </w:rPr>
            </w:pPr>
            <w:r w:rsidRPr="00594537">
              <w:rPr>
                <w:rFonts w:cs="Calibri Light"/>
                <w:sz w:val="20"/>
                <w:szCs w:val="20"/>
              </w:rPr>
              <w:t xml:space="preserve">Refer to </w:t>
            </w:r>
            <w:hyperlink r:id="rId44" w:history="1">
              <w:r w:rsidRPr="00594537">
                <w:rPr>
                  <w:rStyle w:val="Hyperlink"/>
                  <w:rFonts w:cs="Calibri Light"/>
                  <w:sz w:val="20"/>
                  <w:szCs w:val="20"/>
                </w:rPr>
                <w:t>SAB 121</w:t>
              </w:r>
            </w:hyperlink>
            <w:r w:rsidRPr="00594537">
              <w:rPr>
                <w:rFonts w:cs="Calibri Light"/>
                <w:sz w:val="20"/>
                <w:szCs w:val="20"/>
              </w:rPr>
              <w:t xml:space="preserve"> as well as Deloitte’s </w:t>
            </w:r>
            <w:hyperlink r:id="rId45" w:history="1">
              <w:r w:rsidRPr="00594537">
                <w:rPr>
                  <w:rStyle w:val="Hyperlink"/>
                  <w:rFonts w:cs="Calibri Light"/>
                  <w:sz w:val="20"/>
                  <w:szCs w:val="20"/>
                </w:rPr>
                <w:t>SAB 121 Technical Practice Aid</w:t>
              </w:r>
            </w:hyperlink>
            <w:r w:rsidRPr="00594537">
              <w:rPr>
                <w:rFonts w:cs="Calibri Light"/>
                <w:sz w:val="20"/>
                <w:szCs w:val="20"/>
              </w:rPr>
              <w:t xml:space="preserve"> for additional guidance.</w:t>
            </w:r>
          </w:p>
        </w:tc>
        <w:tc>
          <w:tcPr>
            <w:tcW w:w="1209" w:type="dxa"/>
            <w:gridSpan w:val="2"/>
            <w:vAlign w:val="bottom"/>
          </w:tcPr>
          <w:p w14:paraId="29D6D74E"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20EA3C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76ACE379"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06B732F" w14:textId="77777777" w:rsidTr="00CC36C1">
        <w:trPr>
          <w:gridBefore w:val="1"/>
          <w:wBefore w:w="17" w:type="dxa"/>
        </w:trPr>
        <w:tc>
          <w:tcPr>
            <w:tcW w:w="7483" w:type="dxa"/>
            <w:gridSpan w:val="2"/>
          </w:tcPr>
          <w:p w14:paraId="760DDE3A"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18.</w:t>
            </w:r>
            <w:r w:rsidRPr="004005A4">
              <w:rPr>
                <w:rFonts w:cs="Calibri Light"/>
                <w:sz w:val="20"/>
                <w:szCs w:val="20"/>
              </w:rPr>
              <w:tab/>
            </w:r>
            <w:r w:rsidRPr="004005A4">
              <w:rPr>
                <w:rFonts w:cs="Calibri Light"/>
                <w:b/>
                <w:sz w:val="20"/>
                <w:szCs w:val="20"/>
              </w:rPr>
              <w:t xml:space="preserve">Total assets. </w:t>
            </w:r>
          </w:p>
        </w:tc>
        <w:tc>
          <w:tcPr>
            <w:tcW w:w="1209" w:type="dxa"/>
            <w:gridSpan w:val="2"/>
            <w:tcBorders>
              <w:bottom w:val="single" w:sz="4" w:space="0" w:color="auto"/>
            </w:tcBorders>
            <w:vAlign w:val="bottom"/>
          </w:tcPr>
          <w:p w14:paraId="0D135AB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A8C243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2D56A7A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C874F79" w14:textId="77777777" w:rsidTr="00CC36C1">
        <w:trPr>
          <w:gridBefore w:val="1"/>
          <w:wBefore w:w="17" w:type="dxa"/>
        </w:trPr>
        <w:tc>
          <w:tcPr>
            <w:tcW w:w="7483" w:type="dxa"/>
            <w:gridSpan w:val="2"/>
          </w:tcPr>
          <w:p w14:paraId="4DCEDE86" w14:textId="45A56909" w:rsidR="006F3A86" w:rsidRPr="007918A2" w:rsidRDefault="006F3A86" w:rsidP="006F3A86">
            <w:pPr>
              <w:pStyle w:val="levela"/>
              <w:tabs>
                <w:tab w:val="clear" w:pos="576"/>
              </w:tabs>
              <w:spacing w:before="120" w:after="120" w:line="240" w:lineRule="atLeast"/>
              <w:ind w:left="322" w:hanging="322"/>
              <w:rPr>
                <w:rFonts w:cs="Calibri Light"/>
                <w:b/>
                <w:bCs/>
                <w:sz w:val="20"/>
                <w:szCs w:val="20"/>
              </w:rPr>
            </w:pPr>
            <w:r w:rsidRPr="007918A2">
              <w:rPr>
                <w:rFonts w:cs="Calibri Light"/>
                <w:b/>
                <w:bCs/>
                <w:sz w:val="20"/>
                <w:szCs w:val="20"/>
              </w:rPr>
              <w:t>Current Liabilities, when appropriate</w:t>
            </w:r>
          </w:p>
          <w:p w14:paraId="652EBC05" w14:textId="206B41FA"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19.</w:t>
            </w:r>
            <w:r w:rsidRPr="004005A4">
              <w:rPr>
                <w:rFonts w:cs="Calibri Light"/>
                <w:sz w:val="20"/>
                <w:szCs w:val="20"/>
              </w:rPr>
              <w:tab/>
            </w:r>
            <w:r w:rsidRPr="004005A4">
              <w:rPr>
                <w:rFonts w:cs="Calibri Light"/>
                <w:b/>
                <w:sz w:val="20"/>
                <w:szCs w:val="20"/>
              </w:rPr>
              <w:t>Accounts and notes payable.</w:t>
            </w:r>
          </w:p>
        </w:tc>
        <w:tc>
          <w:tcPr>
            <w:tcW w:w="1209" w:type="dxa"/>
            <w:gridSpan w:val="2"/>
            <w:tcBorders>
              <w:top w:val="single" w:sz="4" w:space="0" w:color="auto"/>
            </w:tcBorders>
            <w:vAlign w:val="bottom"/>
          </w:tcPr>
          <w:p w14:paraId="4CF0060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F23F7D6"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11E7968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86E75FC" w14:textId="77777777" w:rsidTr="00CC36C1">
        <w:trPr>
          <w:gridBefore w:val="1"/>
          <w:wBefore w:w="17" w:type="dxa"/>
        </w:trPr>
        <w:tc>
          <w:tcPr>
            <w:tcW w:w="7483" w:type="dxa"/>
            <w:gridSpan w:val="2"/>
          </w:tcPr>
          <w:p w14:paraId="6E00D442" w14:textId="77777777" w:rsidR="006F3A86" w:rsidRPr="004005A4" w:rsidRDefault="006F3A86" w:rsidP="006F3A86">
            <w:pPr>
              <w:pStyle w:val="level1"/>
              <w:tabs>
                <w:tab w:val="clear" w:pos="576"/>
                <w:tab w:val="clear" w:pos="1152"/>
              </w:tabs>
              <w:spacing w:after="120" w:line="240" w:lineRule="atLeast"/>
              <w:ind w:left="592" w:hanging="270"/>
              <w:rPr>
                <w:rFonts w:cs="Calibri Light"/>
                <w:sz w:val="20"/>
                <w:szCs w:val="20"/>
              </w:rPr>
            </w:pPr>
            <w:r w:rsidRPr="004005A4">
              <w:rPr>
                <w:rFonts w:cs="Calibri Light"/>
                <w:sz w:val="20"/>
                <w:szCs w:val="20"/>
              </w:rPr>
              <w:t>a.</w:t>
            </w:r>
            <w:r w:rsidRPr="004005A4">
              <w:rPr>
                <w:rFonts w:cs="Calibri Light"/>
                <w:sz w:val="20"/>
                <w:szCs w:val="20"/>
              </w:rPr>
              <w:tab/>
              <w:t>State separately amounts payable to banks, factors, or other financial institutions, holders of commercial paper, trade creditors, related parties [see Rule 4-08(k)], underwriters, promoters, and employees (other than related parties), and others.</w:t>
            </w:r>
          </w:p>
        </w:tc>
        <w:tc>
          <w:tcPr>
            <w:tcW w:w="1209" w:type="dxa"/>
            <w:gridSpan w:val="2"/>
            <w:tcBorders>
              <w:bottom w:val="single" w:sz="4" w:space="0" w:color="auto"/>
            </w:tcBorders>
            <w:vAlign w:val="bottom"/>
          </w:tcPr>
          <w:p w14:paraId="30DBD932"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D28185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0639F4B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81DE4EE" w14:textId="77777777" w:rsidTr="00CC36C1">
        <w:trPr>
          <w:gridBefore w:val="1"/>
          <w:wBefore w:w="17" w:type="dxa"/>
        </w:trPr>
        <w:tc>
          <w:tcPr>
            <w:tcW w:w="7483" w:type="dxa"/>
            <w:gridSpan w:val="2"/>
          </w:tcPr>
          <w:p w14:paraId="40B12C66" w14:textId="77777777" w:rsidR="006F3A86" w:rsidRPr="004005A4" w:rsidRDefault="006F3A86" w:rsidP="006F3A86">
            <w:pPr>
              <w:pStyle w:val="level1"/>
              <w:tabs>
                <w:tab w:val="clear" w:pos="576"/>
                <w:tab w:val="clear" w:pos="1152"/>
              </w:tabs>
              <w:spacing w:after="120" w:line="240" w:lineRule="atLeast"/>
              <w:ind w:left="592" w:hanging="270"/>
              <w:rPr>
                <w:rFonts w:cs="Calibri Light"/>
                <w:sz w:val="20"/>
                <w:szCs w:val="20"/>
              </w:rPr>
            </w:pPr>
            <w:r w:rsidRPr="004005A4">
              <w:rPr>
                <w:rFonts w:cs="Calibri Light"/>
                <w:sz w:val="20"/>
                <w:szCs w:val="20"/>
              </w:rPr>
              <w:lastRenderedPageBreak/>
              <w:t>b.</w:t>
            </w:r>
            <w:r w:rsidRPr="004005A4">
              <w:rPr>
                <w:rFonts w:cs="Calibri Light"/>
                <w:sz w:val="20"/>
                <w:szCs w:val="20"/>
              </w:rPr>
              <w:tab/>
              <w:t>If significant, disclose in the notes the amount and terms (including commitment fees and the conditions under which lines may be withdrawn) of unused lines of credit for short-term financing.  Identify the amounts of these lines supporting commercial paper arrangements.</w:t>
            </w:r>
          </w:p>
        </w:tc>
        <w:tc>
          <w:tcPr>
            <w:tcW w:w="1209" w:type="dxa"/>
            <w:gridSpan w:val="2"/>
            <w:tcBorders>
              <w:top w:val="single" w:sz="4" w:space="0" w:color="auto"/>
              <w:bottom w:val="single" w:sz="4" w:space="0" w:color="auto"/>
            </w:tcBorders>
            <w:vAlign w:val="bottom"/>
          </w:tcPr>
          <w:p w14:paraId="6801159A"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CA698E7"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E44953B"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46E1B83" w14:textId="77777777" w:rsidTr="00CC36C1">
        <w:trPr>
          <w:gridBefore w:val="1"/>
          <w:wBefore w:w="17" w:type="dxa"/>
        </w:trPr>
        <w:tc>
          <w:tcPr>
            <w:tcW w:w="7483" w:type="dxa"/>
            <w:gridSpan w:val="2"/>
          </w:tcPr>
          <w:p w14:paraId="0DE458E7" w14:textId="77777777" w:rsidR="006F3A86" w:rsidRPr="004005A4" w:rsidRDefault="006F3A86" w:rsidP="007918A2">
            <w:pPr>
              <w:pStyle w:val="level1"/>
              <w:tabs>
                <w:tab w:val="clear" w:pos="576"/>
                <w:tab w:val="clear" w:pos="1152"/>
              </w:tabs>
              <w:spacing w:after="120" w:line="240" w:lineRule="atLeast"/>
              <w:ind w:left="597" w:hanging="270"/>
              <w:rPr>
                <w:rFonts w:cs="Calibri Light"/>
                <w:sz w:val="20"/>
                <w:szCs w:val="20"/>
              </w:rPr>
            </w:pPr>
            <w:r w:rsidRPr="004005A4">
              <w:rPr>
                <w:rFonts w:cs="Calibri Light"/>
                <w:sz w:val="20"/>
                <w:szCs w:val="20"/>
              </w:rPr>
              <w:t>c.</w:t>
            </w:r>
            <w:r w:rsidRPr="004005A4">
              <w:rPr>
                <w:rFonts w:cs="Calibri Light"/>
                <w:sz w:val="20"/>
                <w:szCs w:val="20"/>
              </w:rPr>
              <w:tab/>
              <w:t>Disclose the weighted average interest rate on short-term borrowings outstanding as of the date of each balance sheet presented.  See SAB Topic 6-H, and FRR Section 203 as to disclosures of compensating balances and short-term borrowing arrangements.</w:t>
            </w:r>
          </w:p>
        </w:tc>
        <w:tc>
          <w:tcPr>
            <w:tcW w:w="1209" w:type="dxa"/>
            <w:gridSpan w:val="2"/>
            <w:tcBorders>
              <w:top w:val="single" w:sz="4" w:space="0" w:color="auto"/>
              <w:bottom w:val="single" w:sz="4" w:space="0" w:color="auto"/>
            </w:tcBorders>
            <w:vAlign w:val="bottom"/>
          </w:tcPr>
          <w:p w14:paraId="0C33529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7F5097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E789EB9"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DE5B5A6" w14:textId="77777777" w:rsidTr="00CC36C1">
        <w:trPr>
          <w:gridBefore w:val="1"/>
          <w:wBefore w:w="17" w:type="dxa"/>
        </w:trPr>
        <w:tc>
          <w:tcPr>
            <w:tcW w:w="7483" w:type="dxa"/>
            <w:gridSpan w:val="2"/>
          </w:tcPr>
          <w:p w14:paraId="3F22579E"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20.</w:t>
            </w:r>
            <w:r w:rsidRPr="004005A4">
              <w:rPr>
                <w:rFonts w:cs="Calibri Light"/>
                <w:sz w:val="20"/>
                <w:szCs w:val="20"/>
              </w:rPr>
              <w:tab/>
            </w:r>
            <w:r w:rsidRPr="004005A4">
              <w:rPr>
                <w:rFonts w:cs="Calibri Light"/>
                <w:b/>
                <w:sz w:val="20"/>
                <w:szCs w:val="20"/>
              </w:rPr>
              <w:t xml:space="preserve">Other current liabilities.  </w:t>
            </w:r>
            <w:r w:rsidRPr="004005A4">
              <w:rPr>
                <w:rFonts w:cs="Calibri Light"/>
                <w:sz w:val="20"/>
                <w:szCs w:val="20"/>
              </w:rPr>
              <w:t>State any item in excess of 5% of total current liabilities separately, in the balance sheet or in the footnotes (e.g., accrued payrolls, accrued interest, taxes, the current portion of deferred income taxes, and the current portion of long-term debt); remaining items may be shown in one amount.</w:t>
            </w:r>
          </w:p>
        </w:tc>
        <w:tc>
          <w:tcPr>
            <w:tcW w:w="1209" w:type="dxa"/>
            <w:gridSpan w:val="2"/>
            <w:vAlign w:val="bottom"/>
          </w:tcPr>
          <w:p w14:paraId="238818F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731DFD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0F662D5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0C455BB" w14:textId="77777777" w:rsidTr="00CC36C1">
        <w:trPr>
          <w:gridBefore w:val="1"/>
          <w:wBefore w:w="17" w:type="dxa"/>
        </w:trPr>
        <w:tc>
          <w:tcPr>
            <w:tcW w:w="7483" w:type="dxa"/>
            <w:gridSpan w:val="2"/>
          </w:tcPr>
          <w:p w14:paraId="50767BBE" w14:textId="314C6C7D"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21.</w:t>
            </w:r>
            <w:r w:rsidRPr="004005A4">
              <w:rPr>
                <w:rFonts w:cs="Calibri Light"/>
                <w:sz w:val="20"/>
                <w:szCs w:val="20"/>
              </w:rPr>
              <w:tab/>
            </w:r>
            <w:r w:rsidRPr="004005A4">
              <w:rPr>
                <w:rFonts w:cs="Calibri Light"/>
                <w:b/>
                <w:sz w:val="20"/>
                <w:szCs w:val="20"/>
              </w:rPr>
              <w:t xml:space="preserve">Total current liabilities, </w:t>
            </w:r>
            <w:r>
              <w:rPr>
                <w:rFonts w:cs="Calibri Light"/>
                <w:sz w:val="20"/>
                <w:szCs w:val="20"/>
              </w:rPr>
              <w:t>when</w:t>
            </w:r>
            <w:r w:rsidRPr="004005A4">
              <w:rPr>
                <w:rFonts w:cs="Calibri Light"/>
                <w:sz w:val="20"/>
                <w:szCs w:val="20"/>
              </w:rPr>
              <w:t xml:space="preserve"> appropriate.</w:t>
            </w:r>
          </w:p>
        </w:tc>
        <w:tc>
          <w:tcPr>
            <w:tcW w:w="1209" w:type="dxa"/>
            <w:gridSpan w:val="2"/>
            <w:tcBorders>
              <w:top w:val="single" w:sz="4" w:space="0" w:color="auto"/>
              <w:bottom w:val="single" w:sz="4" w:space="0" w:color="auto"/>
            </w:tcBorders>
            <w:vAlign w:val="bottom"/>
          </w:tcPr>
          <w:p w14:paraId="6C760B14"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793DD0E"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E940D0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E6091B3" w14:textId="77777777" w:rsidTr="00CC36C1">
        <w:trPr>
          <w:gridBefore w:val="1"/>
          <w:wBefore w:w="17" w:type="dxa"/>
        </w:trPr>
        <w:tc>
          <w:tcPr>
            <w:tcW w:w="7483" w:type="dxa"/>
            <w:gridSpan w:val="2"/>
          </w:tcPr>
          <w:p w14:paraId="2C63019F" w14:textId="514BB7BA" w:rsidR="006F3A86" w:rsidRPr="007918A2" w:rsidRDefault="006F3A86" w:rsidP="006F3A86">
            <w:pPr>
              <w:pStyle w:val="levela"/>
              <w:tabs>
                <w:tab w:val="clear" w:pos="576"/>
              </w:tabs>
              <w:spacing w:before="120" w:after="120" w:line="240" w:lineRule="atLeast"/>
              <w:ind w:left="322" w:hanging="322"/>
              <w:rPr>
                <w:rFonts w:cs="Calibri Light"/>
                <w:b/>
                <w:bCs/>
                <w:sz w:val="20"/>
                <w:szCs w:val="20"/>
              </w:rPr>
            </w:pPr>
            <w:r>
              <w:rPr>
                <w:rFonts w:cs="Calibri Light"/>
                <w:b/>
                <w:bCs/>
                <w:sz w:val="20"/>
                <w:szCs w:val="20"/>
              </w:rPr>
              <w:t>Long -Term Debt</w:t>
            </w:r>
          </w:p>
          <w:p w14:paraId="2719A367" w14:textId="7EE4D8ED"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22.</w:t>
            </w:r>
            <w:r w:rsidRPr="004005A4">
              <w:rPr>
                <w:rFonts w:cs="Calibri Light"/>
                <w:sz w:val="20"/>
                <w:szCs w:val="20"/>
              </w:rPr>
              <w:tab/>
            </w:r>
            <w:r w:rsidRPr="004005A4">
              <w:rPr>
                <w:rFonts w:cs="Calibri Light"/>
                <w:b/>
                <w:sz w:val="20"/>
                <w:szCs w:val="20"/>
              </w:rPr>
              <w:t xml:space="preserve">Bonds, mortgages, and other long-term debt, including capitalized leases.  </w:t>
            </w:r>
            <w:r w:rsidRPr="004005A4">
              <w:rPr>
                <w:rFonts w:cs="Calibri Light"/>
                <w:sz w:val="20"/>
                <w:szCs w:val="20"/>
              </w:rPr>
              <w:t>State each issue or type of obligation and disclose the general character of each type of debt — including the rate of interest; the date of maturity, or if maturing serially, a brief indication of the serial maturities; if the payment of principal or interest is contingent, an indication of such contingency; an indication of priority; and if convertible, the basis.  For amounts owed to related parties, see Rule 4-08(k).  [Also see SAB Topic 4-A.]</w:t>
            </w:r>
          </w:p>
        </w:tc>
        <w:tc>
          <w:tcPr>
            <w:tcW w:w="1209" w:type="dxa"/>
            <w:gridSpan w:val="2"/>
            <w:tcBorders>
              <w:top w:val="single" w:sz="4" w:space="0" w:color="auto"/>
            </w:tcBorders>
            <w:vAlign w:val="bottom"/>
          </w:tcPr>
          <w:p w14:paraId="1D9E704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246F13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69FDFFB"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A97EAFF" w14:textId="77777777" w:rsidTr="00CC36C1">
        <w:trPr>
          <w:gridBefore w:val="1"/>
          <w:wBefore w:w="17" w:type="dxa"/>
        </w:trPr>
        <w:tc>
          <w:tcPr>
            <w:tcW w:w="7483" w:type="dxa"/>
            <w:gridSpan w:val="2"/>
          </w:tcPr>
          <w:p w14:paraId="69C260FB" w14:textId="60144D8E" w:rsidR="006F3A86" w:rsidRPr="004005A4" w:rsidRDefault="006F3A86" w:rsidP="006F3A86">
            <w:pPr>
              <w:pStyle w:val="levela"/>
              <w:tabs>
                <w:tab w:val="clear" w:pos="576"/>
              </w:tabs>
              <w:spacing w:before="120" w:after="120" w:line="240" w:lineRule="atLeast"/>
              <w:ind w:left="322" w:firstLine="0"/>
              <w:rPr>
                <w:rFonts w:cs="Calibri Light"/>
                <w:sz w:val="20"/>
                <w:szCs w:val="20"/>
              </w:rPr>
            </w:pPr>
            <w:r w:rsidRPr="004005A4">
              <w:rPr>
                <w:rFonts w:cs="Calibri Light"/>
                <w:sz w:val="20"/>
                <w:szCs w:val="20"/>
              </w:rPr>
              <w:t>State the amount and terms (including commitment fees and the conditions under which commitments may be withdrawn) of unused commitments for long-term financing arrangements.</w:t>
            </w:r>
          </w:p>
        </w:tc>
        <w:tc>
          <w:tcPr>
            <w:tcW w:w="1209" w:type="dxa"/>
            <w:gridSpan w:val="2"/>
            <w:tcBorders>
              <w:top w:val="single" w:sz="4" w:space="0" w:color="auto"/>
            </w:tcBorders>
            <w:vAlign w:val="bottom"/>
          </w:tcPr>
          <w:p w14:paraId="610F7F0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A894DC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07A303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43C95FA" w14:textId="77777777" w:rsidTr="00CC36C1">
        <w:trPr>
          <w:gridBefore w:val="1"/>
          <w:wBefore w:w="17" w:type="dxa"/>
        </w:trPr>
        <w:tc>
          <w:tcPr>
            <w:tcW w:w="7483" w:type="dxa"/>
            <w:gridSpan w:val="2"/>
          </w:tcPr>
          <w:p w14:paraId="511F03CA" w14:textId="0185C93D" w:rsidR="006F3A86" w:rsidRPr="004005A4" w:rsidRDefault="006F3A86" w:rsidP="006F3A86">
            <w:pPr>
              <w:pStyle w:val="levela"/>
              <w:tabs>
                <w:tab w:val="clear" w:pos="576"/>
              </w:tabs>
              <w:spacing w:before="120" w:after="120" w:line="240" w:lineRule="atLeast"/>
              <w:ind w:left="322" w:firstLine="0"/>
              <w:rPr>
                <w:rFonts w:cs="Calibri Light"/>
                <w:sz w:val="20"/>
                <w:szCs w:val="20"/>
              </w:rPr>
            </w:pPr>
            <w:r w:rsidRPr="004005A4">
              <w:rPr>
                <w:rFonts w:cs="Calibri Light"/>
                <w:b/>
                <w:sz w:val="20"/>
                <w:szCs w:val="20"/>
              </w:rPr>
              <w:t xml:space="preserve">Demand notes with repayment terms </w:t>
            </w:r>
            <w:r w:rsidRPr="004005A4">
              <w:rPr>
                <w:rFonts w:cs="Calibri Light"/>
                <w:sz w:val="20"/>
                <w:szCs w:val="20"/>
              </w:rPr>
              <w:t>are not to be classified as long-term (ASC Paragraph 470-10-45-10).</w:t>
            </w:r>
          </w:p>
        </w:tc>
        <w:tc>
          <w:tcPr>
            <w:tcW w:w="1209" w:type="dxa"/>
            <w:gridSpan w:val="2"/>
            <w:tcBorders>
              <w:top w:val="single" w:sz="4" w:space="0" w:color="auto"/>
              <w:bottom w:val="single" w:sz="4" w:space="0" w:color="auto"/>
            </w:tcBorders>
            <w:vAlign w:val="bottom"/>
          </w:tcPr>
          <w:p w14:paraId="2DE13D5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4FB0E1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E58803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9B83D11" w14:textId="77777777" w:rsidTr="00CC36C1">
        <w:trPr>
          <w:gridBefore w:val="1"/>
          <w:wBefore w:w="17" w:type="dxa"/>
        </w:trPr>
        <w:tc>
          <w:tcPr>
            <w:tcW w:w="7483" w:type="dxa"/>
            <w:gridSpan w:val="2"/>
          </w:tcPr>
          <w:p w14:paraId="63526E49"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23.</w:t>
            </w:r>
            <w:r w:rsidRPr="004005A4">
              <w:rPr>
                <w:rFonts w:cs="Calibri Light"/>
                <w:sz w:val="20"/>
                <w:szCs w:val="20"/>
              </w:rPr>
              <w:tab/>
            </w:r>
            <w:r w:rsidRPr="004005A4">
              <w:rPr>
                <w:rFonts w:cs="Calibri Light"/>
                <w:b/>
                <w:sz w:val="20"/>
                <w:szCs w:val="20"/>
              </w:rPr>
              <w:t xml:space="preserve">Indebtedness of related parties </w:t>
            </w:r>
            <w:r w:rsidRPr="004005A4">
              <w:rPr>
                <w:rFonts w:cs="Calibri Light"/>
                <w:sz w:val="20"/>
                <w:szCs w:val="20"/>
              </w:rPr>
              <w:t xml:space="preserve">— </w:t>
            </w:r>
            <w:r w:rsidRPr="004005A4">
              <w:rPr>
                <w:rFonts w:cs="Calibri Light"/>
                <w:b/>
                <w:sz w:val="20"/>
                <w:szCs w:val="20"/>
              </w:rPr>
              <w:t xml:space="preserve">not current.  </w:t>
            </w:r>
            <w:r w:rsidRPr="004005A4">
              <w:rPr>
                <w:rFonts w:cs="Calibri Light"/>
                <w:sz w:val="20"/>
                <w:szCs w:val="20"/>
              </w:rPr>
              <w:t>See S-X Rule 4-08(k).</w:t>
            </w:r>
          </w:p>
        </w:tc>
        <w:tc>
          <w:tcPr>
            <w:tcW w:w="1209" w:type="dxa"/>
            <w:gridSpan w:val="2"/>
            <w:tcBorders>
              <w:top w:val="single" w:sz="4" w:space="0" w:color="auto"/>
              <w:bottom w:val="single" w:sz="4" w:space="0" w:color="auto"/>
            </w:tcBorders>
            <w:vAlign w:val="bottom"/>
          </w:tcPr>
          <w:p w14:paraId="6C5DD7E2"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72FF27C"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57662C7"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53F1AAD" w14:textId="77777777" w:rsidTr="00CC36C1">
        <w:trPr>
          <w:gridBefore w:val="1"/>
          <w:wBefore w:w="17" w:type="dxa"/>
        </w:trPr>
        <w:tc>
          <w:tcPr>
            <w:tcW w:w="7483" w:type="dxa"/>
            <w:gridSpan w:val="2"/>
          </w:tcPr>
          <w:p w14:paraId="4C0B87AC"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24.</w:t>
            </w:r>
            <w:r w:rsidRPr="004005A4">
              <w:rPr>
                <w:rFonts w:cs="Calibri Light"/>
                <w:sz w:val="20"/>
                <w:szCs w:val="20"/>
              </w:rPr>
              <w:tab/>
            </w:r>
            <w:r w:rsidRPr="004005A4">
              <w:rPr>
                <w:rFonts w:cs="Calibri Light"/>
                <w:b/>
                <w:sz w:val="20"/>
                <w:szCs w:val="20"/>
              </w:rPr>
              <w:t xml:space="preserve">Other liabilities.  </w:t>
            </w:r>
            <w:r w:rsidRPr="004005A4">
              <w:rPr>
                <w:rFonts w:cs="Calibri Light"/>
                <w:sz w:val="20"/>
                <w:szCs w:val="20"/>
              </w:rPr>
              <w:t>State separately in the balance sheet or the footnotes any item, not properly classed in one of the preceding liability captions, in excess of 5% of total liabilities.</w:t>
            </w:r>
          </w:p>
        </w:tc>
        <w:tc>
          <w:tcPr>
            <w:tcW w:w="1209" w:type="dxa"/>
            <w:gridSpan w:val="2"/>
            <w:tcBorders>
              <w:top w:val="single" w:sz="4" w:space="0" w:color="auto"/>
            </w:tcBorders>
            <w:vAlign w:val="bottom"/>
          </w:tcPr>
          <w:p w14:paraId="7160AACC"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48541B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73772E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9CA0332" w14:textId="77777777" w:rsidTr="00CC36C1">
        <w:trPr>
          <w:gridBefore w:val="1"/>
          <w:wBefore w:w="17" w:type="dxa"/>
        </w:trPr>
        <w:tc>
          <w:tcPr>
            <w:tcW w:w="7483" w:type="dxa"/>
            <w:gridSpan w:val="2"/>
          </w:tcPr>
          <w:p w14:paraId="30EF18C5"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25.</w:t>
            </w:r>
            <w:r w:rsidRPr="004005A4">
              <w:rPr>
                <w:rFonts w:cs="Calibri Light"/>
                <w:sz w:val="20"/>
                <w:szCs w:val="20"/>
              </w:rPr>
              <w:tab/>
            </w:r>
            <w:r w:rsidRPr="004005A4">
              <w:rPr>
                <w:rFonts w:cs="Calibri Light"/>
                <w:b/>
                <w:sz w:val="20"/>
                <w:szCs w:val="20"/>
              </w:rPr>
              <w:t>Commitments and contingent liabilities.</w:t>
            </w:r>
          </w:p>
        </w:tc>
        <w:tc>
          <w:tcPr>
            <w:tcW w:w="1209" w:type="dxa"/>
            <w:gridSpan w:val="2"/>
            <w:tcBorders>
              <w:top w:val="single" w:sz="4" w:space="0" w:color="auto"/>
            </w:tcBorders>
            <w:vAlign w:val="bottom"/>
          </w:tcPr>
          <w:p w14:paraId="5F9600B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8A5C9A4"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B3560A9"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4634017" w14:textId="77777777" w:rsidTr="00CC36C1">
        <w:trPr>
          <w:gridBefore w:val="1"/>
          <w:wBefore w:w="17" w:type="dxa"/>
        </w:trPr>
        <w:tc>
          <w:tcPr>
            <w:tcW w:w="7483" w:type="dxa"/>
            <w:gridSpan w:val="2"/>
          </w:tcPr>
          <w:p w14:paraId="15E959CD" w14:textId="512D788F" w:rsidR="006F3A86" w:rsidRPr="004005A4" w:rsidRDefault="006F3A86" w:rsidP="006F3A86">
            <w:pPr>
              <w:pStyle w:val="levela"/>
              <w:tabs>
                <w:tab w:val="clear" w:pos="576"/>
              </w:tabs>
              <w:spacing w:before="120" w:after="120" w:line="240" w:lineRule="atLeast"/>
              <w:ind w:left="322" w:firstLine="0"/>
              <w:rPr>
                <w:rFonts w:cs="Calibri Light"/>
                <w:sz w:val="20"/>
                <w:szCs w:val="20"/>
              </w:rPr>
            </w:pPr>
            <w:r w:rsidRPr="004005A4">
              <w:rPr>
                <w:rFonts w:cs="Calibri Light"/>
                <w:b/>
                <w:sz w:val="20"/>
                <w:szCs w:val="20"/>
              </w:rPr>
              <w:t xml:space="preserve">Loss Contingencies </w:t>
            </w:r>
            <w:r w:rsidRPr="004005A4">
              <w:rPr>
                <w:rFonts w:cs="Calibri Light"/>
                <w:sz w:val="20"/>
                <w:szCs w:val="20"/>
              </w:rPr>
              <w:t>— see SAB Topic 5-Y for guidance on accounting and disclosures.  Also see SAB Topic 10-F for utilities.</w:t>
            </w:r>
          </w:p>
        </w:tc>
        <w:tc>
          <w:tcPr>
            <w:tcW w:w="1209" w:type="dxa"/>
            <w:gridSpan w:val="2"/>
            <w:tcBorders>
              <w:bottom w:val="single" w:sz="6" w:space="0" w:color="auto"/>
            </w:tcBorders>
            <w:vAlign w:val="bottom"/>
          </w:tcPr>
          <w:p w14:paraId="3426CFA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FF8629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06EB853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5D215A0" w14:textId="77777777" w:rsidTr="00CC36C1">
        <w:trPr>
          <w:gridBefore w:val="1"/>
          <w:wBefore w:w="17" w:type="dxa"/>
        </w:trPr>
        <w:tc>
          <w:tcPr>
            <w:tcW w:w="7483" w:type="dxa"/>
            <w:gridSpan w:val="2"/>
          </w:tcPr>
          <w:p w14:paraId="3E9E7E68" w14:textId="116EB5E2" w:rsidR="006F3A86" w:rsidRPr="004005A4" w:rsidRDefault="006F3A86" w:rsidP="006F3A86">
            <w:pPr>
              <w:pStyle w:val="levela"/>
              <w:tabs>
                <w:tab w:val="clear" w:pos="576"/>
              </w:tabs>
              <w:spacing w:before="120" w:after="120" w:line="240" w:lineRule="atLeast"/>
              <w:ind w:left="322" w:firstLine="0"/>
              <w:rPr>
                <w:rFonts w:cs="Calibri Light"/>
                <w:b/>
                <w:sz w:val="20"/>
                <w:szCs w:val="20"/>
              </w:rPr>
            </w:pPr>
            <w:r w:rsidRPr="004005A4">
              <w:rPr>
                <w:rFonts w:cs="Calibri Light"/>
                <w:b/>
                <w:sz w:val="20"/>
                <w:szCs w:val="20"/>
              </w:rPr>
              <w:t xml:space="preserve">Oral guarantees </w:t>
            </w:r>
            <w:r w:rsidRPr="004005A4">
              <w:rPr>
                <w:rFonts w:cs="Calibri Light"/>
                <w:sz w:val="20"/>
                <w:szCs w:val="20"/>
              </w:rPr>
              <w:t xml:space="preserve">— see FRR Section </w:t>
            </w:r>
            <w:r w:rsidRPr="00BC2603">
              <w:rPr>
                <w:rFonts w:cs="Calibri Light"/>
                <w:bCs/>
                <w:sz w:val="20"/>
                <w:szCs w:val="20"/>
              </w:rPr>
              <w:t>104</w:t>
            </w:r>
            <w:r w:rsidRPr="004259F2">
              <w:rPr>
                <w:rFonts w:cs="Calibri Light"/>
                <w:bCs/>
                <w:sz w:val="20"/>
                <w:szCs w:val="20"/>
              </w:rPr>
              <w:t>.</w:t>
            </w:r>
          </w:p>
        </w:tc>
        <w:tc>
          <w:tcPr>
            <w:tcW w:w="1209" w:type="dxa"/>
            <w:gridSpan w:val="2"/>
            <w:tcBorders>
              <w:top w:val="single" w:sz="4" w:space="0" w:color="auto"/>
              <w:bottom w:val="single" w:sz="6" w:space="0" w:color="auto"/>
            </w:tcBorders>
            <w:vAlign w:val="bottom"/>
          </w:tcPr>
          <w:p w14:paraId="616443A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E836E4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7329634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31258FB" w14:textId="77777777" w:rsidTr="00CC36C1">
        <w:trPr>
          <w:gridBefore w:val="1"/>
          <w:wBefore w:w="17" w:type="dxa"/>
        </w:trPr>
        <w:tc>
          <w:tcPr>
            <w:tcW w:w="7483" w:type="dxa"/>
            <w:gridSpan w:val="2"/>
          </w:tcPr>
          <w:p w14:paraId="37946096" w14:textId="77777777"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lastRenderedPageBreak/>
              <w:t>26.</w:t>
            </w:r>
            <w:r w:rsidRPr="004005A4">
              <w:rPr>
                <w:rFonts w:cs="Calibri Light"/>
                <w:sz w:val="20"/>
                <w:szCs w:val="20"/>
              </w:rPr>
              <w:tab/>
            </w:r>
            <w:r w:rsidRPr="004005A4">
              <w:rPr>
                <w:rFonts w:cs="Calibri Light"/>
                <w:b/>
                <w:sz w:val="20"/>
                <w:szCs w:val="20"/>
              </w:rPr>
              <w:t xml:space="preserve">Deferred credits.  </w:t>
            </w:r>
            <w:r w:rsidRPr="004005A4">
              <w:rPr>
                <w:rFonts w:cs="Calibri Light"/>
                <w:sz w:val="20"/>
                <w:szCs w:val="20"/>
              </w:rPr>
              <w:t>State separately in the balance sheet deferred income taxes, deferred tax credits, and material items of deferred income.</w:t>
            </w:r>
          </w:p>
        </w:tc>
        <w:tc>
          <w:tcPr>
            <w:tcW w:w="1209" w:type="dxa"/>
            <w:gridSpan w:val="2"/>
            <w:tcBorders>
              <w:top w:val="single" w:sz="6" w:space="0" w:color="auto"/>
              <w:bottom w:val="single" w:sz="4" w:space="0" w:color="auto"/>
            </w:tcBorders>
            <w:vAlign w:val="bottom"/>
          </w:tcPr>
          <w:p w14:paraId="524A1C94"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0373B8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61F4454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B9BFF3A" w14:textId="77777777" w:rsidTr="00CC36C1">
        <w:trPr>
          <w:gridBefore w:val="1"/>
          <w:wBefore w:w="17" w:type="dxa"/>
        </w:trPr>
        <w:tc>
          <w:tcPr>
            <w:tcW w:w="7483" w:type="dxa"/>
            <w:gridSpan w:val="2"/>
          </w:tcPr>
          <w:p w14:paraId="21EC9982" w14:textId="77777777"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27.</w:t>
            </w:r>
            <w:r w:rsidRPr="004005A4">
              <w:rPr>
                <w:rFonts w:cs="Calibri Light"/>
                <w:sz w:val="20"/>
                <w:szCs w:val="20"/>
              </w:rPr>
              <w:tab/>
            </w:r>
            <w:r w:rsidRPr="004005A4">
              <w:rPr>
                <w:rFonts w:cs="Calibri Light"/>
                <w:b/>
                <w:sz w:val="20"/>
                <w:szCs w:val="20"/>
              </w:rPr>
              <w:t xml:space="preserve">Preferred stock subject to mandatory redemption requirements or preferred or common stocks whose redemption is outside the control of the issuer.  </w:t>
            </w:r>
            <w:r w:rsidRPr="004005A4">
              <w:rPr>
                <w:rFonts w:cs="Calibri Light"/>
                <w:sz w:val="20"/>
                <w:szCs w:val="20"/>
              </w:rPr>
              <w:t xml:space="preserve">See ASC Subtopic 480-10, FRR Section 211, and SAB Topic 3-C. </w:t>
            </w:r>
          </w:p>
        </w:tc>
        <w:tc>
          <w:tcPr>
            <w:tcW w:w="1209" w:type="dxa"/>
            <w:gridSpan w:val="2"/>
            <w:tcBorders>
              <w:top w:val="single" w:sz="4" w:space="0" w:color="auto"/>
            </w:tcBorders>
            <w:vAlign w:val="bottom"/>
          </w:tcPr>
          <w:p w14:paraId="0CC9E1A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7E36E5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B0C8D7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CC9C7C3" w14:textId="77777777" w:rsidTr="00CC36C1">
        <w:trPr>
          <w:gridBefore w:val="1"/>
          <w:wBefore w:w="17" w:type="dxa"/>
        </w:trPr>
        <w:tc>
          <w:tcPr>
            <w:tcW w:w="7483" w:type="dxa"/>
            <w:gridSpan w:val="2"/>
          </w:tcPr>
          <w:p w14:paraId="4A9B0440" w14:textId="77777777" w:rsidR="006F3A86" w:rsidRPr="004005A4" w:rsidRDefault="006F3A86" w:rsidP="006F3A86">
            <w:pPr>
              <w:pStyle w:val="level1"/>
              <w:tabs>
                <w:tab w:val="clear" w:pos="576"/>
                <w:tab w:val="clear" w:pos="1152"/>
              </w:tabs>
              <w:spacing w:after="120" w:line="240" w:lineRule="atLeast"/>
              <w:ind w:left="592" w:hanging="270"/>
              <w:rPr>
                <w:rFonts w:cs="Calibri Light"/>
                <w:sz w:val="20"/>
                <w:szCs w:val="20"/>
              </w:rPr>
            </w:pPr>
            <w:r w:rsidRPr="004005A4">
              <w:rPr>
                <w:rFonts w:cs="Calibri Light"/>
                <w:sz w:val="20"/>
                <w:szCs w:val="20"/>
              </w:rPr>
              <w:t>a.</w:t>
            </w:r>
            <w:r w:rsidRPr="004005A4">
              <w:rPr>
                <w:rFonts w:cs="Calibri Light"/>
                <w:sz w:val="20"/>
                <w:szCs w:val="20"/>
              </w:rPr>
              <w:tab/>
              <w:t xml:space="preserve">Include amounts applicable to any class of stock (common or preferred) with any of the following characteristics: (1) it is redeemable at a fixed or determinable price on a fixed or determinable date(s), whether by operation of a sinking fund or otherwise; (2) it is redeemable at the option of the holder (without regard to the probability of redemption even if the probability of redemption is remote); </w:t>
            </w:r>
            <w:r w:rsidRPr="004005A4">
              <w:rPr>
                <w:rFonts w:cs="Calibri Light"/>
                <w:i/>
                <w:sz w:val="20"/>
                <w:szCs w:val="20"/>
              </w:rPr>
              <w:t xml:space="preserve">or </w:t>
            </w:r>
            <w:r w:rsidRPr="004005A4">
              <w:rPr>
                <w:rFonts w:cs="Calibri Light"/>
                <w:sz w:val="20"/>
                <w:szCs w:val="20"/>
              </w:rPr>
              <w:t>(3) it has conditions for redemption that are not solely within the control of the issuer.</w:t>
            </w:r>
          </w:p>
        </w:tc>
        <w:tc>
          <w:tcPr>
            <w:tcW w:w="1209" w:type="dxa"/>
            <w:gridSpan w:val="2"/>
            <w:vAlign w:val="bottom"/>
          </w:tcPr>
          <w:p w14:paraId="37FEDD3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779A29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205FF86A"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688FF1E" w14:textId="77777777" w:rsidTr="00CC36C1">
        <w:trPr>
          <w:gridBefore w:val="1"/>
          <w:wBefore w:w="17" w:type="dxa"/>
        </w:trPr>
        <w:tc>
          <w:tcPr>
            <w:tcW w:w="7483" w:type="dxa"/>
            <w:gridSpan w:val="2"/>
          </w:tcPr>
          <w:p w14:paraId="040141BC" w14:textId="27497EFC" w:rsidR="006F3A86" w:rsidRPr="004005A4" w:rsidRDefault="006F3A86" w:rsidP="006F3A86">
            <w:pPr>
              <w:pStyle w:val="level1"/>
              <w:tabs>
                <w:tab w:val="clear" w:pos="576"/>
                <w:tab w:val="clear" w:pos="1152"/>
              </w:tabs>
              <w:spacing w:after="120" w:line="240" w:lineRule="atLeast"/>
              <w:ind w:left="592" w:hanging="270"/>
              <w:rPr>
                <w:rFonts w:cs="Calibri Light"/>
                <w:sz w:val="20"/>
                <w:szCs w:val="20"/>
              </w:rPr>
            </w:pPr>
            <w:r w:rsidRPr="548EBB82">
              <w:rPr>
                <w:rFonts w:cs="Calibri Light"/>
                <w:sz w:val="20"/>
                <w:szCs w:val="20"/>
              </w:rPr>
              <w:t>b.</w:t>
            </w:r>
            <w:r>
              <w:tab/>
            </w:r>
            <w:r w:rsidRPr="548EBB82">
              <w:rPr>
                <w:rFonts w:cs="Calibri Light"/>
                <w:sz w:val="20"/>
                <w:szCs w:val="20"/>
              </w:rPr>
              <w:t>State on the face of the balance sheet the title of each issue, the carrying amount, and redemption amount.  If there is more than one issue, amounts may be totaled on balance sheet and details disclosed in a note.  Stock subscriptions receivable are deducted from stock subscribed account unless the amount has been collected by the date of the filing and so disclosed — see SAB Topic 4-E.  If the carrying value is different from the redemption amount, describe the accounting treatment for the difference in the note required by Item c. below.  State (on the balance sheet or in the note), for each issue, the number of shares authorized, issued, or outstanding, as appropriate.  See S-X Rule 4-07</w:t>
            </w:r>
            <w:r w:rsidRPr="548EBB82">
              <w:rPr>
                <w:rFonts w:cs="Calibri Light"/>
                <w:i/>
                <w:iCs/>
                <w:sz w:val="20"/>
                <w:szCs w:val="20"/>
              </w:rPr>
              <w:t>.</w:t>
            </w:r>
          </w:p>
        </w:tc>
        <w:tc>
          <w:tcPr>
            <w:tcW w:w="1209" w:type="dxa"/>
            <w:gridSpan w:val="2"/>
            <w:tcBorders>
              <w:top w:val="single" w:sz="4" w:space="0" w:color="auto"/>
            </w:tcBorders>
            <w:vAlign w:val="bottom"/>
          </w:tcPr>
          <w:p w14:paraId="3F437E1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B4A4747"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B9D245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A217576" w14:textId="77777777" w:rsidTr="00CC36C1">
        <w:trPr>
          <w:gridBefore w:val="1"/>
          <w:wBefore w:w="17" w:type="dxa"/>
        </w:trPr>
        <w:tc>
          <w:tcPr>
            <w:tcW w:w="7483" w:type="dxa"/>
            <w:gridSpan w:val="2"/>
          </w:tcPr>
          <w:p w14:paraId="70AFFAFC" w14:textId="7265A47E" w:rsidR="006F3A86" w:rsidRPr="004005A4" w:rsidRDefault="006F3A86" w:rsidP="006F3A86">
            <w:pPr>
              <w:pStyle w:val="level1"/>
              <w:tabs>
                <w:tab w:val="clear" w:pos="576"/>
                <w:tab w:val="clear" w:pos="1152"/>
              </w:tabs>
              <w:spacing w:after="120" w:line="240" w:lineRule="atLeast"/>
              <w:ind w:left="592" w:hanging="270"/>
              <w:rPr>
                <w:rFonts w:cs="Calibri Light"/>
                <w:sz w:val="20"/>
                <w:szCs w:val="20"/>
              </w:rPr>
            </w:pPr>
            <w:r w:rsidRPr="004005A4">
              <w:rPr>
                <w:rFonts w:cs="Calibri Light"/>
                <w:sz w:val="20"/>
                <w:szCs w:val="20"/>
              </w:rPr>
              <w:t>c.</w:t>
            </w:r>
            <w:r w:rsidRPr="004005A4">
              <w:rPr>
                <w:rFonts w:cs="Calibri Light"/>
                <w:sz w:val="20"/>
                <w:szCs w:val="20"/>
              </w:rPr>
              <w:tab/>
              <w:t>State in a note captioned “Redeemable Preferred Stocks”:  (1) a general description of each issue, including its redemption features and the rights (if any) of holders in the event of default [including the effect (if any) on junior securities in the event a required dividend, sinking fund, or other redemption payment(s) is not made]; (2) the combined aggregate amount of redemption requirements for all issues each year for the five years following the date of the latest balance sheet; and (3) the changes in each issue for each period for which a statement of comprehensive income is required to be filed.  See S-X Rule 4-08(d).</w:t>
            </w:r>
          </w:p>
        </w:tc>
        <w:tc>
          <w:tcPr>
            <w:tcW w:w="1209" w:type="dxa"/>
            <w:gridSpan w:val="2"/>
            <w:tcBorders>
              <w:top w:val="single" w:sz="4" w:space="0" w:color="auto"/>
            </w:tcBorders>
            <w:vAlign w:val="bottom"/>
          </w:tcPr>
          <w:p w14:paraId="2A3C94A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11E9A5C"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E14AC4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F9A0106" w14:textId="77777777" w:rsidTr="00CC36C1">
        <w:trPr>
          <w:gridBefore w:val="1"/>
          <w:wBefore w:w="17" w:type="dxa"/>
        </w:trPr>
        <w:tc>
          <w:tcPr>
            <w:tcW w:w="7483" w:type="dxa"/>
            <w:gridSpan w:val="2"/>
          </w:tcPr>
          <w:p w14:paraId="30A3F1A8" w14:textId="77777777" w:rsidR="006F3A86" w:rsidRPr="004005A4" w:rsidRDefault="006F3A86" w:rsidP="006F3A86">
            <w:pPr>
              <w:pStyle w:val="level1"/>
              <w:tabs>
                <w:tab w:val="clear" w:pos="576"/>
                <w:tab w:val="clear" w:pos="1152"/>
              </w:tabs>
              <w:spacing w:after="120" w:line="240" w:lineRule="atLeast"/>
              <w:ind w:left="592" w:hanging="270"/>
              <w:rPr>
                <w:rFonts w:cs="Calibri Light"/>
                <w:sz w:val="20"/>
                <w:szCs w:val="20"/>
              </w:rPr>
            </w:pPr>
            <w:r w:rsidRPr="004005A4">
              <w:rPr>
                <w:rFonts w:cs="Calibri Light"/>
                <w:sz w:val="20"/>
                <w:szCs w:val="20"/>
              </w:rPr>
              <w:t>d.</w:t>
            </w:r>
            <w:r w:rsidRPr="004005A4">
              <w:rPr>
                <w:rFonts w:cs="Calibri Light"/>
                <w:sz w:val="20"/>
                <w:szCs w:val="20"/>
              </w:rPr>
              <w:tab/>
              <w:t>Securities included in this caption are not to be included under a general heading “stockholders’ equity” or combined in a total with any of the following: (1) “nonredeemable preferred stocks,” (2) “common stocks,” or (3) “other stockholders’ equity.”</w:t>
            </w:r>
          </w:p>
        </w:tc>
        <w:tc>
          <w:tcPr>
            <w:tcW w:w="1209" w:type="dxa"/>
            <w:gridSpan w:val="2"/>
            <w:tcBorders>
              <w:top w:val="single" w:sz="6" w:space="0" w:color="auto"/>
              <w:bottom w:val="single" w:sz="4" w:space="0" w:color="auto"/>
            </w:tcBorders>
            <w:vAlign w:val="bottom"/>
          </w:tcPr>
          <w:p w14:paraId="1C7A7FF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28B0616"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4A75430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CE62572" w14:textId="77777777" w:rsidTr="00CC36C1">
        <w:trPr>
          <w:gridBefore w:val="1"/>
          <w:wBefore w:w="17" w:type="dxa"/>
        </w:trPr>
        <w:tc>
          <w:tcPr>
            <w:tcW w:w="7483" w:type="dxa"/>
            <w:gridSpan w:val="2"/>
          </w:tcPr>
          <w:p w14:paraId="2225F89B" w14:textId="095BA91A" w:rsidR="006F3A86" w:rsidRPr="004005A4" w:rsidRDefault="006F3A86" w:rsidP="006F3A86">
            <w:pPr>
              <w:pStyle w:val="level1"/>
              <w:tabs>
                <w:tab w:val="clear" w:pos="576"/>
                <w:tab w:val="clear" w:pos="1152"/>
              </w:tabs>
              <w:spacing w:after="120" w:line="240" w:lineRule="atLeast"/>
              <w:ind w:left="592" w:hanging="16"/>
              <w:rPr>
                <w:rFonts w:cs="Calibri Light"/>
                <w:b/>
                <w:sz w:val="20"/>
                <w:szCs w:val="20"/>
              </w:rPr>
            </w:pPr>
            <w:r w:rsidRPr="004005A4">
              <w:rPr>
                <w:rFonts w:cs="Calibri Light"/>
                <w:sz w:val="20"/>
                <w:szCs w:val="20"/>
              </w:rPr>
              <w:t>See FRR Section 211 regarding possible double debt-to-equity ratio presentation by registrants with material amounts of outstanding redeemable preferred stock.</w:t>
            </w:r>
          </w:p>
        </w:tc>
        <w:tc>
          <w:tcPr>
            <w:tcW w:w="1209" w:type="dxa"/>
            <w:gridSpan w:val="2"/>
            <w:tcBorders>
              <w:top w:val="single" w:sz="4" w:space="0" w:color="auto"/>
            </w:tcBorders>
            <w:vAlign w:val="bottom"/>
          </w:tcPr>
          <w:p w14:paraId="25BF195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F3BFFF0"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BD67228"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71722D7" w14:textId="77777777" w:rsidTr="00CC36C1">
        <w:trPr>
          <w:gridBefore w:val="1"/>
          <w:wBefore w:w="17" w:type="dxa"/>
        </w:trPr>
        <w:tc>
          <w:tcPr>
            <w:tcW w:w="7483" w:type="dxa"/>
            <w:gridSpan w:val="2"/>
          </w:tcPr>
          <w:p w14:paraId="6E4DF7E7" w14:textId="77777777"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28.</w:t>
            </w:r>
            <w:r w:rsidRPr="004005A4">
              <w:rPr>
                <w:rFonts w:cs="Calibri Light"/>
                <w:sz w:val="20"/>
                <w:szCs w:val="20"/>
              </w:rPr>
              <w:tab/>
            </w:r>
            <w:r w:rsidRPr="004005A4">
              <w:rPr>
                <w:rFonts w:cs="Calibri Light"/>
                <w:b/>
                <w:sz w:val="20"/>
                <w:szCs w:val="20"/>
              </w:rPr>
              <w:t xml:space="preserve">Preferred stocks that are not redeemable or are redeemable solely at the option of the issuer.  </w:t>
            </w:r>
          </w:p>
        </w:tc>
        <w:tc>
          <w:tcPr>
            <w:tcW w:w="1209" w:type="dxa"/>
            <w:gridSpan w:val="2"/>
            <w:tcBorders>
              <w:top w:val="single" w:sz="4" w:space="0" w:color="auto"/>
            </w:tcBorders>
            <w:vAlign w:val="bottom"/>
          </w:tcPr>
          <w:p w14:paraId="402C4AE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E41489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2989D0A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8D39AB0" w14:textId="77777777" w:rsidTr="00CC36C1">
        <w:trPr>
          <w:gridBefore w:val="1"/>
          <w:wBefore w:w="17" w:type="dxa"/>
        </w:trPr>
        <w:tc>
          <w:tcPr>
            <w:tcW w:w="7483" w:type="dxa"/>
            <w:gridSpan w:val="2"/>
          </w:tcPr>
          <w:p w14:paraId="3DA0491A" w14:textId="13574162" w:rsidR="006F3A86" w:rsidRPr="004005A4" w:rsidRDefault="006F3A86" w:rsidP="006F3A86">
            <w:pPr>
              <w:pStyle w:val="levela"/>
              <w:tabs>
                <w:tab w:val="clear" w:pos="576"/>
              </w:tabs>
              <w:spacing w:before="120" w:after="120" w:line="240" w:lineRule="atLeast"/>
              <w:ind w:left="322" w:firstLine="0"/>
              <w:rPr>
                <w:rFonts w:cs="Calibri Light"/>
                <w:b/>
                <w:sz w:val="20"/>
                <w:szCs w:val="20"/>
              </w:rPr>
            </w:pPr>
            <w:r w:rsidRPr="004005A4">
              <w:rPr>
                <w:rFonts w:cs="Calibri Light"/>
                <w:sz w:val="20"/>
                <w:szCs w:val="20"/>
              </w:rPr>
              <w:t xml:space="preserve">State on the face of the balance sheet, or if more than one issue is outstanding in a note, the title of each issue and the dollar amount thereof.  Stock subscriptions receivable are deducted from stock subscribed account unless the amount has been </w:t>
            </w:r>
            <w:r w:rsidRPr="004005A4">
              <w:rPr>
                <w:rFonts w:cs="Calibri Light"/>
                <w:sz w:val="20"/>
                <w:szCs w:val="20"/>
              </w:rPr>
              <w:lastRenderedPageBreak/>
              <w:t>collected by the date of the filing and so disclosed.  For each issue, state the number of shares authorized, issued, or outstanding, as appropriate.  Show the changes in each class of preferred shares reported under this caption for each period for which a statement of comprehensive income is required to be filed.  See S-X Rule 4-07 and 4-08(d).</w:t>
            </w:r>
          </w:p>
        </w:tc>
        <w:tc>
          <w:tcPr>
            <w:tcW w:w="1209" w:type="dxa"/>
            <w:gridSpan w:val="2"/>
            <w:tcBorders>
              <w:bottom w:val="single" w:sz="4" w:space="0" w:color="auto"/>
            </w:tcBorders>
            <w:vAlign w:val="bottom"/>
          </w:tcPr>
          <w:p w14:paraId="492150B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E22A0B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317CB90B"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E3250C6" w14:textId="77777777" w:rsidTr="00CC36C1">
        <w:trPr>
          <w:gridBefore w:val="1"/>
          <w:wBefore w:w="17" w:type="dxa"/>
        </w:trPr>
        <w:tc>
          <w:tcPr>
            <w:tcW w:w="7483" w:type="dxa"/>
            <w:gridSpan w:val="2"/>
          </w:tcPr>
          <w:p w14:paraId="08E2148D" w14:textId="3DE36B37"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29.</w:t>
            </w:r>
            <w:r w:rsidRPr="004005A4">
              <w:rPr>
                <w:rFonts w:cs="Calibri Light"/>
                <w:sz w:val="20"/>
                <w:szCs w:val="20"/>
              </w:rPr>
              <w:tab/>
            </w:r>
            <w:r w:rsidRPr="004005A4">
              <w:rPr>
                <w:rFonts w:cs="Calibri Light"/>
                <w:b/>
                <w:sz w:val="20"/>
                <w:szCs w:val="20"/>
              </w:rPr>
              <w:t xml:space="preserve">Common stocks.  </w:t>
            </w:r>
            <w:r w:rsidRPr="004005A4">
              <w:rPr>
                <w:rFonts w:cs="Calibri Light"/>
                <w:sz w:val="20"/>
                <w:szCs w:val="20"/>
              </w:rPr>
              <w:t>State on the balance sheet each class, the number of shares issued or outstanding, and the dollar amount.  If convertible, state this fact on the balance sheet.  For each class of common stock, on the balance sheet or in a note, give the title of the issue, the number of shares authorized, and if convertible, the basis of conversion.  Stock subscriptions receivable are deducted from stock subscribed account unless the amount has been collected by the date of the filing and is so disclosed — see SAB Topic 4-E.  Disclose in a note or statement, the changes in each class of common shares for each period for which a statement of comprehensive income is required.  The number of shares reserved for whatever purpose is disclosed and particulars described.</w:t>
            </w:r>
          </w:p>
        </w:tc>
        <w:tc>
          <w:tcPr>
            <w:tcW w:w="1209" w:type="dxa"/>
            <w:gridSpan w:val="2"/>
            <w:tcBorders>
              <w:top w:val="single" w:sz="4" w:space="0" w:color="auto"/>
              <w:bottom w:val="single" w:sz="4" w:space="0" w:color="auto"/>
            </w:tcBorders>
            <w:vAlign w:val="bottom"/>
          </w:tcPr>
          <w:p w14:paraId="643B2B0E"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CEF9D04"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F676FA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82F4177" w14:textId="77777777" w:rsidTr="00CC36C1">
        <w:trPr>
          <w:gridBefore w:val="1"/>
          <w:wBefore w:w="17" w:type="dxa"/>
        </w:trPr>
        <w:tc>
          <w:tcPr>
            <w:tcW w:w="7483" w:type="dxa"/>
            <w:gridSpan w:val="2"/>
          </w:tcPr>
          <w:p w14:paraId="4B519B3D" w14:textId="77777777"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30.</w:t>
            </w:r>
            <w:r w:rsidRPr="004005A4">
              <w:rPr>
                <w:rFonts w:cs="Calibri Light"/>
                <w:sz w:val="20"/>
                <w:szCs w:val="20"/>
              </w:rPr>
              <w:tab/>
            </w:r>
            <w:r w:rsidRPr="004005A4">
              <w:rPr>
                <w:rFonts w:cs="Calibri Light"/>
                <w:b/>
                <w:sz w:val="20"/>
                <w:szCs w:val="20"/>
              </w:rPr>
              <w:t>Other stockholders’ equity.</w:t>
            </w:r>
          </w:p>
        </w:tc>
        <w:tc>
          <w:tcPr>
            <w:tcW w:w="1209" w:type="dxa"/>
            <w:gridSpan w:val="2"/>
            <w:tcBorders>
              <w:top w:val="single" w:sz="6" w:space="0" w:color="auto"/>
            </w:tcBorders>
            <w:vAlign w:val="bottom"/>
          </w:tcPr>
          <w:p w14:paraId="14BD4EC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D84C79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29E8EF4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C52905B" w14:textId="77777777" w:rsidTr="00CC36C1">
        <w:trPr>
          <w:gridBefore w:val="1"/>
          <w:wBefore w:w="17" w:type="dxa"/>
        </w:trPr>
        <w:tc>
          <w:tcPr>
            <w:tcW w:w="7483" w:type="dxa"/>
            <w:gridSpan w:val="2"/>
          </w:tcPr>
          <w:p w14:paraId="77EF5C8D" w14:textId="77DA3536" w:rsidR="006F3A86" w:rsidRPr="004005A4" w:rsidRDefault="006F3A86" w:rsidP="006F3A86">
            <w:pPr>
              <w:pStyle w:val="levela"/>
              <w:tabs>
                <w:tab w:val="clear" w:pos="576"/>
              </w:tabs>
              <w:spacing w:before="120" w:after="120" w:line="240" w:lineRule="atLeast"/>
              <w:ind w:left="412" w:firstLine="0"/>
              <w:rPr>
                <w:rFonts w:cs="Calibri Light"/>
                <w:b/>
                <w:sz w:val="20"/>
                <w:szCs w:val="20"/>
              </w:rPr>
            </w:pPr>
            <w:r w:rsidRPr="004005A4">
              <w:rPr>
                <w:rFonts w:cs="Calibri Light"/>
                <w:sz w:val="20"/>
                <w:szCs w:val="20"/>
              </w:rPr>
              <w:t>Subordinated debt may not be shown as other stockholders’ equity or grouped under a caption representing the combination of stockholders’ equity and subordinated debt (SAB Topic 4-A).</w:t>
            </w:r>
          </w:p>
        </w:tc>
        <w:tc>
          <w:tcPr>
            <w:tcW w:w="1209" w:type="dxa"/>
            <w:gridSpan w:val="2"/>
            <w:tcBorders>
              <w:bottom w:val="single" w:sz="6" w:space="0" w:color="auto"/>
            </w:tcBorders>
            <w:vAlign w:val="bottom"/>
          </w:tcPr>
          <w:p w14:paraId="34BE83C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BD1911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01B8744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2EE75A8" w14:textId="77777777" w:rsidTr="00CC36C1">
        <w:trPr>
          <w:gridBefore w:val="1"/>
          <w:wBefore w:w="17" w:type="dxa"/>
        </w:trPr>
        <w:tc>
          <w:tcPr>
            <w:tcW w:w="7483" w:type="dxa"/>
            <w:gridSpan w:val="2"/>
          </w:tcPr>
          <w:p w14:paraId="2678B97F" w14:textId="09385946" w:rsidR="006F3A86" w:rsidRPr="004005A4" w:rsidRDefault="006F3A86" w:rsidP="006F3A86">
            <w:pPr>
              <w:pStyle w:val="levela"/>
              <w:tabs>
                <w:tab w:val="clear" w:pos="576"/>
              </w:tabs>
              <w:spacing w:before="120" w:after="120" w:line="240" w:lineRule="atLeast"/>
              <w:ind w:left="412" w:firstLine="0"/>
              <w:rPr>
                <w:rFonts w:cs="Calibri Light"/>
                <w:b/>
                <w:sz w:val="20"/>
                <w:szCs w:val="20"/>
              </w:rPr>
            </w:pPr>
            <w:r w:rsidRPr="004005A4">
              <w:rPr>
                <w:rFonts w:cs="Calibri Light"/>
                <w:sz w:val="20"/>
                <w:szCs w:val="20"/>
              </w:rPr>
              <w:t>Captions are shown for additional paid-in capital, other additional capital, and retained earnings (appropriated and unappropriated), and accumulated other comprehensive income.  Additional paid-in capital and other additional capital may be combined with the stock caption to which it applies.</w:t>
            </w:r>
          </w:p>
        </w:tc>
        <w:tc>
          <w:tcPr>
            <w:tcW w:w="1209" w:type="dxa"/>
            <w:gridSpan w:val="2"/>
            <w:tcBorders>
              <w:top w:val="single" w:sz="6" w:space="0" w:color="auto"/>
              <w:bottom w:val="single" w:sz="4" w:space="0" w:color="auto"/>
            </w:tcBorders>
            <w:vAlign w:val="bottom"/>
          </w:tcPr>
          <w:p w14:paraId="0070FDB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9C29214"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086AC40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8F03049" w14:textId="77777777" w:rsidTr="00CC36C1">
        <w:trPr>
          <w:gridBefore w:val="1"/>
          <w:wBefore w:w="17" w:type="dxa"/>
        </w:trPr>
        <w:tc>
          <w:tcPr>
            <w:tcW w:w="7483" w:type="dxa"/>
            <w:gridSpan w:val="2"/>
          </w:tcPr>
          <w:p w14:paraId="11245F99" w14:textId="6DAC3C48" w:rsidR="006F3A86" w:rsidRPr="004005A4" w:rsidRDefault="006F3A86" w:rsidP="006F3A86">
            <w:pPr>
              <w:pStyle w:val="levela"/>
              <w:tabs>
                <w:tab w:val="clear" w:pos="576"/>
              </w:tabs>
              <w:spacing w:before="120" w:after="120" w:line="240" w:lineRule="atLeast"/>
              <w:ind w:left="412" w:firstLine="0"/>
              <w:rPr>
                <w:rFonts w:cs="Calibri Light"/>
                <w:b/>
                <w:sz w:val="20"/>
                <w:szCs w:val="20"/>
              </w:rPr>
            </w:pPr>
            <w:r w:rsidRPr="004005A4">
              <w:rPr>
                <w:rFonts w:cs="Calibri Light"/>
                <w:sz w:val="20"/>
                <w:szCs w:val="20"/>
              </w:rPr>
              <w:t>For a period of at least 10 years after a quasi-reorganization, retained earnings must indicate the date of the reorganization, and for a period of at least 3 years, must indicate on the balance sheet the total amount of the deficit eliminated (FRR Section 210).  See discussion of quasi-reorganizations at SAB Topic 5-S.</w:t>
            </w:r>
          </w:p>
        </w:tc>
        <w:tc>
          <w:tcPr>
            <w:tcW w:w="1209" w:type="dxa"/>
            <w:gridSpan w:val="2"/>
            <w:tcBorders>
              <w:top w:val="single" w:sz="4" w:space="0" w:color="auto"/>
              <w:bottom w:val="single" w:sz="4" w:space="0" w:color="auto"/>
            </w:tcBorders>
            <w:vAlign w:val="bottom"/>
          </w:tcPr>
          <w:p w14:paraId="3B743D3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55CA0B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D8F2E4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3BC2A12" w14:textId="77777777" w:rsidTr="00CC36C1">
        <w:trPr>
          <w:gridBefore w:val="1"/>
          <w:wBefore w:w="17" w:type="dxa"/>
        </w:trPr>
        <w:tc>
          <w:tcPr>
            <w:tcW w:w="7483" w:type="dxa"/>
            <w:gridSpan w:val="2"/>
          </w:tcPr>
          <w:p w14:paraId="31796B83"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31.</w:t>
            </w:r>
            <w:r w:rsidRPr="004005A4">
              <w:rPr>
                <w:rFonts w:cs="Calibri Light"/>
                <w:b/>
                <w:sz w:val="20"/>
                <w:szCs w:val="20"/>
              </w:rPr>
              <w:tab/>
              <w:t xml:space="preserve">Noncontrolling interests in consolidated subsidiaries.  </w:t>
            </w:r>
            <w:r w:rsidRPr="004005A4">
              <w:rPr>
                <w:rFonts w:cs="Calibri Light"/>
                <w:sz w:val="20"/>
                <w:szCs w:val="20"/>
              </w:rPr>
              <w:t>If material, disclose in the notes the amounts represented by preferred stock and the applicable dividend requirements.</w:t>
            </w:r>
          </w:p>
        </w:tc>
        <w:tc>
          <w:tcPr>
            <w:tcW w:w="1209" w:type="dxa"/>
            <w:gridSpan w:val="2"/>
            <w:tcBorders>
              <w:top w:val="single" w:sz="4" w:space="0" w:color="auto"/>
              <w:bottom w:val="single" w:sz="6" w:space="0" w:color="auto"/>
            </w:tcBorders>
            <w:vAlign w:val="bottom"/>
          </w:tcPr>
          <w:p w14:paraId="1A1E585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92F834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4ECB2E4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F835145" w14:textId="77777777" w:rsidTr="00CC36C1">
        <w:trPr>
          <w:gridBefore w:val="1"/>
          <w:wBefore w:w="17" w:type="dxa"/>
        </w:trPr>
        <w:tc>
          <w:tcPr>
            <w:tcW w:w="7483" w:type="dxa"/>
            <w:gridSpan w:val="2"/>
          </w:tcPr>
          <w:p w14:paraId="44A6D62C" w14:textId="039177DE" w:rsidR="006F3A86" w:rsidRPr="004005A4" w:rsidRDefault="006F3A86" w:rsidP="006F3A86">
            <w:pPr>
              <w:pStyle w:val="levela"/>
              <w:tabs>
                <w:tab w:val="clear" w:pos="576"/>
              </w:tabs>
              <w:spacing w:before="120" w:after="120" w:line="240" w:lineRule="atLeast"/>
              <w:ind w:left="412" w:firstLine="0"/>
              <w:rPr>
                <w:rFonts w:cs="Calibri Light"/>
                <w:b/>
                <w:sz w:val="20"/>
                <w:szCs w:val="20"/>
              </w:rPr>
            </w:pPr>
            <w:r w:rsidRPr="004005A4">
              <w:rPr>
                <w:rFonts w:cs="Calibri Light"/>
                <w:b/>
                <w:sz w:val="20"/>
                <w:szCs w:val="20"/>
              </w:rPr>
              <w:t xml:space="preserve">Changes in other stockholders’ equity — </w:t>
            </w:r>
            <w:r w:rsidRPr="004005A4">
              <w:rPr>
                <w:rFonts w:cs="Calibri Light"/>
                <w:sz w:val="20"/>
                <w:szCs w:val="20"/>
              </w:rPr>
              <w:t>S-X Rule 3-04.</w:t>
            </w:r>
          </w:p>
        </w:tc>
        <w:tc>
          <w:tcPr>
            <w:tcW w:w="1209" w:type="dxa"/>
            <w:gridSpan w:val="2"/>
            <w:tcBorders>
              <w:top w:val="single" w:sz="4" w:space="0" w:color="auto"/>
              <w:bottom w:val="single" w:sz="6" w:space="0" w:color="auto"/>
            </w:tcBorders>
            <w:vAlign w:val="bottom"/>
          </w:tcPr>
          <w:p w14:paraId="4F73237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F2438A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7B9EA09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5F47AB9" w14:textId="77777777" w:rsidTr="00CC36C1">
        <w:trPr>
          <w:gridBefore w:val="1"/>
          <w:wBefore w:w="17" w:type="dxa"/>
        </w:trPr>
        <w:tc>
          <w:tcPr>
            <w:tcW w:w="7483" w:type="dxa"/>
            <w:gridSpan w:val="2"/>
          </w:tcPr>
          <w:p w14:paraId="3BD16F27" w14:textId="7EB02DBA" w:rsidR="006F3A86" w:rsidRPr="004005A4" w:rsidRDefault="006F3A86" w:rsidP="006F3A86">
            <w:pPr>
              <w:pStyle w:val="levela"/>
              <w:keepNext/>
              <w:spacing w:before="120" w:after="120" w:line="240" w:lineRule="atLeast"/>
              <w:rPr>
                <w:rFonts w:cs="Calibri Light"/>
                <w:b/>
                <w:sz w:val="20"/>
                <w:szCs w:val="20"/>
              </w:rPr>
            </w:pPr>
            <w:r w:rsidRPr="004005A4">
              <w:rPr>
                <w:rFonts w:cs="Calibri Light"/>
                <w:b/>
                <w:sz w:val="20"/>
                <w:szCs w:val="20"/>
              </w:rPr>
              <w:t>OTHER MATTERS:</w:t>
            </w:r>
          </w:p>
        </w:tc>
        <w:tc>
          <w:tcPr>
            <w:tcW w:w="1209" w:type="dxa"/>
            <w:gridSpan w:val="2"/>
            <w:tcBorders>
              <w:top w:val="single" w:sz="6" w:space="0" w:color="auto"/>
            </w:tcBorders>
            <w:vAlign w:val="bottom"/>
          </w:tcPr>
          <w:p w14:paraId="6CA1EFA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B73B44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40D712A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B848674" w14:textId="77777777" w:rsidTr="00CC36C1">
        <w:trPr>
          <w:gridBefore w:val="1"/>
          <w:wBefore w:w="17" w:type="dxa"/>
        </w:trPr>
        <w:tc>
          <w:tcPr>
            <w:tcW w:w="7483" w:type="dxa"/>
            <w:gridSpan w:val="2"/>
          </w:tcPr>
          <w:p w14:paraId="5F14D90E" w14:textId="47D72D9C" w:rsidR="006F3A86" w:rsidRPr="004005A4" w:rsidRDefault="006F3A86" w:rsidP="006F3A86">
            <w:pPr>
              <w:pStyle w:val="levela"/>
              <w:tabs>
                <w:tab w:val="clear" w:pos="576"/>
              </w:tabs>
              <w:spacing w:before="120" w:after="120" w:line="240" w:lineRule="atLeast"/>
              <w:ind w:left="412" w:firstLine="0"/>
              <w:rPr>
                <w:rFonts w:cs="Calibri Light"/>
                <w:b/>
                <w:sz w:val="20"/>
                <w:szCs w:val="20"/>
              </w:rPr>
            </w:pPr>
            <w:r w:rsidRPr="004005A4">
              <w:rPr>
                <w:rFonts w:cs="Calibri Light"/>
                <w:b/>
                <w:sz w:val="20"/>
                <w:szCs w:val="20"/>
              </w:rPr>
              <w:t xml:space="preserve">Stock distributions: dividends or split-ups.  </w:t>
            </w:r>
            <w:r w:rsidRPr="004005A4">
              <w:rPr>
                <w:rFonts w:cs="Calibri Light"/>
                <w:sz w:val="20"/>
                <w:szCs w:val="20"/>
              </w:rPr>
              <w:t>See FRR Section 214.  Also see SAB Topic 4-C, as to the practice followed by the SEC staff if a stock dividend, stock split, or reverse split occurs after the balance-sheet date.</w:t>
            </w:r>
          </w:p>
        </w:tc>
        <w:tc>
          <w:tcPr>
            <w:tcW w:w="1209" w:type="dxa"/>
            <w:gridSpan w:val="2"/>
            <w:vAlign w:val="bottom"/>
          </w:tcPr>
          <w:p w14:paraId="3DD7E3B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E4810C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4DB8F46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6757F78" w14:textId="77777777" w:rsidTr="00CC36C1">
        <w:trPr>
          <w:gridBefore w:val="1"/>
          <w:wBefore w:w="17" w:type="dxa"/>
        </w:trPr>
        <w:tc>
          <w:tcPr>
            <w:tcW w:w="7483" w:type="dxa"/>
            <w:gridSpan w:val="2"/>
          </w:tcPr>
          <w:p w14:paraId="36270016" w14:textId="24FD8906" w:rsidR="006F3A86" w:rsidRPr="004005A4" w:rsidRDefault="006F3A86" w:rsidP="006F3A86">
            <w:pPr>
              <w:pStyle w:val="levela"/>
              <w:tabs>
                <w:tab w:val="clear" w:pos="576"/>
              </w:tabs>
              <w:spacing w:before="120" w:after="120" w:line="240" w:lineRule="atLeast"/>
              <w:ind w:left="412" w:firstLine="0"/>
              <w:rPr>
                <w:rFonts w:cs="Calibri Light"/>
                <w:b/>
                <w:sz w:val="20"/>
                <w:szCs w:val="20"/>
              </w:rPr>
            </w:pPr>
            <w:r w:rsidRPr="004005A4">
              <w:rPr>
                <w:rFonts w:cs="Calibri Light"/>
                <w:b/>
                <w:sz w:val="20"/>
                <w:szCs w:val="20"/>
              </w:rPr>
              <w:lastRenderedPageBreak/>
              <w:t xml:space="preserve">Accumulated or undistributed earnings </w:t>
            </w:r>
            <w:r w:rsidRPr="004005A4">
              <w:rPr>
                <w:rFonts w:cs="Calibri Light"/>
                <w:sz w:val="20"/>
                <w:szCs w:val="20"/>
              </w:rPr>
              <w:t>in capital accounts of a proprietorship, partnership, or Subchapter S corporation are treated as paid-in capital when entity incorporates or terminates its election.  See SAB Topic 4-B.</w:t>
            </w:r>
          </w:p>
        </w:tc>
        <w:tc>
          <w:tcPr>
            <w:tcW w:w="1209" w:type="dxa"/>
            <w:gridSpan w:val="2"/>
            <w:tcBorders>
              <w:top w:val="single" w:sz="6" w:space="0" w:color="auto"/>
              <w:bottom w:val="single" w:sz="6" w:space="0" w:color="auto"/>
            </w:tcBorders>
            <w:vAlign w:val="bottom"/>
          </w:tcPr>
          <w:p w14:paraId="113B0DB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18997B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6" w:space="0" w:color="auto"/>
            </w:tcBorders>
            <w:vAlign w:val="bottom"/>
          </w:tcPr>
          <w:p w14:paraId="368D515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9601C6C" w14:textId="77777777" w:rsidTr="00CC36C1">
        <w:trPr>
          <w:gridBefore w:val="1"/>
          <w:wBefore w:w="17" w:type="dxa"/>
        </w:trPr>
        <w:tc>
          <w:tcPr>
            <w:tcW w:w="7483" w:type="dxa"/>
            <w:gridSpan w:val="2"/>
          </w:tcPr>
          <w:p w14:paraId="44A7FFC7" w14:textId="2D7E6C5E" w:rsidR="006F3A86" w:rsidRPr="004005A4" w:rsidRDefault="006F3A86" w:rsidP="006F3A86">
            <w:pPr>
              <w:pStyle w:val="levela"/>
              <w:tabs>
                <w:tab w:val="clear" w:pos="576"/>
              </w:tabs>
              <w:spacing w:before="120" w:after="120" w:line="240" w:lineRule="atLeast"/>
              <w:ind w:left="412" w:firstLine="0"/>
              <w:rPr>
                <w:rFonts w:cs="Calibri Light"/>
                <w:b/>
                <w:sz w:val="20"/>
                <w:szCs w:val="20"/>
              </w:rPr>
            </w:pPr>
            <w:r w:rsidRPr="004005A4">
              <w:rPr>
                <w:rFonts w:cs="Calibri Light"/>
                <w:b/>
                <w:sz w:val="20"/>
                <w:szCs w:val="20"/>
              </w:rPr>
              <w:t xml:space="preserve">Business or assets acquired in exchange for stock.  </w:t>
            </w:r>
            <w:r w:rsidRPr="004005A4">
              <w:rPr>
                <w:rFonts w:cs="Calibri Light"/>
                <w:sz w:val="20"/>
                <w:szCs w:val="20"/>
              </w:rPr>
              <w:t>If acquired from an affiliated person, such transactions are usually recorded at transferor’s cost.  See SAB Topic 5-G.</w:t>
            </w:r>
          </w:p>
        </w:tc>
        <w:tc>
          <w:tcPr>
            <w:tcW w:w="1209" w:type="dxa"/>
            <w:gridSpan w:val="2"/>
            <w:tcBorders>
              <w:top w:val="single" w:sz="6" w:space="0" w:color="auto"/>
              <w:bottom w:val="single" w:sz="4" w:space="0" w:color="auto"/>
            </w:tcBorders>
            <w:vAlign w:val="bottom"/>
          </w:tcPr>
          <w:p w14:paraId="7C0C3F52"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CE6184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223F81B7"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92ABEB2" w14:textId="77777777" w:rsidTr="00CC36C1">
        <w:trPr>
          <w:gridBefore w:val="1"/>
          <w:wBefore w:w="17" w:type="dxa"/>
        </w:trPr>
        <w:tc>
          <w:tcPr>
            <w:tcW w:w="7483" w:type="dxa"/>
            <w:gridSpan w:val="2"/>
          </w:tcPr>
          <w:p w14:paraId="772F5E5B" w14:textId="66102D09" w:rsidR="006F3A86" w:rsidRPr="004005A4" w:rsidRDefault="006F3A86" w:rsidP="006F3A86">
            <w:pPr>
              <w:pStyle w:val="levela"/>
              <w:tabs>
                <w:tab w:val="clear" w:pos="576"/>
              </w:tabs>
              <w:spacing w:before="120" w:after="120" w:line="240" w:lineRule="atLeast"/>
              <w:ind w:left="412" w:firstLine="0"/>
              <w:rPr>
                <w:rFonts w:cs="Calibri Light"/>
                <w:b/>
                <w:sz w:val="20"/>
                <w:szCs w:val="20"/>
              </w:rPr>
            </w:pPr>
            <w:r w:rsidRPr="004005A4">
              <w:rPr>
                <w:rFonts w:cs="Calibri Light"/>
                <w:b/>
                <w:sz w:val="20"/>
                <w:szCs w:val="20"/>
              </w:rPr>
              <w:t xml:space="preserve">Treatment of deferred compensation </w:t>
            </w:r>
            <w:r w:rsidRPr="004005A4">
              <w:rPr>
                <w:rFonts w:cs="Calibri Light"/>
                <w:sz w:val="20"/>
                <w:szCs w:val="20"/>
              </w:rPr>
              <w:t>arising from the sale of capital stock to officers or employees at prices below market.  See SAB Topic 4-E.</w:t>
            </w:r>
          </w:p>
        </w:tc>
        <w:tc>
          <w:tcPr>
            <w:tcW w:w="1209" w:type="dxa"/>
            <w:gridSpan w:val="2"/>
            <w:tcBorders>
              <w:top w:val="single" w:sz="4" w:space="0" w:color="auto"/>
              <w:bottom w:val="single" w:sz="4" w:space="0" w:color="auto"/>
            </w:tcBorders>
            <w:vAlign w:val="bottom"/>
          </w:tcPr>
          <w:p w14:paraId="6F43C47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5D4E95E"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409706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DB2D993" w14:textId="77777777" w:rsidTr="00CC36C1">
        <w:trPr>
          <w:gridBefore w:val="1"/>
          <w:wBefore w:w="17" w:type="dxa"/>
        </w:trPr>
        <w:tc>
          <w:tcPr>
            <w:tcW w:w="7483" w:type="dxa"/>
            <w:gridSpan w:val="2"/>
          </w:tcPr>
          <w:p w14:paraId="17E275E1" w14:textId="1A21B9C2"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32.</w:t>
            </w:r>
            <w:r w:rsidRPr="004005A4">
              <w:rPr>
                <w:rFonts w:cs="Calibri Light"/>
                <w:sz w:val="20"/>
                <w:szCs w:val="20"/>
              </w:rPr>
              <w:tab/>
            </w:r>
            <w:r w:rsidRPr="004005A4">
              <w:rPr>
                <w:rFonts w:cs="Calibri Light"/>
                <w:b/>
                <w:sz w:val="20"/>
                <w:szCs w:val="20"/>
              </w:rPr>
              <w:t>Total liabilities and equity</w:t>
            </w:r>
          </w:p>
        </w:tc>
        <w:tc>
          <w:tcPr>
            <w:tcW w:w="1209" w:type="dxa"/>
            <w:gridSpan w:val="2"/>
            <w:tcBorders>
              <w:top w:val="single" w:sz="4" w:space="0" w:color="auto"/>
              <w:bottom w:val="single" w:sz="6" w:space="0" w:color="auto"/>
            </w:tcBorders>
            <w:vAlign w:val="bottom"/>
          </w:tcPr>
          <w:p w14:paraId="65D0E99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A9E302E"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41AB24E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1295017" w14:textId="77777777" w:rsidTr="00CC36C1">
        <w:trPr>
          <w:gridBefore w:val="1"/>
          <w:wBefore w:w="17" w:type="dxa"/>
        </w:trPr>
        <w:tc>
          <w:tcPr>
            <w:tcW w:w="7483" w:type="dxa"/>
            <w:gridSpan w:val="2"/>
          </w:tcPr>
          <w:p w14:paraId="3151D6B0" w14:textId="7505DECF" w:rsidR="006F3A86" w:rsidRPr="004005A4" w:rsidRDefault="006F3A86" w:rsidP="006F3A86">
            <w:pPr>
              <w:pStyle w:val="levela"/>
              <w:spacing w:before="120" w:after="120" w:line="240" w:lineRule="atLeast"/>
              <w:rPr>
                <w:rFonts w:cs="Calibri Light"/>
                <w:b/>
                <w:sz w:val="20"/>
                <w:szCs w:val="20"/>
              </w:rPr>
            </w:pPr>
            <w:r w:rsidRPr="004005A4">
              <w:rPr>
                <w:rFonts w:cs="Calibri Light"/>
                <w:b/>
                <w:sz w:val="20"/>
                <w:szCs w:val="20"/>
              </w:rPr>
              <w:t xml:space="preserve">Rule 5-03 </w:t>
            </w:r>
            <w:r w:rsidRPr="004005A4">
              <w:rPr>
                <w:rFonts w:cs="Calibri Light"/>
                <w:sz w:val="20"/>
                <w:szCs w:val="20"/>
              </w:rPr>
              <w:t xml:space="preserve">— </w:t>
            </w:r>
            <w:r w:rsidRPr="004005A4">
              <w:rPr>
                <w:rFonts w:cs="Calibri Light"/>
                <w:b/>
                <w:sz w:val="20"/>
                <w:szCs w:val="20"/>
              </w:rPr>
              <w:t>Statements of comprehensive income</w:t>
            </w:r>
          </w:p>
        </w:tc>
        <w:tc>
          <w:tcPr>
            <w:tcW w:w="1209" w:type="dxa"/>
            <w:gridSpan w:val="2"/>
            <w:tcBorders>
              <w:top w:val="single" w:sz="6" w:space="0" w:color="auto"/>
            </w:tcBorders>
            <w:vAlign w:val="bottom"/>
          </w:tcPr>
          <w:p w14:paraId="2BA5E23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5E38437"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5453E29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F27FACD" w14:textId="77777777" w:rsidTr="00CC36C1">
        <w:trPr>
          <w:gridBefore w:val="1"/>
          <w:wBefore w:w="17" w:type="dxa"/>
        </w:trPr>
        <w:tc>
          <w:tcPr>
            <w:tcW w:w="7483" w:type="dxa"/>
            <w:gridSpan w:val="2"/>
          </w:tcPr>
          <w:p w14:paraId="18F25EE5" w14:textId="1F6E8003" w:rsidR="006F3A86" w:rsidRPr="004005A4" w:rsidRDefault="006F3A86" w:rsidP="006F3A86">
            <w:pPr>
              <w:pStyle w:val="levela"/>
              <w:tabs>
                <w:tab w:val="clear" w:pos="576"/>
              </w:tabs>
              <w:spacing w:before="120" w:after="120" w:line="240" w:lineRule="atLeast"/>
              <w:ind w:left="0" w:firstLine="0"/>
              <w:rPr>
                <w:rFonts w:cs="Calibri Light"/>
                <w:b/>
                <w:sz w:val="20"/>
                <w:szCs w:val="20"/>
              </w:rPr>
            </w:pPr>
            <w:r w:rsidRPr="004005A4">
              <w:rPr>
                <w:rFonts w:cs="Calibri Light"/>
                <w:sz w:val="20"/>
                <w:szCs w:val="20"/>
              </w:rPr>
              <w:t>Note</w:t>
            </w:r>
            <w:r w:rsidRPr="004005A4">
              <w:rPr>
                <w:rFonts w:cs="Calibri Light"/>
                <w:b/>
                <w:sz w:val="20"/>
                <w:szCs w:val="20"/>
              </w:rPr>
              <w:t xml:space="preserve">: Restructuring of operations.  </w:t>
            </w:r>
            <w:r w:rsidRPr="004005A4">
              <w:rPr>
                <w:rFonts w:cs="Calibri Light"/>
                <w:sz w:val="20"/>
                <w:szCs w:val="20"/>
              </w:rPr>
              <w:t>See SAB Topic 5-P and Topic 5-BB regarding classification of provisions for restructuring that include items such as sales of equipment and facilities, writedowns of assets, employer severance costs, relocation of facilities, and inventory valuation allowances; related ASC Subtopic 420-10 for costs associated with exit or disposal activities.  See also SAB Topic 5-CC and ASC Topics 350 and 360, as applicable, regarding impaired asset values and writedowns for loss of economic value.</w:t>
            </w:r>
          </w:p>
        </w:tc>
        <w:tc>
          <w:tcPr>
            <w:tcW w:w="1209" w:type="dxa"/>
            <w:gridSpan w:val="2"/>
            <w:vAlign w:val="bottom"/>
          </w:tcPr>
          <w:p w14:paraId="252F372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F64BE33"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76E15FE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EEF755A" w14:textId="77777777" w:rsidTr="00CC36C1">
        <w:trPr>
          <w:gridBefore w:val="1"/>
          <w:wBefore w:w="17" w:type="dxa"/>
        </w:trPr>
        <w:tc>
          <w:tcPr>
            <w:tcW w:w="7483" w:type="dxa"/>
            <w:gridSpan w:val="2"/>
          </w:tcPr>
          <w:p w14:paraId="7BCD6FFF" w14:textId="77777777" w:rsidR="006F3A86" w:rsidRPr="004005A4" w:rsidRDefault="006F3A86" w:rsidP="006F3A86">
            <w:pPr>
              <w:pStyle w:val="levela"/>
              <w:tabs>
                <w:tab w:val="clear" w:pos="576"/>
              </w:tabs>
              <w:spacing w:before="120" w:after="120" w:line="240" w:lineRule="atLeast"/>
              <w:ind w:left="232" w:hanging="232"/>
              <w:rPr>
                <w:rFonts w:cs="Calibri Light"/>
                <w:b/>
                <w:sz w:val="20"/>
                <w:szCs w:val="20"/>
              </w:rPr>
            </w:pPr>
            <w:r w:rsidRPr="004005A4">
              <w:rPr>
                <w:rFonts w:cs="Calibri Light"/>
                <w:sz w:val="20"/>
                <w:szCs w:val="20"/>
              </w:rPr>
              <w:t>1.</w:t>
            </w:r>
            <w:r w:rsidRPr="004005A4">
              <w:rPr>
                <w:rFonts w:cs="Calibri Light"/>
                <w:sz w:val="20"/>
                <w:szCs w:val="20"/>
              </w:rPr>
              <w:tab/>
            </w:r>
            <w:r w:rsidRPr="004005A4">
              <w:rPr>
                <w:rFonts w:cs="Calibri Light"/>
                <w:b/>
                <w:sz w:val="20"/>
                <w:szCs w:val="20"/>
              </w:rPr>
              <w:t xml:space="preserve">Net sales and gross revenues.  </w:t>
            </w:r>
            <w:r w:rsidRPr="004005A4">
              <w:rPr>
                <w:rFonts w:cs="Calibri Light"/>
                <w:sz w:val="20"/>
                <w:szCs w:val="20"/>
              </w:rPr>
              <w:t>State separately (a) net sales of tangible products (gross sales less discounts, returns, and allowances); (b) operating revenues of public utilities or others; (c) income from rentals; (d) revenues from services; and (e) other revenues.</w:t>
            </w:r>
          </w:p>
        </w:tc>
        <w:tc>
          <w:tcPr>
            <w:tcW w:w="1209" w:type="dxa"/>
            <w:gridSpan w:val="2"/>
            <w:tcBorders>
              <w:top w:val="single" w:sz="4" w:space="0" w:color="auto"/>
              <w:bottom w:val="single" w:sz="6" w:space="0" w:color="auto"/>
            </w:tcBorders>
            <w:vAlign w:val="bottom"/>
          </w:tcPr>
          <w:p w14:paraId="134E8E90"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7BFE6C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2805508A"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EBE2DA3" w14:textId="77777777" w:rsidTr="00CC36C1">
        <w:trPr>
          <w:gridBefore w:val="1"/>
          <w:wBefore w:w="17" w:type="dxa"/>
        </w:trPr>
        <w:tc>
          <w:tcPr>
            <w:tcW w:w="7483" w:type="dxa"/>
            <w:gridSpan w:val="2"/>
          </w:tcPr>
          <w:p w14:paraId="7375F8E0" w14:textId="2947FCDA"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b/>
                <w:sz w:val="20"/>
                <w:szCs w:val="20"/>
              </w:rPr>
              <w:t xml:space="preserve">Sales of products must be separately disclosed from revenues from services if revenue of either caption exceeds 10% of total revenues.  </w:t>
            </w:r>
            <w:r w:rsidRPr="004005A4">
              <w:rPr>
                <w:rFonts w:cs="Calibri Light"/>
                <w:sz w:val="20"/>
                <w:szCs w:val="20"/>
              </w:rPr>
              <w:t>If income is received from more than one of the above subcaptions, each class that is not more than 10% of the sum of the items may be combined with another class.  If items are combined, related costs and expenses (Rule 5-03.2 — Costs and Expenses Applicable to Sales and Revenues) must be combined</w:t>
            </w:r>
            <w:r>
              <w:rPr>
                <w:rFonts w:cs="Calibri Light"/>
                <w:sz w:val="20"/>
                <w:szCs w:val="20"/>
              </w:rPr>
              <w:t xml:space="preserve"> in the same manner</w:t>
            </w:r>
            <w:r w:rsidRPr="004005A4">
              <w:rPr>
                <w:rFonts w:cs="Calibri Light"/>
                <w:sz w:val="20"/>
                <w:szCs w:val="20"/>
              </w:rPr>
              <w:t>.</w:t>
            </w:r>
          </w:p>
        </w:tc>
        <w:tc>
          <w:tcPr>
            <w:tcW w:w="1209" w:type="dxa"/>
            <w:gridSpan w:val="2"/>
            <w:tcBorders>
              <w:top w:val="single" w:sz="6" w:space="0" w:color="auto"/>
              <w:bottom w:val="single" w:sz="4" w:space="0" w:color="auto"/>
            </w:tcBorders>
            <w:vAlign w:val="bottom"/>
          </w:tcPr>
          <w:p w14:paraId="0FD99AE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A17FDD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7572C36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807DE6C" w14:textId="77777777" w:rsidTr="00CC36C1">
        <w:trPr>
          <w:gridBefore w:val="1"/>
          <w:wBefore w:w="17" w:type="dxa"/>
        </w:trPr>
        <w:tc>
          <w:tcPr>
            <w:tcW w:w="7483" w:type="dxa"/>
            <w:gridSpan w:val="2"/>
          </w:tcPr>
          <w:p w14:paraId="70E9B87A" w14:textId="1E14860F"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sz w:val="20"/>
                <w:szCs w:val="20"/>
              </w:rPr>
              <w:t>Amounts earned from related-party transactions are to be disclosed according to Rule 4-08(k).</w:t>
            </w:r>
          </w:p>
        </w:tc>
        <w:tc>
          <w:tcPr>
            <w:tcW w:w="1209" w:type="dxa"/>
            <w:gridSpan w:val="2"/>
            <w:tcBorders>
              <w:top w:val="single" w:sz="4" w:space="0" w:color="auto"/>
            </w:tcBorders>
            <w:vAlign w:val="bottom"/>
          </w:tcPr>
          <w:p w14:paraId="5157209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68A663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6806DF9"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BF36AA5" w14:textId="77777777" w:rsidTr="00CC36C1">
        <w:trPr>
          <w:gridBefore w:val="1"/>
          <w:wBefore w:w="17" w:type="dxa"/>
        </w:trPr>
        <w:tc>
          <w:tcPr>
            <w:tcW w:w="7483" w:type="dxa"/>
            <w:gridSpan w:val="2"/>
          </w:tcPr>
          <w:p w14:paraId="00EC9D78" w14:textId="4204CAEB"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sz w:val="20"/>
                <w:szCs w:val="20"/>
              </w:rPr>
              <w:t xml:space="preserve">A public utility company using a uniform system of accounts or a form for annual report prescribed by federal or state authorities, or a similar system or report, is to follow the general segregation of operating revenues and expenses </w:t>
            </w:r>
            <w:r>
              <w:rPr>
                <w:rFonts w:cs="Calibri Light"/>
                <w:sz w:val="20"/>
                <w:szCs w:val="20"/>
              </w:rPr>
              <w:t xml:space="preserve">reported under Rule 5-03.2 </w:t>
            </w:r>
            <w:r w:rsidRPr="004005A4">
              <w:rPr>
                <w:rFonts w:cs="Calibri Light"/>
                <w:sz w:val="20"/>
                <w:szCs w:val="20"/>
              </w:rPr>
              <w:t>prescribed by such system or report.</w:t>
            </w:r>
          </w:p>
        </w:tc>
        <w:tc>
          <w:tcPr>
            <w:tcW w:w="1209" w:type="dxa"/>
            <w:gridSpan w:val="2"/>
            <w:tcBorders>
              <w:top w:val="single" w:sz="4" w:space="0" w:color="auto"/>
              <w:bottom w:val="single" w:sz="4" w:space="0" w:color="auto"/>
            </w:tcBorders>
            <w:vAlign w:val="bottom"/>
          </w:tcPr>
          <w:p w14:paraId="1061BBF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074D57E"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D2EEAD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E3108A1" w14:textId="77777777" w:rsidTr="00CC36C1">
        <w:trPr>
          <w:gridBefore w:val="1"/>
          <w:wBefore w:w="17" w:type="dxa"/>
        </w:trPr>
        <w:tc>
          <w:tcPr>
            <w:tcW w:w="7483" w:type="dxa"/>
            <w:gridSpan w:val="2"/>
          </w:tcPr>
          <w:p w14:paraId="044F10D7" w14:textId="19986065"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sz w:val="20"/>
                <w:szCs w:val="20"/>
              </w:rPr>
              <w:t xml:space="preserve">If the total of sales and revenues includes excise taxes </w:t>
            </w:r>
            <w:r>
              <w:rPr>
                <w:rFonts w:cs="Calibri Light"/>
                <w:sz w:val="20"/>
                <w:szCs w:val="20"/>
              </w:rPr>
              <w:t xml:space="preserve">of </w:t>
            </w:r>
            <w:r w:rsidRPr="004005A4">
              <w:rPr>
                <w:rFonts w:cs="Calibri Light"/>
                <w:sz w:val="20"/>
                <w:szCs w:val="20"/>
              </w:rPr>
              <w:t xml:space="preserve">1% or more of the total, </w:t>
            </w:r>
            <w:r>
              <w:rPr>
                <w:rFonts w:cs="Calibri Light"/>
                <w:sz w:val="20"/>
                <w:szCs w:val="20"/>
              </w:rPr>
              <w:t xml:space="preserve">the </w:t>
            </w:r>
            <w:r w:rsidRPr="004005A4">
              <w:rPr>
                <w:rFonts w:cs="Calibri Light"/>
                <w:sz w:val="20"/>
                <w:szCs w:val="20"/>
              </w:rPr>
              <w:t>excise taxes must be shown separately</w:t>
            </w:r>
            <w:r>
              <w:rPr>
                <w:rFonts w:cs="Calibri Light"/>
                <w:sz w:val="20"/>
                <w:szCs w:val="20"/>
              </w:rPr>
              <w:t xml:space="preserve"> on the face of</w:t>
            </w:r>
            <w:r w:rsidRPr="004005A4">
              <w:rPr>
                <w:rFonts w:cs="Calibri Light"/>
                <w:sz w:val="20"/>
                <w:szCs w:val="20"/>
              </w:rPr>
              <w:t xml:space="preserve"> the statements of comprehensive income.</w:t>
            </w:r>
          </w:p>
        </w:tc>
        <w:tc>
          <w:tcPr>
            <w:tcW w:w="1209" w:type="dxa"/>
            <w:gridSpan w:val="2"/>
            <w:tcBorders>
              <w:top w:val="single" w:sz="4" w:space="0" w:color="auto"/>
              <w:bottom w:val="single" w:sz="4" w:space="0" w:color="auto"/>
            </w:tcBorders>
            <w:vAlign w:val="bottom"/>
          </w:tcPr>
          <w:p w14:paraId="6845B3D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512021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EE83B20"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7B86954" w14:textId="77777777" w:rsidTr="00CC36C1">
        <w:trPr>
          <w:gridBefore w:val="1"/>
          <w:wBefore w:w="17" w:type="dxa"/>
        </w:trPr>
        <w:tc>
          <w:tcPr>
            <w:tcW w:w="7483" w:type="dxa"/>
            <w:gridSpan w:val="2"/>
          </w:tcPr>
          <w:p w14:paraId="7E431F75" w14:textId="704CDEFE"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sz w:val="20"/>
                <w:szCs w:val="20"/>
              </w:rPr>
              <w:lastRenderedPageBreak/>
              <w:t>See SAB Topic 8-A for the treatment by retailers of the sales of leased or licensed departments.</w:t>
            </w:r>
          </w:p>
        </w:tc>
        <w:tc>
          <w:tcPr>
            <w:tcW w:w="1209" w:type="dxa"/>
            <w:gridSpan w:val="2"/>
            <w:vAlign w:val="bottom"/>
          </w:tcPr>
          <w:p w14:paraId="701ADA5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136375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27F6877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7AC9DB4" w14:textId="77777777" w:rsidTr="00CC36C1">
        <w:trPr>
          <w:gridBefore w:val="1"/>
          <w:wBefore w:w="17" w:type="dxa"/>
        </w:trPr>
        <w:tc>
          <w:tcPr>
            <w:tcW w:w="7483" w:type="dxa"/>
            <w:gridSpan w:val="2"/>
          </w:tcPr>
          <w:p w14:paraId="38AD87B8" w14:textId="5013A6F7"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sz w:val="20"/>
                <w:szCs w:val="20"/>
              </w:rPr>
              <w:t>See SAB Topic 8-B for the disclosure of service charges on credit sales by retailers.</w:t>
            </w:r>
          </w:p>
        </w:tc>
        <w:tc>
          <w:tcPr>
            <w:tcW w:w="1209" w:type="dxa"/>
            <w:gridSpan w:val="2"/>
            <w:vAlign w:val="bottom"/>
          </w:tcPr>
          <w:p w14:paraId="743C6D44"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D38B839"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1400398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A88ABE4" w14:textId="77777777" w:rsidTr="00CC36C1">
        <w:trPr>
          <w:gridBefore w:val="1"/>
          <w:wBefore w:w="17" w:type="dxa"/>
        </w:trPr>
        <w:tc>
          <w:tcPr>
            <w:tcW w:w="7483" w:type="dxa"/>
            <w:gridSpan w:val="2"/>
          </w:tcPr>
          <w:p w14:paraId="642AE72B" w14:textId="1CF932C4"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sz w:val="20"/>
                <w:szCs w:val="20"/>
              </w:rPr>
              <w:t>See SAB Topic 11-L regarding income statement presentation by casinos with hotel and restaurant operations.</w:t>
            </w:r>
          </w:p>
        </w:tc>
        <w:tc>
          <w:tcPr>
            <w:tcW w:w="1209" w:type="dxa"/>
            <w:gridSpan w:val="2"/>
            <w:vAlign w:val="bottom"/>
          </w:tcPr>
          <w:p w14:paraId="5CF34239"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B406A3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71385E5B"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A5FE013" w14:textId="77777777" w:rsidTr="00CC36C1">
        <w:trPr>
          <w:gridBefore w:val="1"/>
          <w:wBefore w:w="17" w:type="dxa"/>
        </w:trPr>
        <w:tc>
          <w:tcPr>
            <w:tcW w:w="7483" w:type="dxa"/>
            <w:gridSpan w:val="2"/>
          </w:tcPr>
          <w:p w14:paraId="083713C9" w14:textId="77777777"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2.</w:t>
            </w:r>
            <w:r w:rsidRPr="004005A4">
              <w:rPr>
                <w:rFonts w:cs="Calibri Light"/>
                <w:sz w:val="20"/>
                <w:szCs w:val="20"/>
              </w:rPr>
              <w:tab/>
            </w:r>
            <w:r w:rsidRPr="004005A4">
              <w:rPr>
                <w:rFonts w:cs="Calibri Light"/>
                <w:b/>
                <w:sz w:val="20"/>
                <w:szCs w:val="20"/>
              </w:rPr>
              <w:t xml:space="preserve">Costs and expenses applicable to sales and revenues.  </w:t>
            </w:r>
            <w:r w:rsidRPr="004005A4">
              <w:rPr>
                <w:rFonts w:cs="Calibri Light"/>
                <w:sz w:val="20"/>
                <w:szCs w:val="20"/>
              </w:rPr>
              <w:t xml:space="preserve">State separately the amount of (a) cost of tangible goods sold; (b) operating expenses of public utilities or others; (c) expenses applicable to rental income; (d) cost of services; and (e) expenses applicable to other revenues.  Merchandising organizations, both wholesale and retail, may include occupancy and buying costs under cost of tangible goods sold.  </w:t>
            </w:r>
          </w:p>
        </w:tc>
        <w:tc>
          <w:tcPr>
            <w:tcW w:w="1209" w:type="dxa"/>
            <w:gridSpan w:val="2"/>
            <w:tcBorders>
              <w:bottom w:val="single" w:sz="6" w:space="0" w:color="auto"/>
            </w:tcBorders>
            <w:vAlign w:val="bottom"/>
          </w:tcPr>
          <w:p w14:paraId="43FEC43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FBA1C5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41DD1AF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7CBF263" w14:textId="77777777" w:rsidTr="00CC36C1">
        <w:trPr>
          <w:gridBefore w:val="1"/>
          <w:wBefore w:w="17" w:type="dxa"/>
        </w:trPr>
        <w:tc>
          <w:tcPr>
            <w:tcW w:w="7483" w:type="dxa"/>
            <w:gridSpan w:val="2"/>
          </w:tcPr>
          <w:p w14:paraId="2B242626" w14:textId="56138FAF" w:rsidR="006F3A86" w:rsidRPr="004005A4" w:rsidRDefault="006F3A86" w:rsidP="006F3A86">
            <w:pPr>
              <w:pStyle w:val="levela"/>
              <w:tabs>
                <w:tab w:val="clear" w:pos="576"/>
              </w:tabs>
              <w:spacing w:before="120" w:after="120" w:line="240" w:lineRule="atLeast"/>
              <w:ind w:left="230" w:firstLine="0"/>
              <w:rPr>
                <w:rFonts w:cs="Calibri Light"/>
                <w:sz w:val="20"/>
                <w:szCs w:val="20"/>
              </w:rPr>
            </w:pPr>
            <w:r w:rsidRPr="004005A4">
              <w:rPr>
                <w:rFonts w:cs="Calibri Light"/>
                <w:sz w:val="20"/>
                <w:szCs w:val="20"/>
              </w:rPr>
              <w:t>Amounts of costs and expenses incurred from transactions with related parties should be disclosed according to Rule 4-08(k).</w:t>
            </w:r>
          </w:p>
        </w:tc>
        <w:tc>
          <w:tcPr>
            <w:tcW w:w="1209" w:type="dxa"/>
            <w:gridSpan w:val="2"/>
            <w:tcBorders>
              <w:top w:val="single" w:sz="6" w:space="0" w:color="auto"/>
            </w:tcBorders>
            <w:vAlign w:val="bottom"/>
          </w:tcPr>
          <w:p w14:paraId="24D85334"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9FCABB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0D552DD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BE62A95" w14:textId="77777777" w:rsidTr="00CC36C1">
        <w:trPr>
          <w:gridBefore w:val="1"/>
          <w:wBefore w:w="17" w:type="dxa"/>
        </w:trPr>
        <w:tc>
          <w:tcPr>
            <w:tcW w:w="7483" w:type="dxa"/>
            <w:gridSpan w:val="2"/>
          </w:tcPr>
          <w:p w14:paraId="061E87AD" w14:textId="57128474" w:rsidR="006F3A86" w:rsidRPr="004005A4" w:rsidRDefault="006F3A86" w:rsidP="006F3A86">
            <w:pPr>
              <w:pStyle w:val="levela"/>
              <w:tabs>
                <w:tab w:val="clear" w:pos="576"/>
              </w:tabs>
              <w:spacing w:before="120" w:after="120" w:line="240" w:lineRule="atLeast"/>
              <w:ind w:left="230" w:firstLine="0"/>
              <w:rPr>
                <w:rFonts w:cs="Calibri Light"/>
                <w:sz w:val="20"/>
                <w:szCs w:val="20"/>
              </w:rPr>
            </w:pPr>
            <w:r w:rsidRPr="004005A4">
              <w:rPr>
                <w:rFonts w:cs="Calibri Light"/>
                <w:sz w:val="20"/>
                <w:szCs w:val="20"/>
              </w:rPr>
              <w:t xml:space="preserve">See SAB Topic 11-B for the disclosure if depreciation, depletion, and amortization are excluded from cost of sales. </w:t>
            </w:r>
          </w:p>
        </w:tc>
        <w:tc>
          <w:tcPr>
            <w:tcW w:w="1209" w:type="dxa"/>
            <w:gridSpan w:val="2"/>
            <w:tcBorders>
              <w:top w:val="single" w:sz="4" w:space="0" w:color="auto"/>
            </w:tcBorders>
            <w:vAlign w:val="bottom"/>
          </w:tcPr>
          <w:p w14:paraId="5C47A4CE"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38A4C13"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B955B8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4F47336" w14:textId="77777777" w:rsidTr="00CC36C1">
        <w:trPr>
          <w:gridBefore w:val="1"/>
          <w:wBefore w:w="17" w:type="dxa"/>
        </w:trPr>
        <w:tc>
          <w:tcPr>
            <w:tcW w:w="7483" w:type="dxa"/>
            <w:gridSpan w:val="2"/>
          </w:tcPr>
          <w:p w14:paraId="67FC615B" w14:textId="77777777"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3.</w:t>
            </w:r>
            <w:r w:rsidRPr="004005A4">
              <w:rPr>
                <w:rFonts w:cs="Calibri Light"/>
                <w:sz w:val="20"/>
                <w:szCs w:val="20"/>
              </w:rPr>
              <w:tab/>
            </w:r>
            <w:r w:rsidRPr="004005A4">
              <w:rPr>
                <w:rFonts w:cs="Calibri Light"/>
                <w:b/>
                <w:sz w:val="20"/>
                <w:szCs w:val="20"/>
              </w:rPr>
              <w:t xml:space="preserve">Other operating costs and expenses.  </w:t>
            </w:r>
            <w:r w:rsidRPr="004005A4">
              <w:rPr>
                <w:rFonts w:cs="Calibri Light"/>
                <w:sz w:val="20"/>
                <w:szCs w:val="20"/>
              </w:rPr>
              <w:t>State material amounts not included under Rule 5-03.2 above.</w:t>
            </w:r>
          </w:p>
        </w:tc>
        <w:tc>
          <w:tcPr>
            <w:tcW w:w="1209" w:type="dxa"/>
            <w:gridSpan w:val="2"/>
            <w:tcBorders>
              <w:bottom w:val="single" w:sz="4" w:space="0" w:color="auto"/>
            </w:tcBorders>
            <w:vAlign w:val="bottom"/>
          </w:tcPr>
          <w:p w14:paraId="582FC7FC"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3C17E5EA"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7BDC13E7"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4A733B7" w14:textId="77777777" w:rsidTr="00CC36C1">
        <w:trPr>
          <w:gridBefore w:val="1"/>
          <w:wBefore w:w="17" w:type="dxa"/>
        </w:trPr>
        <w:tc>
          <w:tcPr>
            <w:tcW w:w="7483" w:type="dxa"/>
            <w:gridSpan w:val="2"/>
          </w:tcPr>
          <w:p w14:paraId="70F4C6D7" w14:textId="7BF50357" w:rsidR="006F3A86" w:rsidRPr="004005A4" w:rsidRDefault="006F3A86" w:rsidP="006F3A86">
            <w:pPr>
              <w:pStyle w:val="levela"/>
              <w:tabs>
                <w:tab w:val="clear" w:pos="576"/>
              </w:tabs>
              <w:spacing w:before="120" w:after="120" w:line="240" w:lineRule="atLeast"/>
              <w:ind w:left="230" w:firstLine="0"/>
              <w:rPr>
                <w:rFonts w:cs="Calibri Light"/>
                <w:sz w:val="20"/>
                <w:szCs w:val="20"/>
              </w:rPr>
            </w:pPr>
            <w:r w:rsidRPr="004005A4">
              <w:rPr>
                <w:rFonts w:cs="Calibri Light"/>
                <w:sz w:val="20"/>
                <w:szCs w:val="20"/>
              </w:rPr>
              <w:t>See SAB Topic 11-B for the disclosure if depreciation, depletion, and amortization are excluded from operating expenses.</w:t>
            </w:r>
          </w:p>
        </w:tc>
        <w:tc>
          <w:tcPr>
            <w:tcW w:w="1209" w:type="dxa"/>
            <w:gridSpan w:val="2"/>
            <w:tcBorders>
              <w:top w:val="single" w:sz="4" w:space="0" w:color="auto"/>
            </w:tcBorders>
            <w:vAlign w:val="bottom"/>
          </w:tcPr>
          <w:p w14:paraId="797D1958"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F422CE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8C124A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AF93307" w14:textId="77777777" w:rsidTr="00CC36C1">
        <w:trPr>
          <w:gridBefore w:val="1"/>
          <w:wBefore w:w="17" w:type="dxa"/>
        </w:trPr>
        <w:tc>
          <w:tcPr>
            <w:tcW w:w="7483" w:type="dxa"/>
            <w:gridSpan w:val="2"/>
          </w:tcPr>
          <w:p w14:paraId="7D77DDA7" w14:textId="77777777"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4.</w:t>
            </w:r>
            <w:r w:rsidRPr="004005A4">
              <w:rPr>
                <w:rFonts w:cs="Calibri Light"/>
                <w:sz w:val="20"/>
                <w:szCs w:val="20"/>
              </w:rPr>
              <w:tab/>
            </w:r>
            <w:r w:rsidRPr="004005A4">
              <w:rPr>
                <w:rFonts w:cs="Calibri Light"/>
                <w:b/>
                <w:sz w:val="20"/>
                <w:szCs w:val="20"/>
              </w:rPr>
              <w:t>Selling, general, and administrative expenses.</w:t>
            </w:r>
          </w:p>
        </w:tc>
        <w:tc>
          <w:tcPr>
            <w:tcW w:w="1209" w:type="dxa"/>
            <w:gridSpan w:val="2"/>
            <w:tcBorders>
              <w:bottom w:val="single" w:sz="6" w:space="0" w:color="auto"/>
            </w:tcBorders>
            <w:vAlign w:val="bottom"/>
          </w:tcPr>
          <w:p w14:paraId="7A7F3844"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D9E786B"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437E9A7B"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71272B6" w14:textId="77777777" w:rsidTr="00CC36C1">
        <w:trPr>
          <w:gridBefore w:val="1"/>
          <w:wBefore w:w="17" w:type="dxa"/>
        </w:trPr>
        <w:tc>
          <w:tcPr>
            <w:tcW w:w="7483" w:type="dxa"/>
            <w:gridSpan w:val="2"/>
          </w:tcPr>
          <w:p w14:paraId="75278548" w14:textId="77777777"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5.</w:t>
            </w:r>
            <w:r w:rsidRPr="004005A4">
              <w:rPr>
                <w:rFonts w:cs="Calibri Light"/>
                <w:sz w:val="20"/>
                <w:szCs w:val="20"/>
              </w:rPr>
              <w:tab/>
            </w:r>
            <w:r w:rsidRPr="004005A4">
              <w:rPr>
                <w:rFonts w:cs="Calibri Light"/>
                <w:b/>
                <w:sz w:val="20"/>
                <w:szCs w:val="20"/>
              </w:rPr>
              <w:t>Provision for doubtful accounts and notes.</w:t>
            </w:r>
          </w:p>
        </w:tc>
        <w:tc>
          <w:tcPr>
            <w:tcW w:w="1209" w:type="dxa"/>
            <w:gridSpan w:val="2"/>
            <w:tcBorders>
              <w:top w:val="single" w:sz="6" w:space="0" w:color="auto"/>
              <w:bottom w:val="single" w:sz="4" w:space="0" w:color="auto"/>
            </w:tcBorders>
            <w:vAlign w:val="bottom"/>
          </w:tcPr>
          <w:p w14:paraId="0831112C"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D6C7BC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25D492DA"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4B431B5" w14:textId="77777777" w:rsidTr="00CC36C1">
        <w:trPr>
          <w:gridBefore w:val="1"/>
          <w:wBefore w:w="17" w:type="dxa"/>
        </w:trPr>
        <w:tc>
          <w:tcPr>
            <w:tcW w:w="7483" w:type="dxa"/>
            <w:gridSpan w:val="2"/>
          </w:tcPr>
          <w:p w14:paraId="49C78ED4" w14:textId="77777777"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6.</w:t>
            </w:r>
            <w:r w:rsidRPr="004005A4">
              <w:rPr>
                <w:rFonts w:cs="Calibri Light"/>
                <w:sz w:val="20"/>
                <w:szCs w:val="20"/>
              </w:rPr>
              <w:tab/>
            </w:r>
            <w:r w:rsidRPr="004005A4">
              <w:rPr>
                <w:rFonts w:cs="Calibri Light"/>
                <w:b/>
                <w:sz w:val="20"/>
                <w:szCs w:val="20"/>
              </w:rPr>
              <w:t xml:space="preserve">Other general expenses.  </w:t>
            </w:r>
            <w:r w:rsidRPr="004005A4">
              <w:rPr>
                <w:rFonts w:cs="Calibri Light"/>
                <w:sz w:val="20"/>
                <w:szCs w:val="20"/>
              </w:rPr>
              <w:t>Include items not normally included in Rule 5-03.4 above.  State separately any material items.</w:t>
            </w:r>
          </w:p>
        </w:tc>
        <w:tc>
          <w:tcPr>
            <w:tcW w:w="1209" w:type="dxa"/>
            <w:gridSpan w:val="2"/>
            <w:tcBorders>
              <w:top w:val="single" w:sz="4" w:space="0" w:color="auto"/>
              <w:bottom w:val="single" w:sz="4" w:space="0" w:color="auto"/>
            </w:tcBorders>
            <w:vAlign w:val="bottom"/>
          </w:tcPr>
          <w:p w14:paraId="07BF254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B05A22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229B291"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B8C1435" w14:textId="77777777" w:rsidTr="00CC36C1">
        <w:trPr>
          <w:gridBefore w:val="1"/>
          <w:wBefore w:w="17" w:type="dxa"/>
        </w:trPr>
        <w:tc>
          <w:tcPr>
            <w:tcW w:w="7483" w:type="dxa"/>
            <w:gridSpan w:val="2"/>
          </w:tcPr>
          <w:p w14:paraId="0FE395BE" w14:textId="018E1F17"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sz w:val="20"/>
                <w:szCs w:val="20"/>
              </w:rPr>
              <w:t>SAB Topic 5-B addresses accounting for gains and losses from disposition of equipment.</w:t>
            </w:r>
          </w:p>
        </w:tc>
        <w:tc>
          <w:tcPr>
            <w:tcW w:w="1209" w:type="dxa"/>
            <w:gridSpan w:val="2"/>
            <w:tcBorders>
              <w:top w:val="single" w:sz="4" w:space="0" w:color="auto"/>
            </w:tcBorders>
            <w:vAlign w:val="bottom"/>
          </w:tcPr>
          <w:p w14:paraId="28F45B36"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15C018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1B2985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17FF554" w14:textId="77777777" w:rsidTr="00CC36C1">
        <w:trPr>
          <w:gridBefore w:val="1"/>
          <w:wBefore w:w="17" w:type="dxa"/>
        </w:trPr>
        <w:tc>
          <w:tcPr>
            <w:tcW w:w="7483" w:type="dxa"/>
            <w:gridSpan w:val="2"/>
          </w:tcPr>
          <w:p w14:paraId="07F008BB" w14:textId="41596C12"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sz w:val="20"/>
                <w:szCs w:val="20"/>
              </w:rPr>
              <w:t>SAB Topic 13-A, footnote 68, addresses income statement classification for gains or losses recognized from the sale or disposition of operating assets.  In short, the SAB requires such gains and losses (including from the sale of a business not qualifying as a discontinued operation) to be reported as “other general expenses,” within operating expenses, pursuant to Regulation S-X, Rule 5-03</w:t>
            </w:r>
            <w:r>
              <w:rPr>
                <w:rFonts w:cs="Calibri Light"/>
                <w:sz w:val="20"/>
                <w:szCs w:val="20"/>
              </w:rPr>
              <w:t>(</w:t>
            </w:r>
            <w:r w:rsidRPr="004005A4">
              <w:rPr>
                <w:rFonts w:cs="Calibri Light"/>
                <w:sz w:val="20"/>
                <w:szCs w:val="20"/>
              </w:rPr>
              <w:t>6).</w:t>
            </w:r>
          </w:p>
        </w:tc>
        <w:tc>
          <w:tcPr>
            <w:tcW w:w="1209" w:type="dxa"/>
            <w:gridSpan w:val="2"/>
            <w:vAlign w:val="bottom"/>
          </w:tcPr>
          <w:p w14:paraId="1E8B9F6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D6E6E4E"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408AA24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78D28BB" w14:textId="77777777" w:rsidTr="00CC36C1">
        <w:trPr>
          <w:gridBefore w:val="1"/>
          <w:wBefore w:w="17" w:type="dxa"/>
        </w:trPr>
        <w:tc>
          <w:tcPr>
            <w:tcW w:w="7483" w:type="dxa"/>
            <w:gridSpan w:val="2"/>
          </w:tcPr>
          <w:p w14:paraId="44F35D33" w14:textId="2DC20010" w:rsidR="006F3A86" w:rsidRPr="004005A4" w:rsidRDefault="006F3A86" w:rsidP="006F3A86">
            <w:pPr>
              <w:pStyle w:val="levela"/>
              <w:tabs>
                <w:tab w:val="clear" w:pos="576"/>
              </w:tabs>
              <w:spacing w:before="120" w:after="120" w:line="240" w:lineRule="atLeast"/>
              <w:ind w:left="230" w:firstLine="0"/>
              <w:rPr>
                <w:rFonts w:cs="Calibri Light"/>
                <w:sz w:val="20"/>
                <w:szCs w:val="20"/>
              </w:rPr>
            </w:pPr>
            <w:bookmarkStart w:id="27" w:name="OLE_LINK3"/>
            <w:bookmarkStart w:id="28" w:name="OLE_LINK4"/>
            <w:r w:rsidRPr="004005A4">
              <w:rPr>
                <w:rFonts w:cs="Calibri Light"/>
                <w:sz w:val="20"/>
                <w:szCs w:val="20"/>
              </w:rPr>
              <w:t>SAB Topic 14 (SAB 107</w:t>
            </w:r>
            <w:r>
              <w:rPr>
                <w:rFonts w:cs="Calibri Light"/>
                <w:sz w:val="20"/>
                <w:szCs w:val="20"/>
              </w:rPr>
              <w:t>, SAB 110 and SAB 120</w:t>
            </w:r>
            <w:r w:rsidRPr="004005A4">
              <w:rPr>
                <w:rFonts w:cs="Calibri Light"/>
                <w:sz w:val="20"/>
                <w:szCs w:val="20"/>
              </w:rPr>
              <w:t>) addresses accounting for share-based payment.</w:t>
            </w:r>
            <w:bookmarkEnd w:id="27"/>
            <w:bookmarkEnd w:id="28"/>
          </w:p>
        </w:tc>
        <w:tc>
          <w:tcPr>
            <w:tcW w:w="1209" w:type="dxa"/>
            <w:gridSpan w:val="2"/>
            <w:tcBorders>
              <w:bottom w:val="single" w:sz="4" w:space="0" w:color="auto"/>
            </w:tcBorders>
            <w:vAlign w:val="bottom"/>
          </w:tcPr>
          <w:p w14:paraId="474B448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D9077BC"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1A4E43D6"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C7DDA3A" w14:textId="77777777" w:rsidTr="00CC36C1">
        <w:trPr>
          <w:gridBefore w:val="1"/>
          <w:wBefore w:w="17" w:type="dxa"/>
        </w:trPr>
        <w:tc>
          <w:tcPr>
            <w:tcW w:w="7483" w:type="dxa"/>
            <w:gridSpan w:val="2"/>
          </w:tcPr>
          <w:p w14:paraId="0D606C6C" w14:textId="42AA4054" w:rsidR="006F3A86" w:rsidRPr="004005A4" w:rsidRDefault="006F3A86" w:rsidP="006F3A86">
            <w:pPr>
              <w:pStyle w:val="levela"/>
              <w:tabs>
                <w:tab w:val="clear" w:pos="576"/>
              </w:tabs>
              <w:spacing w:before="120" w:after="120" w:line="240" w:lineRule="atLeast"/>
              <w:ind w:left="232" w:hanging="232"/>
              <w:rPr>
                <w:rFonts w:cs="Calibri Light"/>
                <w:sz w:val="20"/>
                <w:szCs w:val="20"/>
              </w:rPr>
            </w:pPr>
            <w:r w:rsidRPr="004005A4">
              <w:rPr>
                <w:rFonts w:cs="Calibri Light"/>
                <w:sz w:val="20"/>
                <w:szCs w:val="20"/>
              </w:rPr>
              <w:t>7.</w:t>
            </w:r>
            <w:r w:rsidRPr="004005A4">
              <w:rPr>
                <w:rFonts w:cs="Calibri Light"/>
                <w:sz w:val="20"/>
                <w:szCs w:val="20"/>
              </w:rPr>
              <w:tab/>
            </w:r>
            <w:r w:rsidRPr="004005A4">
              <w:rPr>
                <w:rFonts w:cs="Calibri Light"/>
                <w:b/>
                <w:sz w:val="20"/>
                <w:szCs w:val="20"/>
              </w:rPr>
              <w:t xml:space="preserve">Nonoperating income.  </w:t>
            </w:r>
            <w:r w:rsidRPr="004005A4">
              <w:rPr>
                <w:rFonts w:cs="Calibri Light"/>
                <w:sz w:val="20"/>
                <w:szCs w:val="20"/>
              </w:rPr>
              <w:t xml:space="preserve">State separately in the statement of comprehensive income or the footnotes amounts earned from dividends, interest on securities, profits on securities (net of losses), and miscellaneous other income.  Material amounts included </w:t>
            </w:r>
            <w:r w:rsidRPr="004005A4">
              <w:rPr>
                <w:rFonts w:cs="Calibri Light"/>
                <w:sz w:val="20"/>
                <w:szCs w:val="20"/>
              </w:rPr>
              <w:lastRenderedPageBreak/>
              <w:t xml:space="preserve">under miscellaneous other income must be </w:t>
            </w:r>
            <w:r>
              <w:rPr>
                <w:rFonts w:cs="Calibri Light"/>
                <w:sz w:val="20"/>
                <w:szCs w:val="20"/>
              </w:rPr>
              <w:t xml:space="preserve">separately </w:t>
            </w:r>
            <w:r w:rsidRPr="004005A4">
              <w:rPr>
                <w:rFonts w:cs="Calibri Light"/>
                <w:sz w:val="20"/>
                <w:szCs w:val="20"/>
              </w:rPr>
              <w:t>stated, indicating the nature of the transactions.</w:t>
            </w:r>
          </w:p>
        </w:tc>
        <w:tc>
          <w:tcPr>
            <w:tcW w:w="1209" w:type="dxa"/>
            <w:gridSpan w:val="2"/>
            <w:tcBorders>
              <w:bottom w:val="single" w:sz="4" w:space="0" w:color="auto"/>
            </w:tcBorders>
            <w:vAlign w:val="bottom"/>
          </w:tcPr>
          <w:p w14:paraId="472C209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02EADA8F"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06CF5F0B"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23DDA31E" w14:textId="77777777" w:rsidTr="00CC36C1">
        <w:trPr>
          <w:gridBefore w:val="1"/>
          <w:wBefore w:w="17" w:type="dxa"/>
        </w:trPr>
        <w:tc>
          <w:tcPr>
            <w:tcW w:w="7483" w:type="dxa"/>
            <w:gridSpan w:val="2"/>
          </w:tcPr>
          <w:p w14:paraId="6329BA80" w14:textId="5A576E71" w:rsidR="006F3A86" w:rsidRPr="004005A4" w:rsidRDefault="006F3A86" w:rsidP="006F3A86">
            <w:pPr>
              <w:pStyle w:val="levela"/>
              <w:tabs>
                <w:tab w:val="clear" w:pos="576"/>
              </w:tabs>
              <w:spacing w:before="120" w:after="120" w:line="240" w:lineRule="atLeast"/>
              <w:ind w:left="230" w:firstLine="0"/>
              <w:rPr>
                <w:rFonts w:cs="Calibri Light"/>
                <w:sz w:val="20"/>
                <w:szCs w:val="20"/>
              </w:rPr>
            </w:pPr>
            <w:r w:rsidRPr="004005A4">
              <w:rPr>
                <w:rFonts w:cs="Calibri Light"/>
                <w:sz w:val="20"/>
                <w:szCs w:val="20"/>
              </w:rPr>
              <w:t>Amounts earned from transactions in securities of related parties should be disclosed according to Rule 4-08(k).</w:t>
            </w:r>
          </w:p>
        </w:tc>
        <w:tc>
          <w:tcPr>
            <w:tcW w:w="1209" w:type="dxa"/>
            <w:gridSpan w:val="2"/>
            <w:tcBorders>
              <w:top w:val="single" w:sz="4" w:space="0" w:color="auto"/>
            </w:tcBorders>
            <w:vAlign w:val="bottom"/>
          </w:tcPr>
          <w:p w14:paraId="52E4B071"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A51C72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E50FBE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6550B80" w14:textId="77777777" w:rsidTr="00CC36C1">
        <w:trPr>
          <w:gridBefore w:val="1"/>
          <w:wBefore w:w="17" w:type="dxa"/>
        </w:trPr>
        <w:tc>
          <w:tcPr>
            <w:tcW w:w="7483" w:type="dxa"/>
            <w:gridSpan w:val="2"/>
          </w:tcPr>
          <w:p w14:paraId="08C77E95" w14:textId="6734D36B" w:rsidR="006F3A86" w:rsidRPr="004005A4" w:rsidRDefault="006F3A86" w:rsidP="006F3A86">
            <w:pPr>
              <w:pStyle w:val="levela"/>
              <w:tabs>
                <w:tab w:val="clear" w:pos="576"/>
              </w:tabs>
              <w:spacing w:before="120" w:after="120" w:line="240" w:lineRule="atLeast"/>
              <w:ind w:left="230" w:firstLine="0"/>
              <w:rPr>
                <w:rFonts w:cs="Calibri Light"/>
                <w:sz w:val="20"/>
                <w:szCs w:val="20"/>
              </w:rPr>
            </w:pPr>
            <w:r w:rsidRPr="004005A4">
              <w:rPr>
                <w:rFonts w:cs="Calibri Light"/>
                <w:sz w:val="20"/>
                <w:szCs w:val="20"/>
              </w:rPr>
              <w:t>SAB Topic 5-E covers accounting for divestiture (leveraged buyout) of a subsidiary or other business operation.</w:t>
            </w:r>
          </w:p>
        </w:tc>
        <w:tc>
          <w:tcPr>
            <w:tcW w:w="1209" w:type="dxa"/>
            <w:gridSpan w:val="2"/>
            <w:vAlign w:val="bottom"/>
          </w:tcPr>
          <w:p w14:paraId="684FD4F2"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9A9384E"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4BE1F3D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7128D317" w14:textId="77777777" w:rsidTr="00CC36C1">
        <w:trPr>
          <w:gridBefore w:val="1"/>
          <w:wBefore w:w="17" w:type="dxa"/>
        </w:trPr>
        <w:tc>
          <w:tcPr>
            <w:tcW w:w="7483" w:type="dxa"/>
            <w:gridSpan w:val="2"/>
          </w:tcPr>
          <w:p w14:paraId="77A6F966" w14:textId="709F9F10" w:rsidR="006F3A86" w:rsidRPr="004005A4" w:rsidRDefault="006F3A86" w:rsidP="006F3A86">
            <w:pPr>
              <w:pStyle w:val="levela"/>
              <w:tabs>
                <w:tab w:val="clear" w:pos="576"/>
              </w:tabs>
              <w:spacing w:before="120" w:after="120" w:line="240" w:lineRule="atLeast"/>
              <w:ind w:left="230" w:firstLine="0"/>
              <w:rPr>
                <w:rFonts w:cs="Calibri Light"/>
                <w:sz w:val="20"/>
                <w:szCs w:val="20"/>
              </w:rPr>
            </w:pPr>
            <w:r w:rsidRPr="004005A4">
              <w:rPr>
                <w:rFonts w:cs="Calibri Light"/>
                <w:sz w:val="20"/>
                <w:szCs w:val="20"/>
              </w:rPr>
              <w:t>SAB Topic 5-V addresses accounting for transfers of nonperforming assets by financial institutions to newly created entities.  The SAB lists certain conditions that will preclude accounting for the transfer as a sale or disposition.</w:t>
            </w:r>
          </w:p>
        </w:tc>
        <w:tc>
          <w:tcPr>
            <w:tcW w:w="1209" w:type="dxa"/>
            <w:gridSpan w:val="2"/>
            <w:vAlign w:val="bottom"/>
          </w:tcPr>
          <w:p w14:paraId="5BBABE55"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6249B8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656F1295"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A5301BA" w14:textId="77777777" w:rsidTr="00CC36C1">
        <w:trPr>
          <w:gridBefore w:val="1"/>
          <w:wBefore w:w="17" w:type="dxa"/>
        </w:trPr>
        <w:tc>
          <w:tcPr>
            <w:tcW w:w="7483" w:type="dxa"/>
            <w:gridSpan w:val="2"/>
          </w:tcPr>
          <w:p w14:paraId="463707F3"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b/>
                <w:color w:val="FFFFFF"/>
                <w:sz w:val="20"/>
                <w:szCs w:val="20"/>
              </w:rPr>
              <w:t>1</w:t>
            </w:r>
            <w:r w:rsidRPr="004005A4">
              <w:rPr>
                <w:rFonts w:cs="Calibri Light"/>
                <w:sz w:val="20"/>
                <w:szCs w:val="20"/>
              </w:rPr>
              <w:t>8.</w:t>
            </w:r>
            <w:r w:rsidRPr="004005A4">
              <w:rPr>
                <w:rFonts w:cs="Calibri Light"/>
                <w:sz w:val="20"/>
                <w:szCs w:val="20"/>
              </w:rPr>
              <w:tab/>
            </w:r>
            <w:r w:rsidRPr="004005A4">
              <w:rPr>
                <w:rFonts w:cs="Calibri Light"/>
                <w:b/>
                <w:sz w:val="20"/>
                <w:szCs w:val="20"/>
              </w:rPr>
              <w:t xml:space="preserve">Interest and amortization of debt discount and expense.  </w:t>
            </w:r>
            <w:r w:rsidRPr="004005A4">
              <w:rPr>
                <w:rFonts w:cs="Calibri Light"/>
                <w:sz w:val="20"/>
                <w:szCs w:val="20"/>
              </w:rPr>
              <w:t>Interest expense should not be shown net of interest income.</w:t>
            </w:r>
          </w:p>
        </w:tc>
        <w:tc>
          <w:tcPr>
            <w:tcW w:w="1209" w:type="dxa"/>
            <w:gridSpan w:val="2"/>
            <w:tcBorders>
              <w:bottom w:val="single" w:sz="6" w:space="0" w:color="auto"/>
            </w:tcBorders>
            <w:vAlign w:val="bottom"/>
          </w:tcPr>
          <w:p w14:paraId="4838D303"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703FCD8"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7F07D3B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ED303C7" w14:textId="77777777" w:rsidTr="00CC36C1">
        <w:trPr>
          <w:gridBefore w:val="1"/>
          <w:wBefore w:w="17" w:type="dxa"/>
        </w:trPr>
        <w:tc>
          <w:tcPr>
            <w:tcW w:w="7483" w:type="dxa"/>
            <w:gridSpan w:val="2"/>
          </w:tcPr>
          <w:p w14:paraId="0D763762" w14:textId="7F130020"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color w:val="FFFFFF"/>
                <w:sz w:val="20"/>
                <w:szCs w:val="20"/>
              </w:rPr>
              <w:t>1</w:t>
            </w:r>
            <w:r w:rsidRPr="004005A4">
              <w:rPr>
                <w:rFonts w:cs="Calibri Light"/>
                <w:sz w:val="20"/>
                <w:szCs w:val="20"/>
              </w:rPr>
              <w:t>9.</w:t>
            </w:r>
            <w:r w:rsidRPr="004005A4">
              <w:rPr>
                <w:rFonts w:cs="Calibri Light"/>
                <w:sz w:val="20"/>
                <w:szCs w:val="20"/>
              </w:rPr>
              <w:tab/>
            </w:r>
            <w:r w:rsidRPr="004005A4">
              <w:rPr>
                <w:rFonts w:cs="Calibri Light"/>
                <w:b/>
                <w:sz w:val="20"/>
                <w:szCs w:val="20"/>
              </w:rPr>
              <w:t xml:space="preserve">Nonoperating expenses.  </w:t>
            </w:r>
            <w:r w:rsidRPr="004005A4">
              <w:rPr>
                <w:rFonts w:cs="Calibri Light"/>
                <w:sz w:val="20"/>
                <w:szCs w:val="20"/>
              </w:rPr>
              <w:t>State separately in the statement of comprehensive income or the footnotes amounts of losses on securities (net of profits) and miscellaneous income deductions.  Material amounts included under miscellaneous income deductions must be separately stated, indicating the nature of the transactions.</w:t>
            </w:r>
          </w:p>
        </w:tc>
        <w:tc>
          <w:tcPr>
            <w:tcW w:w="1209" w:type="dxa"/>
            <w:gridSpan w:val="2"/>
            <w:tcBorders>
              <w:top w:val="single" w:sz="6" w:space="0" w:color="auto"/>
            </w:tcBorders>
            <w:vAlign w:val="bottom"/>
          </w:tcPr>
          <w:p w14:paraId="0B3752E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474AA3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6AB28CD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5F6E0EC6" w14:textId="77777777" w:rsidTr="00CC36C1">
        <w:trPr>
          <w:gridBefore w:val="1"/>
          <w:wBefore w:w="17" w:type="dxa"/>
        </w:trPr>
        <w:tc>
          <w:tcPr>
            <w:tcW w:w="7483" w:type="dxa"/>
            <w:gridSpan w:val="2"/>
          </w:tcPr>
          <w:p w14:paraId="36F4017A"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10.</w:t>
            </w:r>
            <w:r w:rsidRPr="004005A4">
              <w:rPr>
                <w:rFonts w:cs="Calibri Light"/>
                <w:sz w:val="20"/>
                <w:szCs w:val="20"/>
              </w:rPr>
              <w:tab/>
            </w:r>
            <w:r w:rsidRPr="004005A4">
              <w:rPr>
                <w:rFonts w:cs="Calibri Light"/>
                <w:b/>
                <w:sz w:val="20"/>
                <w:szCs w:val="20"/>
              </w:rPr>
              <w:t>Income or loss before income tax expense and appropriate items below.</w:t>
            </w:r>
          </w:p>
        </w:tc>
        <w:tc>
          <w:tcPr>
            <w:tcW w:w="1209" w:type="dxa"/>
            <w:gridSpan w:val="2"/>
            <w:tcBorders>
              <w:top w:val="single" w:sz="6" w:space="0" w:color="auto"/>
              <w:bottom w:val="single" w:sz="6" w:space="0" w:color="auto"/>
            </w:tcBorders>
            <w:vAlign w:val="bottom"/>
          </w:tcPr>
          <w:p w14:paraId="49E97904"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1CD4642C"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6" w:space="0" w:color="auto"/>
            </w:tcBorders>
            <w:vAlign w:val="bottom"/>
          </w:tcPr>
          <w:p w14:paraId="1B13BE09"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4BADB9C9" w14:textId="77777777" w:rsidTr="00CC36C1">
        <w:trPr>
          <w:gridBefore w:val="1"/>
          <w:wBefore w:w="17" w:type="dxa"/>
        </w:trPr>
        <w:tc>
          <w:tcPr>
            <w:tcW w:w="7483" w:type="dxa"/>
            <w:gridSpan w:val="2"/>
          </w:tcPr>
          <w:p w14:paraId="1C39A1EA"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11.</w:t>
            </w:r>
            <w:r w:rsidRPr="004005A4">
              <w:rPr>
                <w:rFonts w:cs="Calibri Light"/>
                <w:b/>
                <w:sz w:val="20"/>
                <w:szCs w:val="20"/>
              </w:rPr>
              <w:tab/>
              <w:t xml:space="preserve">Income tax expense.  </w:t>
            </w:r>
            <w:r w:rsidRPr="004005A4">
              <w:rPr>
                <w:rFonts w:cs="Calibri Light"/>
                <w:sz w:val="20"/>
                <w:szCs w:val="20"/>
              </w:rPr>
              <w:t>Include only taxes based on income.  See FRR Section 204.  See Rule 4-08(h).</w:t>
            </w:r>
          </w:p>
        </w:tc>
        <w:tc>
          <w:tcPr>
            <w:tcW w:w="1209" w:type="dxa"/>
            <w:gridSpan w:val="2"/>
            <w:tcBorders>
              <w:bottom w:val="single" w:sz="6" w:space="0" w:color="auto"/>
            </w:tcBorders>
            <w:vAlign w:val="bottom"/>
          </w:tcPr>
          <w:p w14:paraId="6A055BA2"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A993695"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12CFDF14"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95ADAEE" w14:textId="77777777" w:rsidTr="00CC36C1">
        <w:trPr>
          <w:gridBefore w:val="1"/>
          <w:wBefore w:w="17" w:type="dxa"/>
        </w:trPr>
        <w:tc>
          <w:tcPr>
            <w:tcW w:w="7483" w:type="dxa"/>
            <w:gridSpan w:val="2"/>
          </w:tcPr>
          <w:p w14:paraId="62BD44B6" w14:textId="49F73B4C"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12.</w:t>
            </w:r>
            <w:r w:rsidRPr="004005A4">
              <w:rPr>
                <w:rFonts w:cs="Calibri Light"/>
                <w:sz w:val="20"/>
                <w:szCs w:val="20"/>
              </w:rPr>
              <w:tab/>
            </w:r>
            <w:r w:rsidRPr="004005A4">
              <w:rPr>
                <w:rFonts w:cs="Calibri Light"/>
                <w:b/>
                <w:sz w:val="20"/>
                <w:szCs w:val="20"/>
              </w:rPr>
              <w:t xml:space="preserve">Equity in earnings of unconsolidated subsidiaries and 50%-or-less-owned persons.  </w:t>
            </w:r>
            <w:r w:rsidRPr="004005A4">
              <w:rPr>
                <w:rFonts w:cs="Calibri Light"/>
                <w:sz w:val="20"/>
                <w:szCs w:val="20"/>
              </w:rPr>
              <w:t xml:space="preserve">State, parenthetically or in a footnote, the amount of dividends received from such persons.  </w:t>
            </w:r>
          </w:p>
        </w:tc>
        <w:tc>
          <w:tcPr>
            <w:tcW w:w="1209" w:type="dxa"/>
            <w:gridSpan w:val="2"/>
            <w:tcBorders>
              <w:top w:val="single" w:sz="6" w:space="0" w:color="auto"/>
            </w:tcBorders>
            <w:vAlign w:val="bottom"/>
          </w:tcPr>
          <w:p w14:paraId="1201DB2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C412342"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19F28EB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0B7A30D" w14:textId="77777777" w:rsidTr="00CC36C1">
        <w:trPr>
          <w:gridBefore w:val="1"/>
          <w:wBefore w:w="17" w:type="dxa"/>
        </w:trPr>
        <w:tc>
          <w:tcPr>
            <w:tcW w:w="7483" w:type="dxa"/>
            <w:gridSpan w:val="2"/>
          </w:tcPr>
          <w:p w14:paraId="7D8D9002" w14:textId="77777777"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13.</w:t>
            </w:r>
            <w:r w:rsidRPr="004005A4">
              <w:rPr>
                <w:rFonts w:cs="Calibri Light"/>
                <w:sz w:val="20"/>
                <w:szCs w:val="20"/>
              </w:rPr>
              <w:tab/>
            </w:r>
            <w:r w:rsidRPr="004005A4">
              <w:rPr>
                <w:rFonts w:cs="Calibri Light"/>
                <w:b/>
                <w:sz w:val="20"/>
                <w:szCs w:val="20"/>
              </w:rPr>
              <w:t>Income or loss from continuing operations.</w:t>
            </w:r>
          </w:p>
        </w:tc>
        <w:tc>
          <w:tcPr>
            <w:tcW w:w="1209" w:type="dxa"/>
            <w:gridSpan w:val="2"/>
            <w:tcBorders>
              <w:top w:val="single" w:sz="4" w:space="0" w:color="auto"/>
              <w:bottom w:val="single" w:sz="6" w:space="0" w:color="auto"/>
            </w:tcBorders>
            <w:vAlign w:val="bottom"/>
          </w:tcPr>
          <w:p w14:paraId="3ADA9BBB"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6F952A46"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4883BB5C"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3BF32A5B" w14:textId="77777777" w:rsidTr="00CC36C1">
        <w:trPr>
          <w:gridBefore w:val="1"/>
          <w:wBefore w:w="17" w:type="dxa"/>
        </w:trPr>
        <w:tc>
          <w:tcPr>
            <w:tcW w:w="7483" w:type="dxa"/>
            <w:gridSpan w:val="2"/>
          </w:tcPr>
          <w:p w14:paraId="1FF6C90C" w14:textId="77777777"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14.</w:t>
            </w:r>
            <w:r w:rsidRPr="004005A4">
              <w:rPr>
                <w:rFonts w:cs="Calibri Light"/>
                <w:b/>
                <w:sz w:val="20"/>
                <w:szCs w:val="20"/>
              </w:rPr>
              <w:tab/>
              <w:t>Discontinued operations.</w:t>
            </w:r>
            <w:r w:rsidRPr="004005A4">
              <w:rPr>
                <w:rFonts w:cs="Calibri Light"/>
                <w:sz w:val="20"/>
                <w:szCs w:val="20"/>
              </w:rPr>
              <w:t xml:space="preserve">  (See SAB Topic 5-Z, ASC Subtopic 205-20).</w:t>
            </w:r>
          </w:p>
        </w:tc>
        <w:tc>
          <w:tcPr>
            <w:tcW w:w="1209" w:type="dxa"/>
            <w:gridSpan w:val="2"/>
            <w:tcBorders>
              <w:top w:val="single" w:sz="6" w:space="0" w:color="auto"/>
              <w:bottom w:val="single" w:sz="4" w:space="0" w:color="auto"/>
            </w:tcBorders>
            <w:vAlign w:val="bottom"/>
          </w:tcPr>
          <w:p w14:paraId="598B81FD"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806A7D4"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12615B2B"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641BFC5A" w14:textId="77777777" w:rsidTr="00CC36C1">
        <w:trPr>
          <w:gridBefore w:val="1"/>
          <w:wBefore w:w="17" w:type="dxa"/>
        </w:trPr>
        <w:tc>
          <w:tcPr>
            <w:tcW w:w="7483" w:type="dxa"/>
            <w:gridSpan w:val="2"/>
          </w:tcPr>
          <w:p w14:paraId="7AACC590" w14:textId="4306FD86"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15.</w:t>
            </w:r>
            <w:r w:rsidRPr="004005A4">
              <w:rPr>
                <w:rFonts w:cs="Calibri Light"/>
                <w:sz w:val="20"/>
                <w:szCs w:val="20"/>
              </w:rPr>
              <w:tab/>
            </w:r>
            <w:r w:rsidRPr="004005A4">
              <w:rPr>
                <w:rFonts w:cs="Calibri Light"/>
                <w:b/>
                <w:sz w:val="20"/>
                <w:szCs w:val="20"/>
              </w:rPr>
              <w:t>[Reserved]</w:t>
            </w:r>
          </w:p>
        </w:tc>
        <w:tc>
          <w:tcPr>
            <w:tcW w:w="1209" w:type="dxa"/>
            <w:gridSpan w:val="2"/>
            <w:tcBorders>
              <w:top w:val="single" w:sz="4" w:space="0" w:color="auto"/>
            </w:tcBorders>
            <w:vAlign w:val="bottom"/>
          </w:tcPr>
          <w:p w14:paraId="512423B7"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727B0DCD"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5CD6802"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16193B66" w14:textId="77777777" w:rsidTr="00CC36C1">
        <w:trPr>
          <w:gridBefore w:val="1"/>
          <w:wBefore w:w="17" w:type="dxa"/>
        </w:trPr>
        <w:tc>
          <w:tcPr>
            <w:tcW w:w="7483" w:type="dxa"/>
            <w:gridSpan w:val="2"/>
          </w:tcPr>
          <w:p w14:paraId="20ACEAA1" w14:textId="4642C1E2"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16.</w:t>
            </w:r>
            <w:r w:rsidRPr="004005A4">
              <w:rPr>
                <w:rFonts w:cs="Calibri Light"/>
                <w:sz w:val="20"/>
                <w:szCs w:val="20"/>
              </w:rPr>
              <w:tab/>
            </w:r>
            <w:r w:rsidRPr="004005A4">
              <w:rPr>
                <w:rFonts w:cs="Calibri Light"/>
                <w:b/>
                <w:sz w:val="20"/>
                <w:szCs w:val="20"/>
              </w:rPr>
              <w:t xml:space="preserve">[Reserved]  </w:t>
            </w:r>
          </w:p>
        </w:tc>
        <w:tc>
          <w:tcPr>
            <w:tcW w:w="1209" w:type="dxa"/>
            <w:gridSpan w:val="2"/>
            <w:vAlign w:val="bottom"/>
          </w:tcPr>
          <w:p w14:paraId="24B1E57A"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57BD3BA1"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vAlign w:val="bottom"/>
          </w:tcPr>
          <w:p w14:paraId="11A5862E"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D678CEB" w14:textId="77777777" w:rsidTr="00CC36C1">
        <w:trPr>
          <w:gridBefore w:val="1"/>
          <w:wBefore w:w="17" w:type="dxa"/>
        </w:trPr>
        <w:tc>
          <w:tcPr>
            <w:tcW w:w="7483" w:type="dxa"/>
            <w:gridSpan w:val="2"/>
          </w:tcPr>
          <w:p w14:paraId="610883BB" w14:textId="6F0F9F43"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17.</w:t>
            </w:r>
            <w:r w:rsidRPr="004005A4">
              <w:rPr>
                <w:rFonts w:cs="Calibri Light"/>
                <w:sz w:val="20"/>
                <w:szCs w:val="20"/>
              </w:rPr>
              <w:tab/>
            </w:r>
            <w:r>
              <w:rPr>
                <w:rFonts w:cs="Calibri Light"/>
                <w:b/>
                <w:sz w:val="20"/>
                <w:szCs w:val="20"/>
              </w:rPr>
              <w:t xml:space="preserve">Cumulative effects of changes in accounting principles. </w:t>
            </w:r>
            <w:r w:rsidRPr="001B610A">
              <w:rPr>
                <w:rFonts w:cs="Calibri Light"/>
                <w:bCs/>
                <w:sz w:val="20"/>
                <w:szCs w:val="20"/>
              </w:rPr>
              <w:t>(See</w:t>
            </w:r>
            <w:r>
              <w:rPr>
                <w:rFonts w:cs="Calibri Light"/>
                <w:b/>
                <w:sz w:val="20"/>
                <w:szCs w:val="20"/>
              </w:rPr>
              <w:t xml:space="preserve"> </w:t>
            </w:r>
            <w:r w:rsidRPr="001B610A">
              <w:rPr>
                <w:rFonts w:cs="Calibri Light"/>
                <w:bCs/>
                <w:sz w:val="20"/>
                <w:szCs w:val="20"/>
              </w:rPr>
              <w:t>FASB Topic</w:t>
            </w:r>
            <w:r>
              <w:rPr>
                <w:rFonts w:cs="Calibri Light"/>
                <w:b/>
                <w:sz w:val="20"/>
                <w:szCs w:val="20"/>
              </w:rPr>
              <w:t xml:space="preserve"> </w:t>
            </w:r>
            <w:r>
              <w:rPr>
                <w:rFonts w:cs="Calibri Light"/>
                <w:bCs/>
                <w:sz w:val="20"/>
                <w:szCs w:val="20"/>
              </w:rPr>
              <w:t>250)</w:t>
            </w:r>
          </w:p>
        </w:tc>
        <w:tc>
          <w:tcPr>
            <w:tcW w:w="1209" w:type="dxa"/>
            <w:gridSpan w:val="2"/>
            <w:tcBorders>
              <w:bottom w:val="single" w:sz="4" w:space="0" w:color="auto"/>
            </w:tcBorders>
            <w:vAlign w:val="bottom"/>
          </w:tcPr>
          <w:p w14:paraId="1EB2884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4223FD57"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79BAC6BF"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2766781" w14:textId="77777777" w:rsidTr="00CC36C1">
        <w:trPr>
          <w:gridBefore w:val="1"/>
          <w:wBefore w:w="17" w:type="dxa"/>
        </w:trPr>
        <w:tc>
          <w:tcPr>
            <w:tcW w:w="7483" w:type="dxa"/>
            <w:gridSpan w:val="2"/>
          </w:tcPr>
          <w:p w14:paraId="0E4C521B" w14:textId="77777777"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18.</w:t>
            </w:r>
            <w:r w:rsidRPr="004005A4">
              <w:rPr>
                <w:rFonts w:cs="Calibri Light"/>
                <w:sz w:val="20"/>
                <w:szCs w:val="20"/>
              </w:rPr>
              <w:tab/>
            </w:r>
            <w:r w:rsidRPr="004005A4">
              <w:rPr>
                <w:rFonts w:cs="Calibri Light"/>
                <w:b/>
                <w:sz w:val="20"/>
                <w:szCs w:val="20"/>
              </w:rPr>
              <w:t xml:space="preserve">Net income or loss.  </w:t>
            </w:r>
          </w:p>
        </w:tc>
        <w:tc>
          <w:tcPr>
            <w:tcW w:w="1209" w:type="dxa"/>
            <w:gridSpan w:val="2"/>
            <w:tcBorders>
              <w:bottom w:val="single" w:sz="4" w:space="0" w:color="auto"/>
            </w:tcBorders>
            <w:vAlign w:val="bottom"/>
          </w:tcPr>
          <w:p w14:paraId="20F68B4F" w14:textId="77777777" w:rsidR="006F3A86" w:rsidRPr="004005A4" w:rsidRDefault="006F3A86" w:rsidP="006F3A86">
            <w:pPr>
              <w:spacing w:before="120" w:after="120" w:line="240" w:lineRule="atLeast"/>
              <w:jc w:val="center"/>
              <w:rPr>
                <w:rFonts w:cs="Calibri Light"/>
                <w:b/>
                <w:sz w:val="20"/>
                <w:szCs w:val="20"/>
              </w:rPr>
            </w:pPr>
          </w:p>
        </w:tc>
        <w:tc>
          <w:tcPr>
            <w:tcW w:w="236" w:type="dxa"/>
            <w:gridSpan w:val="3"/>
            <w:vAlign w:val="bottom"/>
          </w:tcPr>
          <w:p w14:paraId="2D4B23B3" w14:textId="77777777" w:rsidR="006F3A86" w:rsidRPr="004005A4" w:rsidRDefault="006F3A86" w:rsidP="006F3A86">
            <w:pPr>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36A5673D" w14:textId="77777777" w:rsidR="006F3A86" w:rsidRPr="004005A4" w:rsidRDefault="006F3A86" w:rsidP="006F3A86">
            <w:pPr>
              <w:spacing w:before="120" w:after="120" w:line="240" w:lineRule="atLeast"/>
              <w:jc w:val="center"/>
              <w:rPr>
                <w:rFonts w:cs="Calibri Light"/>
                <w:b/>
                <w:sz w:val="20"/>
                <w:szCs w:val="20"/>
              </w:rPr>
            </w:pPr>
          </w:p>
        </w:tc>
      </w:tr>
      <w:tr w:rsidR="006F3A86" w:rsidRPr="004005A4" w14:paraId="0E8AEC50" w14:textId="77777777" w:rsidTr="00CC36C1">
        <w:trPr>
          <w:gridBefore w:val="1"/>
          <w:wBefore w:w="17" w:type="dxa"/>
        </w:trPr>
        <w:tc>
          <w:tcPr>
            <w:tcW w:w="7483" w:type="dxa"/>
            <w:gridSpan w:val="2"/>
          </w:tcPr>
          <w:p w14:paraId="136D7943"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19.</w:t>
            </w:r>
            <w:r w:rsidRPr="004005A4">
              <w:rPr>
                <w:rFonts w:cs="Calibri Light"/>
                <w:sz w:val="20"/>
                <w:szCs w:val="20"/>
              </w:rPr>
              <w:tab/>
            </w:r>
            <w:r w:rsidRPr="004005A4">
              <w:rPr>
                <w:rFonts w:cs="Calibri Light"/>
                <w:b/>
                <w:sz w:val="20"/>
                <w:szCs w:val="20"/>
              </w:rPr>
              <w:t>Net income attributable to the noncontrolling interest.</w:t>
            </w:r>
          </w:p>
        </w:tc>
        <w:tc>
          <w:tcPr>
            <w:tcW w:w="1209" w:type="dxa"/>
            <w:gridSpan w:val="2"/>
            <w:tcBorders>
              <w:top w:val="single" w:sz="4" w:space="0" w:color="auto"/>
              <w:bottom w:val="single" w:sz="4" w:space="0" w:color="auto"/>
            </w:tcBorders>
            <w:vAlign w:val="bottom"/>
          </w:tcPr>
          <w:p w14:paraId="69D1B810"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D8F1B8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620AC9D"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41B3F68" w14:textId="77777777" w:rsidTr="00CC36C1">
        <w:trPr>
          <w:gridBefore w:val="1"/>
          <w:wBefore w:w="17" w:type="dxa"/>
        </w:trPr>
        <w:tc>
          <w:tcPr>
            <w:tcW w:w="7483" w:type="dxa"/>
            <w:gridSpan w:val="2"/>
          </w:tcPr>
          <w:p w14:paraId="02987469" w14:textId="3260F4E6"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20.</w:t>
            </w:r>
            <w:r w:rsidRPr="004005A4">
              <w:rPr>
                <w:rFonts w:cs="Calibri Light"/>
                <w:sz w:val="20"/>
                <w:szCs w:val="20"/>
              </w:rPr>
              <w:tab/>
            </w:r>
            <w:r w:rsidRPr="004005A4">
              <w:rPr>
                <w:rFonts w:cs="Calibri Light"/>
                <w:b/>
                <w:sz w:val="20"/>
                <w:szCs w:val="20"/>
              </w:rPr>
              <w:t>Net income attributable to the controlling interest.</w:t>
            </w:r>
            <w:r w:rsidRPr="004005A4">
              <w:rPr>
                <w:rFonts w:cs="Calibri Light"/>
                <w:sz w:val="20"/>
                <w:szCs w:val="20"/>
              </w:rPr>
              <w:t xml:space="preserve">  Net income applicable to common stock</w:t>
            </w:r>
            <w:r>
              <w:rPr>
                <w:rFonts w:cs="Calibri Light"/>
                <w:sz w:val="20"/>
                <w:szCs w:val="20"/>
              </w:rPr>
              <w:t xml:space="preserve"> </w:t>
            </w:r>
            <w:r w:rsidRPr="004005A4">
              <w:rPr>
                <w:rFonts w:cs="Calibri Light"/>
                <w:sz w:val="20"/>
                <w:szCs w:val="20"/>
              </w:rPr>
              <w:t xml:space="preserve">is to be shown separate on the statement of comprehensive income, if </w:t>
            </w:r>
            <w:r w:rsidRPr="004005A4">
              <w:rPr>
                <w:rFonts w:cs="Calibri Light"/>
                <w:sz w:val="20"/>
                <w:szCs w:val="20"/>
              </w:rPr>
              <w:lastRenderedPageBreak/>
              <w:t xml:space="preserve">materially different </w:t>
            </w:r>
            <w:r>
              <w:rPr>
                <w:rFonts w:cs="Calibri Light"/>
                <w:sz w:val="20"/>
                <w:szCs w:val="20"/>
              </w:rPr>
              <w:t>in quantitative terms from reported net income or loss or when it is indicative of significant trends or other qualitative consideration.</w:t>
            </w:r>
            <w:r w:rsidRPr="004005A4">
              <w:rPr>
                <w:rFonts w:cs="Calibri Light"/>
                <w:sz w:val="20"/>
                <w:szCs w:val="20"/>
              </w:rPr>
              <w:t xml:space="preserve"> (SAB Topic 6-B).</w:t>
            </w:r>
          </w:p>
        </w:tc>
        <w:tc>
          <w:tcPr>
            <w:tcW w:w="1209" w:type="dxa"/>
            <w:gridSpan w:val="2"/>
            <w:tcBorders>
              <w:top w:val="single" w:sz="4" w:space="0" w:color="auto"/>
              <w:bottom w:val="single" w:sz="4" w:space="0" w:color="auto"/>
            </w:tcBorders>
            <w:vAlign w:val="bottom"/>
          </w:tcPr>
          <w:p w14:paraId="2DB68E3A"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4F7B15B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FFE2697"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1E8DA0A" w14:textId="77777777" w:rsidTr="00CC36C1">
        <w:trPr>
          <w:gridBefore w:val="1"/>
          <w:wBefore w:w="17" w:type="dxa"/>
        </w:trPr>
        <w:tc>
          <w:tcPr>
            <w:tcW w:w="7483" w:type="dxa"/>
            <w:gridSpan w:val="2"/>
          </w:tcPr>
          <w:p w14:paraId="7FA2D568" w14:textId="61DB45D0"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21.</w:t>
            </w:r>
            <w:r>
              <w:rPr>
                <w:rFonts w:cs="Calibri Light"/>
                <w:sz w:val="20"/>
                <w:szCs w:val="20"/>
              </w:rPr>
              <w:tab/>
            </w:r>
            <w:r w:rsidRPr="004005A4">
              <w:rPr>
                <w:rFonts w:cs="Calibri Light"/>
                <w:b/>
                <w:sz w:val="20"/>
                <w:szCs w:val="20"/>
              </w:rPr>
              <w:t>Other comprehensive income.</w:t>
            </w:r>
            <w:r w:rsidRPr="004005A4">
              <w:rPr>
                <w:rFonts w:cs="Calibri Light"/>
                <w:sz w:val="20"/>
                <w:szCs w:val="20"/>
              </w:rPr>
              <w:t xml:space="preserve"> State separately the components of and the total for other comprehensive income. Present the components either net of or before related tax effects with one amount shown for the aggregate income tax expense or benefit. State the amount of income tax expense or benefit allocated to each component, including reclassification adjustments, in the statement of comprehensive income or in a note.</w:t>
            </w:r>
          </w:p>
        </w:tc>
        <w:tc>
          <w:tcPr>
            <w:tcW w:w="1209" w:type="dxa"/>
            <w:gridSpan w:val="2"/>
            <w:tcBorders>
              <w:top w:val="single" w:sz="4" w:space="0" w:color="auto"/>
              <w:bottom w:val="single" w:sz="4" w:space="0" w:color="auto"/>
            </w:tcBorders>
            <w:vAlign w:val="bottom"/>
          </w:tcPr>
          <w:p w14:paraId="24E1F796"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BE3F243"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2D1B3BB"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68F90A5" w14:textId="77777777" w:rsidTr="00CC36C1">
        <w:trPr>
          <w:gridBefore w:val="1"/>
          <w:wBefore w:w="17" w:type="dxa"/>
        </w:trPr>
        <w:tc>
          <w:tcPr>
            <w:tcW w:w="7483" w:type="dxa"/>
            <w:gridSpan w:val="2"/>
          </w:tcPr>
          <w:p w14:paraId="5D016196" w14:textId="6495E865"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 xml:space="preserve">22. </w:t>
            </w:r>
            <w:r w:rsidRPr="004005A4">
              <w:rPr>
                <w:rFonts w:cs="Calibri Light"/>
                <w:b/>
                <w:sz w:val="20"/>
                <w:szCs w:val="20"/>
              </w:rPr>
              <w:t>Comprehensive income.</w:t>
            </w:r>
          </w:p>
        </w:tc>
        <w:tc>
          <w:tcPr>
            <w:tcW w:w="1209" w:type="dxa"/>
            <w:gridSpan w:val="2"/>
            <w:tcBorders>
              <w:top w:val="single" w:sz="4" w:space="0" w:color="auto"/>
              <w:bottom w:val="single" w:sz="4" w:space="0" w:color="auto"/>
            </w:tcBorders>
            <w:vAlign w:val="bottom"/>
          </w:tcPr>
          <w:p w14:paraId="19099AED"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0894201"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CB5D3EA"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85A32D8" w14:textId="77777777" w:rsidTr="00CC36C1">
        <w:trPr>
          <w:gridBefore w:val="1"/>
          <w:wBefore w:w="17" w:type="dxa"/>
        </w:trPr>
        <w:tc>
          <w:tcPr>
            <w:tcW w:w="7483" w:type="dxa"/>
            <w:gridSpan w:val="2"/>
          </w:tcPr>
          <w:p w14:paraId="7CAD0592" w14:textId="475179B3"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 xml:space="preserve">23. </w:t>
            </w:r>
            <w:r w:rsidRPr="004005A4">
              <w:rPr>
                <w:rFonts w:cs="Calibri Light"/>
                <w:b/>
                <w:sz w:val="20"/>
                <w:szCs w:val="20"/>
              </w:rPr>
              <w:t>Comprehensive income attributable to the noncontrolling interest.</w:t>
            </w:r>
          </w:p>
        </w:tc>
        <w:tc>
          <w:tcPr>
            <w:tcW w:w="1209" w:type="dxa"/>
            <w:gridSpan w:val="2"/>
            <w:tcBorders>
              <w:top w:val="single" w:sz="4" w:space="0" w:color="auto"/>
              <w:bottom w:val="single" w:sz="4" w:space="0" w:color="auto"/>
            </w:tcBorders>
            <w:vAlign w:val="bottom"/>
          </w:tcPr>
          <w:p w14:paraId="14BBA728"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E085968"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15AED9C"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475EFF8" w14:textId="77777777" w:rsidTr="00CC36C1">
        <w:trPr>
          <w:gridBefore w:val="1"/>
          <w:wBefore w:w="17" w:type="dxa"/>
        </w:trPr>
        <w:tc>
          <w:tcPr>
            <w:tcW w:w="7483" w:type="dxa"/>
            <w:gridSpan w:val="2"/>
          </w:tcPr>
          <w:p w14:paraId="775D52A5" w14:textId="06954F4A"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 xml:space="preserve">24. </w:t>
            </w:r>
            <w:r w:rsidRPr="004005A4">
              <w:rPr>
                <w:rFonts w:cs="Calibri Light"/>
                <w:b/>
                <w:sz w:val="20"/>
                <w:szCs w:val="20"/>
              </w:rPr>
              <w:t>Comprehensive income attributable to the controlling interest.</w:t>
            </w:r>
          </w:p>
        </w:tc>
        <w:tc>
          <w:tcPr>
            <w:tcW w:w="1209" w:type="dxa"/>
            <w:gridSpan w:val="2"/>
            <w:tcBorders>
              <w:top w:val="single" w:sz="4" w:space="0" w:color="auto"/>
              <w:bottom w:val="single" w:sz="4" w:space="0" w:color="auto"/>
            </w:tcBorders>
            <w:vAlign w:val="bottom"/>
          </w:tcPr>
          <w:p w14:paraId="52387D66"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C2F9CD3"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9A044A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BBAFB48" w14:textId="77777777" w:rsidTr="00CC36C1">
        <w:trPr>
          <w:gridBefore w:val="1"/>
          <w:wBefore w:w="17" w:type="dxa"/>
        </w:trPr>
        <w:tc>
          <w:tcPr>
            <w:tcW w:w="7483" w:type="dxa"/>
            <w:gridSpan w:val="2"/>
          </w:tcPr>
          <w:p w14:paraId="745C365F" w14:textId="2584F234" w:rsidR="006F3A86" w:rsidRPr="004005A4" w:rsidRDefault="006F3A86" w:rsidP="006F3A86">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25.</w:t>
            </w:r>
            <w:r w:rsidRPr="004005A4">
              <w:rPr>
                <w:rFonts w:cs="Calibri Light"/>
                <w:sz w:val="20"/>
                <w:szCs w:val="20"/>
              </w:rPr>
              <w:tab/>
            </w:r>
            <w:r w:rsidRPr="004005A4">
              <w:rPr>
                <w:rFonts w:cs="Calibri Light"/>
                <w:b/>
                <w:sz w:val="20"/>
                <w:szCs w:val="20"/>
              </w:rPr>
              <w:t>Earnings</w:t>
            </w:r>
            <w:r>
              <w:rPr>
                <w:rFonts w:cs="Calibri Light"/>
                <w:b/>
                <w:sz w:val="20"/>
                <w:szCs w:val="20"/>
              </w:rPr>
              <w:t xml:space="preserve"> </w:t>
            </w:r>
            <w:r w:rsidRPr="004005A4">
              <w:rPr>
                <w:rFonts w:cs="Calibri Light"/>
                <w:b/>
                <w:sz w:val="20"/>
                <w:szCs w:val="20"/>
              </w:rPr>
              <w:t>per</w:t>
            </w:r>
            <w:r>
              <w:rPr>
                <w:rFonts w:cs="Calibri Light"/>
                <w:b/>
                <w:sz w:val="20"/>
                <w:szCs w:val="20"/>
              </w:rPr>
              <w:t xml:space="preserve"> </w:t>
            </w:r>
            <w:r w:rsidRPr="004005A4">
              <w:rPr>
                <w:rFonts w:cs="Calibri Light"/>
                <w:b/>
                <w:sz w:val="20"/>
                <w:szCs w:val="20"/>
              </w:rPr>
              <w:t xml:space="preserve">share data.  </w:t>
            </w:r>
            <w:r w:rsidRPr="004005A4">
              <w:rPr>
                <w:rFonts w:cs="Calibri Light"/>
                <w:sz w:val="20"/>
                <w:szCs w:val="20"/>
              </w:rPr>
              <w:t xml:space="preserve">See FASB ASC Topic 260. </w:t>
            </w:r>
          </w:p>
        </w:tc>
        <w:tc>
          <w:tcPr>
            <w:tcW w:w="1209" w:type="dxa"/>
            <w:gridSpan w:val="2"/>
            <w:tcBorders>
              <w:top w:val="single" w:sz="4" w:space="0" w:color="auto"/>
              <w:bottom w:val="single" w:sz="4" w:space="0" w:color="auto"/>
            </w:tcBorders>
            <w:vAlign w:val="bottom"/>
          </w:tcPr>
          <w:p w14:paraId="109EC031"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53FDE02"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E34D421"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1A88952" w14:textId="77777777" w:rsidTr="00CC36C1">
        <w:trPr>
          <w:gridBefore w:val="1"/>
          <w:wBefore w:w="17" w:type="dxa"/>
        </w:trPr>
        <w:tc>
          <w:tcPr>
            <w:tcW w:w="7483" w:type="dxa"/>
            <w:gridSpan w:val="2"/>
          </w:tcPr>
          <w:p w14:paraId="4F46FEC1" w14:textId="34122457"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sz w:val="20"/>
                <w:szCs w:val="20"/>
              </w:rPr>
              <w:t>See SAB Topic 3-A for SEC’s view if a registrant proposes to register convertible securities.</w:t>
            </w:r>
          </w:p>
        </w:tc>
        <w:tc>
          <w:tcPr>
            <w:tcW w:w="1209" w:type="dxa"/>
            <w:gridSpan w:val="2"/>
            <w:tcBorders>
              <w:top w:val="single" w:sz="4" w:space="0" w:color="auto"/>
            </w:tcBorders>
            <w:vAlign w:val="bottom"/>
          </w:tcPr>
          <w:p w14:paraId="71A806DB"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61BEA1B"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7F0F30A"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64209EEF" w14:textId="77777777" w:rsidTr="00CC36C1">
        <w:trPr>
          <w:gridBefore w:val="1"/>
          <w:wBefore w:w="17" w:type="dxa"/>
        </w:trPr>
        <w:tc>
          <w:tcPr>
            <w:tcW w:w="7483" w:type="dxa"/>
            <w:gridSpan w:val="2"/>
          </w:tcPr>
          <w:p w14:paraId="79A8DB96" w14:textId="3708E709" w:rsidR="006F3A86" w:rsidRPr="004005A4" w:rsidRDefault="006F3A86" w:rsidP="006F3A86">
            <w:pPr>
              <w:pStyle w:val="levela"/>
              <w:tabs>
                <w:tab w:val="clear" w:pos="576"/>
              </w:tabs>
              <w:spacing w:before="120" w:after="120" w:line="240" w:lineRule="atLeast"/>
              <w:ind w:left="230" w:firstLine="0"/>
              <w:rPr>
                <w:rFonts w:cs="Calibri Light"/>
                <w:b/>
                <w:sz w:val="20"/>
                <w:szCs w:val="20"/>
              </w:rPr>
            </w:pPr>
            <w:r w:rsidRPr="004005A4">
              <w:rPr>
                <w:rFonts w:cs="Calibri Light"/>
                <w:sz w:val="20"/>
                <w:szCs w:val="20"/>
              </w:rPr>
              <w:t>See SAB Topic 3-C regarding calculation involving redeemable preferred stock increases.</w:t>
            </w:r>
          </w:p>
        </w:tc>
        <w:tc>
          <w:tcPr>
            <w:tcW w:w="1209" w:type="dxa"/>
            <w:gridSpan w:val="2"/>
            <w:vAlign w:val="bottom"/>
          </w:tcPr>
          <w:p w14:paraId="5DFD10A9"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075174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370C0B77"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50FD8891" w14:textId="77777777" w:rsidTr="00CC36C1">
        <w:trPr>
          <w:gridBefore w:val="1"/>
          <w:wBefore w:w="17" w:type="dxa"/>
        </w:trPr>
        <w:tc>
          <w:tcPr>
            <w:tcW w:w="7483" w:type="dxa"/>
            <w:gridSpan w:val="2"/>
          </w:tcPr>
          <w:p w14:paraId="527E1455" w14:textId="6B941E68" w:rsidR="006F3A86" w:rsidRPr="004005A4" w:rsidRDefault="006F3A86" w:rsidP="006F3A86">
            <w:pPr>
              <w:pStyle w:val="levela"/>
              <w:tabs>
                <w:tab w:val="clear" w:pos="576"/>
              </w:tabs>
              <w:spacing w:before="120" w:after="120" w:line="240" w:lineRule="atLeast"/>
              <w:ind w:left="230" w:firstLine="0"/>
              <w:rPr>
                <w:rFonts w:cs="Calibri Light"/>
                <w:sz w:val="20"/>
                <w:szCs w:val="20"/>
              </w:rPr>
            </w:pPr>
            <w:r w:rsidRPr="004005A4">
              <w:rPr>
                <w:rFonts w:cs="Calibri Light"/>
                <w:sz w:val="20"/>
                <w:szCs w:val="20"/>
              </w:rPr>
              <w:t>See SAB Topic 4-D as to the effect of “cheap stock” on EPS.</w:t>
            </w:r>
          </w:p>
        </w:tc>
        <w:tc>
          <w:tcPr>
            <w:tcW w:w="1209" w:type="dxa"/>
            <w:gridSpan w:val="2"/>
            <w:vAlign w:val="bottom"/>
          </w:tcPr>
          <w:p w14:paraId="49DEF518"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96D68F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4561B8DB"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D718AFB" w14:textId="77777777" w:rsidTr="00CC36C1">
        <w:trPr>
          <w:gridBefore w:val="1"/>
          <w:wBefore w:w="17" w:type="dxa"/>
        </w:trPr>
        <w:tc>
          <w:tcPr>
            <w:tcW w:w="7483" w:type="dxa"/>
            <w:gridSpan w:val="2"/>
          </w:tcPr>
          <w:p w14:paraId="296D08CE" w14:textId="2C5F6954" w:rsidR="006F3A86" w:rsidRPr="004005A4" w:rsidRDefault="006F3A86" w:rsidP="006F3A86">
            <w:pPr>
              <w:pStyle w:val="levela"/>
              <w:tabs>
                <w:tab w:val="clear" w:pos="576"/>
              </w:tabs>
              <w:spacing w:before="120" w:after="120" w:line="240" w:lineRule="atLeast"/>
              <w:ind w:left="230" w:firstLine="0"/>
              <w:rPr>
                <w:rFonts w:cs="Calibri Light"/>
                <w:sz w:val="20"/>
                <w:szCs w:val="20"/>
              </w:rPr>
            </w:pPr>
            <w:r w:rsidRPr="004005A4">
              <w:rPr>
                <w:rFonts w:cs="Calibri Light"/>
                <w:sz w:val="20"/>
                <w:szCs w:val="20"/>
              </w:rPr>
              <w:t>See FRR Section 202 for SEC’s views on the reporting of “cash flow” per share.</w:t>
            </w:r>
          </w:p>
        </w:tc>
        <w:tc>
          <w:tcPr>
            <w:tcW w:w="1209" w:type="dxa"/>
            <w:gridSpan w:val="2"/>
            <w:vAlign w:val="bottom"/>
          </w:tcPr>
          <w:p w14:paraId="56F7906A"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26C1A95"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3844AB6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7BEFF19" w14:textId="77777777" w:rsidTr="00CC36C1">
        <w:trPr>
          <w:gridBefore w:val="1"/>
          <w:wBefore w:w="17" w:type="dxa"/>
        </w:trPr>
        <w:tc>
          <w:tcPr>
            <w:tcW w:w="7483" w:type="dxa"/>
            <w:gridSpan w:val="2"/>
          </w:tcPr>
          <w:p w14:paraId="47ED87DD" w14:textId="784C70E8" w:rsidR="006F3A86" w:rsidRPr="004005A4" w:rsidRDefault="006F3A86" w:rsidP="006F3A86">
            <w:pPr>
              <w:pStyle w:val="levela"/>
              <w:spacing w:before="120" w:after="120" w:line="240" w:lineRule="atLeast"/>
              <w:rPr>
                <w:rFonts w:cs="Calibri Light"/>
                <w:sz w:val="20"/>
                <w:szCs w:val="20"/>
              </w:rPr>
            </w:pPr>
            <w:r w:rsidRPr="004005A4">
              <w:rPr>
                <w:rFonts w:cs="Calibri Light"/>
                <w:b/>
                <w:sz w:val="20"/>
                <w:szCs w:val="20"/>
              </w:rPr>
              <w:t xml:space="preserve">Rule 5-04 </w:t>
            </w:r>
            <w:r w:rsidRPr="004005A4">
              <w:rPr>
                <w:rFonts w:cs="Calibri Light"/>
                <w:sz w:val="20"/>
                <w:szCs w:val="20"/>
              </w:rPr>
              <w:t xml:space="preserve">— </w:t>
            </w:r>
            <w:r w:rsidRPr="004005A4">
              <w:rPr>
                <w:rFonts w:cs="Calibri Light"/>
                <w:b/>
                <w:sz w:val="20"/>
                <w:szCs w:val="20"/>
              </w:rPr>
              <w:t>Wh</w:t>
            </w:r>
            <w:r>
              <w:rPr>
                <w:rFonts w:cs="Calibri Light"/>
                <w:b/>
                <w:sz w:val="20"/>
                <w:szCs w:val="20"/>
              </w:rPr>
              <w:t>at</w:t>
            </w:r>
            <w:r w:rsidRPr="004005A4">
              <w:rPr>
                <w:rFonts w:cs="Calibri Light"/>
                <w:b/>
                <w:sz w:val="20"/>
                <w:szCs w:val="20"/>
              </w:rPr>
              <w:t xml:space="preserve"> schedules are to be filed.</w:t>
            </w:r>
          </w:p>
        </w:tc>
        <w:tc>
          <w:tcPr>
            <w:tcW w:w="1209" w:type="dxa"/>
            <w:gridSpan w:val="2"/>
            <w:vAlign w:val="bottom"/>
          </w:tcPr>
          <w:p w14:paraId="7E820A7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DD8679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520C2A48"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A24939B" w14:textId="77777777" w:rsidTr="00CC36C1">
        <w:trPr>
          <w:gridBefore w:val="1"/>
          <w:wBefore w:w="17" w:type="dxa"/>
        </w:trPr>
        <w:tc>
          <w:tcPr>
            <w:tcW w:w="7483" w:type="dxa"/>
            <w:gridSpan w:val="2"/>
          </w:tcPr>
          <w:p w14:paraId="354D2DFC"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1.</w:t>
            </w:r>
            <w:r w:rsidRPr="004005A4">
              <w:rPr>
                <w:rFonts w:cs="Calibri Light"/>
                <w:b/>
                <w:sz w:val="20"/>
                <w:szCs w:val="20"/>
              </w:rPr>
              <w:tab/>
              <w:t>Dates and periods for which schedules are to be filed.</w:t>
            </w:r>
          </w:p>
        </w:tc>
        <w:tc>
          <w:tcPr>
            <w:tcW w:w="1209" w:type="dxa"/>
            <w:gridSpan w:val="2"/>
            <w:vAlign w:val="bottom"/>
          </w:tcPr>
          <w:p w14:paraId="6CE9F675"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66A0E581"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45918192"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13B36D8" w14:textId="77777777" w:rsidTr="00CC36C1">
        <w:trPr>
          <w:gridBefore w:val="1"/>
          <w:wBefore w:w="17" w:type="dxa"/>
        </w:trPr>
        <w:tc>
          <w:tcPr>
            <w:tcW w:w="7483" w:type="dxa"/>
            <w:gridSpan w:val="2"/>
          </w:tcPr>
          <w:p w14:paraId="683F8BC8" w14:textId="63588492" w:rsidR="006F3A86" w:rsidRPr="004005A4" w:rsidRDefault="006F3A86" w:rsidP="006F3A86">
            <w:pPr>
              <w:pStyle w:val="levela"/>
              <w:tabs>
                <w:tab w:val="clear" w:pos="576"/>
              </w:tabs>
              <w:spacing w:before="120" w:after="120" w:line="240" w:lineRule="atLeast"/>
              <w:ind w:left="230" w:firstLine="0"/>
              <w:rPr>
                <w:rFonts w:cs="Calibri Light"/>
                <w:sz w:val="20"/>
                <w:szCs w:val="20"/>
              </w:rPr>
            </w:pPr>
            <w:r w:rsidRPr="004005A4">
              <w:rPr>
                <w:rFonts w:cs="Calibri Light"/>
                <w:sz w:val="20"/>
                <w:szCs w:val="20"/>
              </w:rPr>
              <w:t>Except as provided otherwise in the applicable form:</w:t>
            </w:r>
          </w:p>
        </w:tc>
        <w:tc>
          <w:tcPr>
            <w:tcW w:w="1209" w:type="dxa"/>
            <w:gridSpan w:val="2"/>
            <w:vAlign w:val="bottom"/>
          </w:tcPr>
          <w:p w14:paraId="68E255D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4E03FF4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0A664A40"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4563D93" w14:textId="77777777" w:rsidTr="00CC36C1">
        <w:trPr>
          <w:gridBefore w:val="1"/>
          <w:wBefore w:w="17" w:type="dxa"/>
        </w:trPr>
        <w:tc>
          <w:tcPr>
            <w:tcW w:w="7483" w:type="dxa"/>
            <w:gridSpan w:val="2"/>
          </w:tcPr>
          <w:p w14:paraId="27B3BBC9" w14:textId="5EACB1E0" w:rsidR="006F3A86" w:rsidRPr="004005A4" w:rsidRDefault="006F3A86" w:rsidP="006F3A86">
            <w:pPr>
              <w:pStyle w:val="levela"/>
              <w:tabs>
                <w:tab w:val="clear" w:pos="576"/>
              </w:tabs>
              <w:spacing w:before="120" w:after="120" w:line="240" w:lineRule="atLeast"/>
              <w:ind w:left="502" w:hanging="270"/>
              <w:rPr>
                <w:rFonts w:cs="Calibri Light"/>
                <w:sz w:val="20"/>
                <w:szCs w:val="20"/>
              </w:rPr>
            </w:pPr>
            <w:r w:rsidRPr="004005A4">
              <w:rPr>
                <w:rFonts w:cs="Calibri Light"/>
                <w:sz w:val="20"/>
                <w:szCs w:val="20"/>
              </w:rPr>
              <w:t>a.</w:t>
            </w:r>
            <w:r w:rsidRPr="004005A4">
              <w:rPr>
                <w:rFonts w:cs="Calibri Light"/>
                <w:sz w:val="20"/>
                <w:szCs w:val="20"/>
              </w:rPr>
              <w:tab/>
              <w:t>Schedules II and III are to be filed as of the date of the most recent audited balance sheet</w:t>
            </w:r>
            <w:r>
              <w:rPr>
                <w:rFonts w:cs="Calibri Light"/>
                <w:sz w:val="20"/>
                <w:szCs w:val="20"/>
              </w:rPr>
              <w:t xml:space="preserve"> for each person or group</w:t>
            </w:r>
            <w:r w:rsidRPr="004005A4">
              <w:rPr>
                <w:rFonts w:cs="Calibri Light"/>
                <w:sz w:val="20"/>
                <w:szCs w:val="20"/>
              </w:rPr>
              <w:t>.</w:t>
            </w:r>
          </w:p>
        </w:tc>
        <w:tc>
          <w:tcPr>
            <w:tcW w:w="1209" w:type="dxa"/>
            <w:gridSpan w:val="2"/>
            <w:tcBorders>
              <w:bottom w:val="single" w:sz="6" w:space="0" w:color="auto"/>
            </w:tcBorders>
            <w:vAlign w:val="bottom"/>
          </w:tcPr>
          <w:p w14:paraId="3537D42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9D2B69B"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63B43B5D"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9E120F4" w14:textId="77777777" w:rsidTr="00CC36C1">
        <w:trPr>
          <w:gridBefore w:val="1"/>
          <w:wBefore w:w="17" w:type="dxa"/>
        </w:trPr>
        <w:tc>
          <w:tcPr>
            <w:tcW w:w="7483" w:type="dxa"/>
            <w:gridSpan w:val="2"/>
          </w:tcPr>
          <w:p w14:paraId="4B84DB43" w14:textId="324CEBA6" w:rsidR="006F3A86" w:rsidRPr="004005A4" w:rsidRDefault="006F3A86" w:rsidP="006F3A86">
            <w:pPr>
              <w:pStyle w:val="levela"/>
              <w:tabs>
                <w:tab w:val="clear" w:pos="576"/>
              </w:tabs>
              <w:spacing w:before="120" w:after="120" w:line="240" w:lineRule="atLeast"/>
              <w:ind w:left="502" w:hanging="270"/>
              <w:rPr>
                <w:rFonts w:cs="Calibri Light"/>
                <w:sz w:val="20"/>
                <w:szCs w:val="20"/>
              </w:rPr>
            </w:pPr>
            <w:r w:rsidRPr="004005A4">
              <w:rPr>
                <w:rFonts w:cs="Calibri Light"/>
                <w:sz w:val="20"/>
                <w:szCs w:val="20"/>
              </w:rPr>
              <w:t>b.</w:t>
            </w:r>
            <w:r w:rsidRPr="004005A4">
              <w:rPr>
                <w:rFonts w:cs="Calibri Light"/>
                <w:sz w:val="20"/>
                <w:szCs w:val="20"/>
              </w:rPr>
              <w:tab/>
              <w:t xml:space="preserve">Schedules I and </w:t>
            </w:r>
            <w:r>
              <w:rPr>
                <w:rFonts w:cs="Calibri Light"/>
                <w:sz w:val="20"/>
                <w:szCs w:val="20"/>
              </w:rPr>
              <w:t>I</w:t>
            </w:r>
            <w:r w:rsidRPr="004005A4">
              <w:rPr>
                <w:rFonts w:cs="Calibri Light"/>
                <w:sz w:val="20"/>
                <w:szCs w:val="20"/>
              </w:rPr>
              <w:t>V are to be filed as of the date and for the periods specified in those schedules.</w:t>
            </w:r>
          </w:p>
        </w:tc>
        <w:tc>
          <w:tcPr>
            <w:tcW w:w="1209" w:type="dxa"/>
            <w:gridSpan w:val="2"/>
            <w:tcBorders>
              <w:top w:val="single" w:sz="6" w:space="0" w:color="auto"/>
              <w:bottom w:val="single" w:sz="4" w:space="0" w:color="auto"/>
            </w:tcBorders>
            <w:vAlign w:val="bottom"/>
          </w:tcPr>
          <w:p w14:paraId="42DC6F48"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DA6041C"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04F86FA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5FD56DE" w14:textId="77777777" w:rsidTr="00CC36C1">
        <w:trPr>
          <w:gridBefore w:val="1"/>
          <w:wBefore w:w="17" w:type="dxa"/>
        </w:trPr>
        <w:tc>
          <w:tcPr>
            <w:tcW w:w="7483" w:type="dxa"/>
            <w:gridSpan w:val="2"/>
          </w:tcPr>
          <w:p w14:paraId="5CBA1A10" w14:textId="6C198C24" w:rsidR="006F3A86" w:rsidRPr="004005A4" w:rsidRDefault="006F3A86" w:rsidP="006F3A86">
            <w:pPr>
              <w:pStyle w:val="levela"/>
              <w:tabs>
                <w:tab w:val="clear" w:pos="576"/>
              </w:tabs>
              <w:spacing w:before="120" w:after="120" w:line="240" w:lineRule="atLeast"/>
              <w:ind w:left="502" w:hanging="270"/>
              <w:rPr>
                <w:rFonts w:cs="Calibri Light"/>
                <w:sz w:val="20"/>
                <w:szCs w:val="20"/>
              </w:rPr>
            </w:pPr>
            <w:r w:rsidRPr="004005A4">
              <w:rPr>
                <w:rFonts w:cs="Calibri Light"/>
                <w:sz w:val="20"/>
                <w:szCs w:val="20"/>
              </w:rPr>
              <w:t>c.</w:t>
            </w:r>
            <w:r w:rsidRPr="004005A4">
              <w:rPr>
                <w:rFonts w:cs="Calibri Light"/>
                <w:sz w:val="20"/>
                <w:szCs w:val="20"/>
              </w:rPr>
              <w:tab/>
              <w:t>Schedule II is to be filed for each period for which an audited statement of comprehensive income is filed</w:t>
            </w:r>
            <w:r>
              <w:rPr>
                <w:rFonts w:cs="Calibri Light"/>
                <w:sz w:val="20"/>
                <w:szCs w:val="20"/>
              </w:rPr>
              <w:t xml:space="preserve"> for each person or group</w:t>
            </w:r>
            <w:r w:rsidRPr="004005A4">
              <w:rPr>
                <w:rFonts w:cs="Calibri Light"/>
                <w:sz w:val="20"/>
                <w:szCs w:val="20"/>
              </w:rPr>
              <w:t>.</w:t>
            </w:r>
          </w:p>
        </w:tc>
        <w:tc>
          <w:tcPr>
            <w:tcW w:w="1209" w:type="dxa"/>
            <w:gridSpan w:val="2"/>
            <w:tcBorders>
              <w:top w:val="single" w:sz="4" w:space="0" w:color="auto"/>
              <w:bottom w:val="single" w:sz="6" w:space="0" w:color="auto"/>
            </w:tcBorders>
            <w:vAlign w:val="bottom"/>
          </w:tcPr>
          <w:p w14:paraId="6A86C774"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4F9E9FB5"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1361B22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3C015EB" w14:textId="77777777" w:rsidTr="00CC36C1">
        <w:trPr>
          <w:gridBefore w:val="1"/>
          <w:wBefore w:w="17" w:type="dxa"/>
        </w:trPr>
        <w:tc>
          <w:tcPr>
            <w:tcW w:w="7483" w:type="dxa"/>
            <w:gridSpan w:val="2"/>
          </w:tcPr>
          <w:p w14:paraId="02FA596B" w14:textId="77777777" w:rsidR="006F3A86" w:rsidRPr="004005A4" w:rsidRDefault="006F3A86" w:rsidP="006F3A86">
            <w:pPr>
              <w:pStyle w:val="levela"/>
              <w:tabs>
                <w:tab w:val="clear" w:pos="576"/>
              </w:tabs>
              <w:spacing w:before="120" w:after="120" w:line="240" w:lineRule="atLeast"/>
              <w:ind w:left="502" w:hanging="270"/>
              <w:rPr>
                <w:rFonts w:cs="Calibri Light"/>
                <w:sz w:val="20"/>
                <w:szCs w:val="20"/>
              </w:rPr>
            </w:pPr>
            <w:r w:rsidRPr="004005A4">
              <w:rPr>
                <w:rFonts w:cs="Calibri Light"/>
                <w:sz w:val="20"/>
                <w:szCs w:val="20"/>
              </w:rPr>
              <w:t>d.</w:t>
            </w:r>
            <w:r w:rsidRPr="004005A4">
              <w:rPr>
                <w:rFonts w:cs="Calibri Light"/>
                <w:sz w:val="20"/>
                <w:szCs w:val="20"/>
              </w:rPr>
              <w:tab/>
              <w:t>Schedules are to be audited if the related financial statements are audited.</w:t>
            </w:r>
          </w:p>
        </w:tc>
        <w:tc>
          <w:tcPr>
            <w:tcW w:w="1209" w:type="dxa"/>
            <w:gridSpan w:val="2"/>
            <w:tcBorders>
              <w:top w:val="single" w:sz="4" w:space="0" w:color="auto"/>
              <w:bottom w:val="single" w:sz="4" w:space="0" w:color="auto"/>
            </w:tcBorders>
            <w:vAlign w:val="bottom"/>
          </w:tcPr>
          <w:p w14:paraId="59451E62"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4BAB7E81"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D20F0BC"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511565A3" w14:textId="77777777" w:rsidTr="00CC36C1">
        <w:trPr>
          <w:gridBefore w:val="1"/>
          <w:wBefore w:w="17" w:type="dxa"/>
        </w:trPr>
        <w:tc>
          <w:tcPr>
            <w:tcW w:w="7483" w:type="dxa"/>
            <w:gridSpan w:val="2"/>
          </w:tcPr>
          <w:p w14:paraId="3B15A5FF" w14:textId="77777777" w:rsidR="006F3A86" w:rsidRPr="004005A4" w:rsidRDefault="006F3A86" w:rsidP="006F3A86">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2.</w:t>
            </w:r>
            <w:r w:rsidRPr="004005A4">
              <w:rPr>
                <w:rFonts w:cs="Calibri Light"/>
                <w:sz w:val="20"/>
                <w:szCs w:val="20"/>
              </w:rPr>
              <w:tab/>
            </w:r>
            <w:r w:rsidRPr="004005A4">
              <w:rPr>
                <w:rFonts w:cs="Calibri Light"/>
                <w:b/>
                <w:sz w:val="20"/>
                <w:szCs w:val="20"/>
              </w:rPr>
              <w:t xml:space="preserve">Schedules to be filed.  </w:t>
            </w:r>
            <w:r w:rsidRPr="004005A4">
              <w:rPr>
                <w:rFonts w:cs="Calibri Light"/>
                <w:sz w:val="20"/>
                <w:szCs w:val="20"/>
              </w:rPr>
              <w:t xml:space="preserve">Information provided in basic financial statements or elsewhere need not be duplicated in schedules.  Schedules, captions, and column headings that </w:t>
            </w:r>
            <w:r w:rsidRPr="004005A4">
              <w:rPr>
                <w:rFonts w:cs="Calibri Light"/>
                <w:sz w:val="20"/>
                <w:szCs w:val="20"/>
              </w:rPr>
              <w:lastRenderedPageBreak/>
              <w:t>are not applicable may be omitted.  Captions and column headings may be altered appropriately to fit the circumstances.  If a schedule is not filed, indicate the reason omitted (e.g., no respective financial statement captions, full disclosure in financial statements and notes thereto, test not met, other).  Schedules omitted and the reason for omission should be given in the “Index to Financial Statement Schedules” of the form being filed.</w:t>
            </w:r>
          </w:p>
        </w:tc>
        <w:tc>
          <w:tcPr>
            <w:tcW w:w="1209" w:type="dxa"/>
            <w:gridSpan w:val="2"/>
            <w:tcBorders>
              <w:top w:val="single" w:sz="4" w:space="0" w:color="auto"/>
            </w:tcBorders>
            <w:vAlign w:val="bottom"/>
          </w:tcPr>
          <w:p w14:paraId="488E085E"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BE3EB19"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1BED59B"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6B65378C" w14:textId="77777777" w:rsidTr="00CC36C1">
        <w:trPr>
          <w:gridBefore w:val="1"/>
          <w:wBefore w:w="17" w:type="dxa"/>
        </w:trPr>
        <w:tc>
          <w:tcPr>
            <w:tcW w:w="7483" w:type="dxa"/>
            <w:gridSpan w:val="2"/>
          </w:tcPr>
          <w:p w14:paraId="3CE8FF3F" w14:textId="3CE005AC" w:rsidR="006F3A86" w:rsidRPr="004005A4" w:rsidRDefault="006F3A86" w:rsidP="006F3A86">
            <w:pPr>
              <w:pStyle w:val="levela"/>
              <w:tabs>
                <w:tab w:val="clear" w:pos="576"/>
              </w:tabs>
              <w:spacing w:before="120" w:after="120" w:line="240" w:lineRule="atLeast"/>
              <w:ind w:left="322" w:firstLine="0"/>
              <w:rPr>
                <w:rFonts w:cs="Calibri Light"/>
                <w:sz w:val="20"/>
                <w:szCs w:val="20"/>
              </w:rPr>
            </w:pPr>
            <w:r w:rsidRPr="004005A4">
              <w:rPr>
                <w:rFonts w:cs="Calibri Light"/>
                <w:sz w:val="20"/>
                <w:szCs w:val="20"/>
              </w:rPr>
              <w:t>Article 12 of S-X prescribes the form and content of the schedules required under Rule 5-04.  The required schedules have been listed numerically on the following pages with a cross-reference to the applicable rule.</w:t>
            </w:r>
          </w:p>
        </w:tc>
        <w:tc>
          <w:tcPr>
            <w:tcW w:w="1209" w:type="dxa"/>
            <w:gridSpan w:val="2"/>
            <w:tcBorders>
              <w:top w:val="single" w:sz="4" w:space="0" w:color="auto"/>
              <w:bottom w:val="single" w:sz="6" w:space="0" w:color="auto"/>
            </w:tcBorders>
            <w:vAlign w:val="bottom"/>
          </w:tcPr>
          <w:p w14:paraId="5194F65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ABB5B5E"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60AD1756"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947118F" w14:textId="77777777" w:rsidTr="00CC36C1">
        <w:trPr>
          <w:gridBefore w:val="1"/>
          <w:wBefore w:w="17" w:type="dxa"/>
        </w:trPr>
        <w:tc>
          <w:tcPr>
            <w:tcW w:w="7483" w:type="dxa"/>
            <w:gridSpan w:val="2"/>
          </w:tcPr>
          <w:p w14:paraId="2510F8FC" w14:textId="77777777" w:rsidR="006F3A86" w:rsidRPr="004005A4" w:rsidRDefault="006F3A86" w:rsidP="006F3A86">
            <w:pPr>
              <w:pStyle w:val="standard"/>
              <w:spacing w:before="120" w:after="120" w:line="240" w:lineRule="atLeast"/>
              <w:rPr>
                <w:rFonts w:cs="Calibri Light"/>
                <w:sz w:val="20"/>
                <w:szCs w:val="20"/>
              </w:rPr>
            </w:pPr>
            <w:r w:rsidRPr="004005A4">
              <w:rPr>
                <w:rFonts w:cs="Calibri Light"/>
                <w:b/>
                <w:sz w:val="20"/>
                <w:szCs w:val="20"/>
              </w:rPr>
              <w:t>Rule 12-04</w:t>
            </w:r>
            <w:r w:rsidRPr="004005A4">
              <w:rPr>
                <w:rFonts w:cs="Calibri Light"/>
                <w:b/>
                <w:sz w:val="20"/>
                <w:szCs w:val="20"/>
              </w:rPr>
              <w:tab/>
              <w:t xml:space="preserve"> Schedule I.  Condensed financial information of registrant.</w:t>
            </w:r>
          </w:p>
        </w:tc>
        <w:tc>
          <w:tcPr>
            <w:tcW w:w="1209" w:type="dxa"/>
            <w:gridSpan w:val="2"/>
            <w:vAlign w:val="bottom"/>
          </w:tcPr>
          <w:p w14:paraId="172CB098"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87F70EA"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3C1B959A"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F68CC7F" w14:textId="77777777" w:rsidTr="00CC36C1">
        <w:trPr>
          <w:gridBefore w:val="1"/>
          <w:wBefore w:w="17" w:type="dxa"/>
        </w:trPr>
        <w:tc>
          <w:tcPr>
            <w:tcW w:w="7483" w:type="dxa"/>
            <w:gridSpan w:val="2"/>
          </w:tcPr>
          <w:p w14:paraId="067961E9" w14:textId="5D9987B1" w:rsidR="006F3A86" w:rsidRPr="004005A4" w:rsidRDefault="006F3A86" w:rsidP="006F3A86">
            <w:pPr>
              <w:pStyle w:val="level2"/>
              <w:numPr>
                <w:ilvl w:val="0"/>
                <w:numId w:val="118"/>
              </w:numPr>
              <w:tabs>
                <w:tab w:val="clear" w:pos="576"/>
                <w:tab w:val="clear" w:pos="1152"/>
              </w:tabs>
              <w:spacing w:after="120" w:line="240" w:lineRule="atLeast"/>
              <w:rPr>
                <w:rFonts w:cs="Calibri Light"/>
                <w:sz w:val="20"/>
                <w:szCs w:val="20"/>
              </w:rPr>
            </w:pPr>
            <w:r w:rsidRPr="00503391">
              <w:rPr>
                <w:rFonts w:cs="Calibri Light"/>
                <w:sz w:val="20"/>
                <w:szCs w:val="20"/>
              </w:rPr>
              <w:t>Provide condensed financial information as to financial position, cash flows</w:t>
            </w:r>
            <w:r>
              <w:rPr>
                <w:rFonts w:cs="Calibri Light"/>
                <w:sz w:val="20"/>
                <w:szCs w:val="20"/>
              </w:rPr>
              <w:t>,</w:t>
            </w:r>
            <w:r w:rsidRPr="00503391">
              <w:rPr>
                <w:rFonts w:cs="Calibri Light"/>
                <w:sz w:val="20"/>
                <w:szCs w:val="20"/>
              </w:rPr>
              <w:t xml:space="preserve"> and results of operations of the registrant as of the same dates and for the same periods for which audited consolidated financial statements are required. The financial information required need not be presented in greater detail than is required for condensed statements by </w:t>
            </w:r>
            <w:r>
              <w:rPr>
                <w:rFonts w:cs="Calibri Light"/>
                <w:sz w:val="20"/>
                <w:szCs w:val="20"/>
              </w:rPr>
              <w:t xml:space="preserve">S-X </w:t>
            </w:r>
            <w:r w:rsidRPr="00503391">
              <w:rPr>
                <w:rFonts w:cs="Calibri Light"/>
                <w:sz w:val="20"/>
                <w:szCs w:val="20"/>
              </w:rPr>
              <w:t>10-01(a) (2), (3) and (4). Detailed footnote disclosure which would normally be included with complete financial statements may be omitted with the exception of disclosures regarding material contingencies, long-term obligations and guarantees. Descriptions of significant provisions of the registrant's long-term obligations, mandatory dividend or redemption requirements of redeemable stocks, and guarantees of the registrant shall be provided along with a five-year schedule of maturities of debt. If the material contingencies, long-term obligations, redeemable stock requirements and guarantees of the registrant have been separately disclosed in the consolidated statements, they need not be repeated in this schedule.</w:t>
            </w:r>
          </w:p>
        </w:tc>
        <w:tc>
          <w:tcPr>
            <w:tcW w:w="1209" w:type="dxa"/>
            <w:gridSpan w:val="2"/>
            <w:tcBorders>
              <w:bottom w:val="single" w:sz="6" w:space="0" w:color="auto"/>
            </w:tcBorders>
            <w:vAlign w:val="bottom"/>
          </w:tcPr>
          <w:p w14:paraId="79ADDBA4"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DD02508"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55296086"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08D2CBA" w14:textId="77777777" w:rsidTr="00CC36C1">
        <w:trPr>
          <w:gridBefore w:val="1"/>
          <w:wBefore w:w="17" w:type="dxa"/>
        </w:trPr>
        <w:tc>
          <w:tcPr>
            <w:tcW w:w="7483" w:type="dxa"/>
            <w:gridSpan w:val="2"/>
          </w:tcPr>
          <w:p w14:paraId="093ECD90" w14:textId="08593BFB" w:rsidR="006F3A86" w:rsidRPr="004005A4" w:rsidDel="005D7AB6" w:rsidRDefault="006F3A86" w:rsidP="006F3A86">
            <w:pPr>
              <w:pStyle w:val="level2"/>
              <w:numPr>
                <w:ilvl w:val="0"/>
                <w:numId w:val="118"/>
              </w:numPr>
              <w:tabs>
                <w:tab w:val="clear" w:pos="576"/>
                <w:tab w:val="clear" w:pos="1152"/>
              </w:tabs>
              <w:spacing w:after="120" w:line="240" w:lineRule="atLeast"/>
              <w:rPr>
                <w:rFonts w:cs="Calibri Light"/>
                <w:sz w:val="20"/>
                <w:szCs w:val="20"/>
              </w:rPr>
            </w:pPr>
            <w:r w:rsidRPr="005D7AB6">
              <w:rPr>
                <w:rFonts w:cs="Calibri Light"/>
                <w:sz w:val="20"/>
                <w:szCs w:val="20"/>
              </w:rPr>
              <w:t>Disclose separately the amounts of cash dividends paid to the registrant for each of the last three fiscal years by consolidated subsidiaries, unconsolidated subsidiaries and 50 percent or less owned persons accounted for by the equity method, respectively.</w:t>
            </w:r>
          </w:p>
        </w:tc>
        <w:tc>
          <w:tcPr>
            <w:tcW w:w="1209" w:type="dxa"/>
            <w:gridSpan w:val="2"/>
            <w:tcBorders>
              <w:bottom w:val="single" w:sz="6" w:space="0" w:color="auto"/>
            </w:tcBorders>
            <w:vAlign w:val="bottom"/>
          </w:tcPr>
          <w:p w14:paraId="4960C5A9"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08BAEA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29B7F05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9944A87" w14:textId="77777777" w:rsidTr="00CC36C1">
        <w:trPr>
          <w:gridBefore w:val="1"/>
          <w:wBefore w:w="17" w:type="dxa"/>
        </w:trPr>
        <w:tc>
          <w:tcPr>
            <w:tcW w:w="7483" w:type="dxa"/>
            <w:gridSpan w:val="2"/>
          </w:tcPr>
          <w:p w14:paraId="74E47044" w14:textId="61AF251A" w:rsidR="006F3A86" w:rsidRPr="004005A4" w:rsidRDefault="006F3A86" w:rsidP="006F3A86">
            <w:pPr>
              <w:pStyle w:val="standard"/>
              <w:spacing w:before="120" w:after="120" w:line="240" w:lineRule="atLeast"/>
              <w:rPr>
                <w:rFonts w:cs="Calibri Light"/>
                <w:sz w:val="20"/>
                <w:szCs w:val="20"/>
              </w:rPr>
            </w:pPr>
            <w:r w:rsidRPr="004005A4">
              <w:rPr>
                <w:rFonts w:cs="Calibri Light"/>
                <w:b/>
                <w:sz w:val="20"/>
                <w:szCs w:val="20"/>
              </w:rPr>
              <w:t>Rule 12-09</w:t>
            </w:r>
            <w:r w:rsidRPr="004005A4">
              <w:rPr>
                <w:rFonts w:cs="Calibri Light"/>
                <w:b/>
                <w:sz w:val="20"/>
                <w:szCs w:val="20"/>
              </w:rPr>
              <w:tab/>
              <w:t xml:space="preserve">Schedule II.  Valuation and qualifying accounts.  </w:t>
            </w:r>
            <w:r w:rsidRPr="004005A4">
              <w:rPr>
                <w:rFonts w:cs="Calibri Light"/>
                <w:sz w:val="20"/>
                <w:szCs w:val="20"/>
              </w:rPr>
              <w:t>Required in support of valuation and qualifying accounts and reserves if not disclosed in a note, such as the allowance for doubtful accounts.</w:t>
            </w:r>
          </w:p>
        </w:tc>
        <w:tc>
          <w:tcPr>
            <w:tcW w:w="1209" w:type="dxa"/>
            <w:gridSpan w:val="2"/>
            <w:tcBorders>
              <w:top w:val="single" w:sz="6" w:space="0" w:color="auto"/>
              <w:bottom w:val="single" w:sz="4" w:space="0" w:color="auto"/>
            </w:tcBorders>
            <w:vAlign w:val="bottom"/>
          </w:tcPr>
          <w:p w14:paraId="7AB3DEE1"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617A5971"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2DC6400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0DF79F2" w14:textId="77777777" w:rsidTr="00CC36C1">
        <w:trPr>
          <w:gridBefore w:val="1"/>
          <w:wBefore w:w="17" w:type="dxa"/>
        </w:trPr>
        <w:tc>
          <w:tcPr>
            <w:tcW w:w="7483" w:type="dxa"/>
            <w:gridSpan w:val="2"/>
          </w:tcPr>
          <w:p w14:paraId="38FBF708" w14:textId="11822571" w:rsidR="006F3A86" w:rsidRPr="004005A4" w:rsidRDefault="006F3A86" w:rsidP="006F3A86">
            <w:pPr>
              <w:pStyle w:val="level1"/>
              <w:tabs>
                <w:tab w:val="clear" w:pos="576"/>
              </w:tabs>
              <w:spacing w:after="120" w:line="240" w:lineRule="atLeast"/>
              <w:ind w:left="52" w:firstLine="0"/>
              <w:rPr>
                <w:rFonts w:cs="Calibri Light"/>
                <w:b/>
                <w:sz w:val="20"/>
                <w:szCs w:val="20"/>
              </w:rPr>
            </w:pPr>
            <w:r w:rsidRPr="004005A4">
              <w:rPr>
                <w:rFonts w:cs="Calibri Light"/>
                <w:sz w:val="20"/>
                <w:szCs w:val="20"/>
              </w:rPr>
              <w:t>List, by major classes, all valuation and qualifying accounts and reserves not included in specific schedules. Identify each such class of valuation and qualifying accounts and reserves by descriptive title. Group (a) those valuation and qualifying accounts which are deducted in the balance sheet from the assets to which they apply and (b) those reserves which support the balance sheet caption, Reserves. Valuation and qualifying accounts and reserves as to which the additions, deductions, and balances were not individually significant may be grouped in one total and in such case the information called for under columns C and D of the schedule (see template included within the Rule 12-09) need not be given.</w:t>
            </w:r>
          </w:p>
        </w:tc>
        <w:tc>
          <w:tcPr>
            <w:tcW w:w="1209" w:type="dxa"/>
            <w:gridSpan w:val="2"/>
            <w:tcBorders>
              <w:top w:val="single" w:sz="4" w:space="0" w:color="auto"/>
            </w:tcBorders>
            <w:vAlign w:val="bottom"/>
          </w:tcPr>
          <w:p w14:paraId="3540CD84"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219121B"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6D83E6B"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AA9A9FA" w14:textId="77777777" w:rsidTr="00CC36C1">
        <w:trPr>
          <w:gridBefore w:val="1"/>
          <w:wBefore w:w="17" w:type="dxa"/>
        </w:trPr>
        <w:tc>
          <w:tcPr>
            <w:tcW w:w="7483" w:type="dxa"/>
            <w:gridSpan w:val="2"/>
          </w:tcPr>
          <w:p w14:paraId="6856020B" w14:textId="48927193" w:rsidR="006F3A86" w:rsidRPr="004005A4" w:rsidRDefault="006F3A86" w:rsidP="006F3A86">
            <w:pPr>
              <w:pStyle w:val="standard"/>
              <w:spacing w:before="120" w:after="120" w:line="240" w:lineRule="atLeast"/>
              <w:rPr>
                <w:rFonts w:cs="Calibri Light"/>
                <w:b/>
                <w:sz w:val="20"/>
                <w:szCs w:val="20"/>
              </w:rPr>
            </w:pPr>
            <w:r w:rsidRPr="004005A4">
              <w:rPr>
                <w:rFonts w:cs="Calibri Light"/>
                <w:b/>
                <w:sz w:val="20"/>
                <w:szCs w:val="20"/>
              </w:rPr>
              <w:lastRenderedPageBreak/>
              <w:t>Rule 12-28</w:t>
            </w:r>
            <w:r w:rsidRPr="004005A4">
              <w:rPr>
                <w:rFonts w:cs="Calibri Light"/>
                <w:b/>
                <w:sz w:val="20"/>
                <w:szCs w:val="20"/>
              </w:rPr>
              <w:tab/>
              <w:t xml:space="preserve">Schedule III.  Real estate and accumulated depreciation.  </w:t>
            </w:r>
            <w:r w:rsidRPr="004005A4">
              <w:rPr>
                <w:rFonts w:cs="Calibri Light"/>
                <w:sz w:val="20"/>
                <w:szCs w:val="20"/>
              </w:rPr>
              <w:t>Required in support of real estate owned by certain real estate companies or investments in real estate companies.  See SAB Topic 7-C, as to the SEC staff’s view that this schedule should be included in the annual report to shareholders.</w:t>
            </w:r>
          </w:p>
        </w:tc>
        <w:tc>
          <w:tcPr>
            <w:tcW w:w="1209" w:type="dxa"/>
            <w:gridSpan w:val="2"/>
            <w:tcBorders>
              <w:top w:val="single" w:sz="4" w:space="0" w:color="auto"/>
              <w:bottom w:val="single" w:sz="4" w:space="0" w:color="auto"/>
            </w:tcBorders>
            <w:vAlign w:val="bottom"/>
          </w:tcPr>
          <w:p w14:paraId="469944A0"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0EA85CC"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01B8427"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CFCAE5A" w14:textId="77777777" w:rsidTr="00CC36C1">
        <w:trPr>
          <w:gridBefore w:val="1"/>
          <w:wBefore w:w="17" w:type="dxa"/>
        </w:trPr>
        <w:tc>
          <w:tcPr>
            <w:tcW w:w="7483" w:type="dxa"/>
            <w:gridSpan w:val="2"/>
          </w:tcPr>
          <w:p w14:paraId="59EAD102" w14:textId="47F8C145" w:rsidR="006F3A86" w:rsidRPr="004005A4" w:rsidRDefault="006F3A86" w:rsidP="006F3A86">
            <w:pPr>
              <w:pStyle w:val="standard"/>
              <w:spacing w:before="120" w:after="120" w:line="240" w:lineRule="atLeast"/>
              <w:rPr>
                <w:rFonts w:cs="Calibri Light"/>
                <w:b/>
                <w:sz w:val="20"/>
                <w:szCs w:val="20"/>
              </w:rPr>
            </w:pPr>
            <w:r w:rsidRPr="004005A4">
              <w:rPr>
                <w:rFonts w:cs="Calibri Light"/>
                <w:b/>
                <w:sz w:val="20"/>
                <w:szCs w:val="20"/>
              </w:rPr>
              <w:t>Rule 12-29</w:t>
            </w:r>
            <w:r w:rsidRPr="004005A4">
              <w:rPr>
                <w:rFonts w:cs="Calibri Light"/>
                <w:b/>
                <w:sz w:val="20"/>
                <w:szCs w:val="20"/>
              </w:rPr>
              <w:tab/>
              <w:t xml:space="preserve">Schedule IV.  Mortgage loans on real estate.  </w:t>
            </w:r>
            <w:r w:rsidRPr="004005A4">
              <w:rPr>
                <w:rFonts w:cs="Calibri Light"/>
                <w:sz w:val="20"/>
                <w:szCs w:val="20"/>
              </w:rPr>
              <w:t>Required in support of investments in mortgage loans</w:t>
            </w:r>
            <w:r>
              <w:rPr>
                <w:rFonts w:cs="Calibri Light"/>
                <w:sz w:val="20"/>
                <w:szCs w:val="20"/>
              </w:rPr>
              <w:t xml:space="preserve"> on real estate</w:t>
            </w:r>
            <w:r w:rsidRPr="004005A4">
              <w:rPr>
                <w:rFonts w:cs="Calibri Light"/>
                <w:sz w:val="20"/>
                <w:szCs w:val="20"/>
              </w:rPr>
              <w:t xml:space="preserve"> by companies specified under </w:t>
            </w:r>
            <w:r>
              <w:rPr>
                <w:rStyle w:val="level1Char"/>
              </w:rPr>
              <w:t>S</w:t>
            </w:r>
            <w:r>
              <w:rPr>
                <w:rFonts w:cs="Calibri Light"/>
                <w:sz w:val="20"/>
                <w:szCs w:val="20"/>
              </w:rPr>
              <w:t>c</w:t>
            </w:r>
            <w:r w:rsidRPr="004005A4">
              <w:rPr>
                <w:rFonts w:cs="Calibri Light"/>
                <w:sz w:val="20"/>
                <w:szCs w:val="20"/>
              </w:rPr>
              <w:t xml:space="preserve">hedule III.  </w:t>
            </w:r>
          </w:p>
        </w:tc>
        <w:tc>
          <w:tcPr>
            <w:tcW w:w="1209" w:type="dxa"/>
            <w:gridSpan w:val="2"/>
            <w:tcBorders>
              <w:top w:val="single" w:sz="4" w:space="0" w:color="auto"/>
              <w:bottom w:val="single" w:sz="4" w:space="0" w:color="auto"/>
            </w:tcBorders>
            <w:vAlign w:val="bottom"/>
          </w:tcPr>
          <w:p w14:paraId="206116DD"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47B6EDA8"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FC829E9"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FFAE9B8" w14:textId="77777777" w:rsidTr="00CC36C1">
        <w:trPr>
          <w:gridBefore w:val="1"/>
          <w:wBefore w:w="17" w:type="dxa"/>
        </w:trPr>
        <w:tc>
          <w:tcPr>
            <w:tcW w:w="7483" w:type="dxa"/>
            <w:gridSpan w:val="2"/>
          </w:tcPr>
          <w:p w14:paraId="14B9A351" w14:textId="48E327D5" w:rsidR="006F3A86" w:rsidRPr="004005A4" w:rsidRDefault="006F3A86" w:rsidP="006F3A86">
            <w:pPr>
              <w:pStyle w:val="level1"/>
              <w:tabs>
                <w:tab w:val="clear" w:pos="576"/>
              </w:tabs>
              <w:spacing w:after="120" w:line="240" w:lineRule="atLeast"/>
              <w:ind w:left="0" w:firstLine="0"/>
              <w:rPr>
                <w:rFonts w:cs="Calibri Light"/>
                <w:b/>
                <w:sz w:val="20"/>
                <w:szCs w:val="20"/>
              </w:rPr>
            </w:pPr>
            <w:r w:rsidRPr="004005A4">
              <w:rPr>
                <w:rFonts w:cs="Calibri Light"/>
                <w:sz w:val="20"/>
                <w:szCs w:val="20"/>
              </w:rPr>
              <w:t>See SAB Topic 7-C, as to the SEC staff’s view that this schedule should be included in the annual report to shareholders.</w:t>
            </w:r>
          </w:p>
        </w:tc>
        <w:tc>
          <w:tcPr>
            <w:tcW w:w="1209" w:type="dxa"/>
            <w:gridSpan w:val="2"/>
            <w:tcBorders>
              <w:top w:val="single" w:sz="4" w:space="0" w:color="auto"/>
            </w:tcBorders>
            <w:vAlign w:val="bottom"/>
          </w:tcPr>
          <w:p w14:paraId="30BB0E21"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319C834"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F223FEA"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ECF1C17" w14:textId="77777777" w:rsidTr="00CC36C1">
        <w:trPr>
          <w:gridBefore w:val="1"/>
          <w:wBefore w:w="17" w:type="dxa"/>
        </w:trPr>
        <w:tc>
          <w:tcPr>
            <w:tcW w:w="7483" w:type="dxa"/>
            <w:gridSpan w:val="2"/>
          </w:tcPr>
          <w:p w14:paraId="6078A7BB" w14:textId="77777777" w:rsidR="006F3A86" w:rsidRDefault="006F3A86" w:rsidP="006F3A86">
            <w:pPr>
              <w:pStyle w:val="standard"/>
              <w:spacing w:before="120" w:after="120" w:line="240" w:lineRule="atLeast"/>
              <w:rPr>
                <w:rFonts w:cs="Calibri Light"/>
                <w:sz w:val="20"/>
                <w:szCs w:val="20"/>
              </w:rPr>
            </w:pPr>
            <w:r w:rsidRPr="004005A4">
              <w:rPr>
                <w:rFonts w:cs="Calibri Light"/>
                <w:b/>
                <w:sz w:val="20"/>
                <w:szCs w:val="20"/>
              </w:rPr>
              <w:t>Rule 12-18</w:t>
            </w:r>
            <w:r w:rsidRPr="004005A4">
              <w:rPr>
                <w:rFonts w:cs="Calibri Light"/>
                <w:b/>
                <w:sz w:val="20"/>
                <w:szCs w:val="20"/>
              </w:rPr>
              <w:tab/>
              <w:t xml:space="preserve">Schedule V.  Supplemental information concerning property-casualty insurance operations.  </w:t>
            </w:r>
            <w:r w:rsidRPr="001B610A">
              <w:rPr>
                <w:rFonts w:cs="Calibri Light"/>
                <w:bCs/>
                <w:sz w:val="20"/>
                <w:szCs w:val="20"/>
                <w:u w:val="single"/>
              </w:rPr>
              <w:t>Required</w:t>
            </w:r>
            <w:r>
              <w:rPr>
                <w:rFonts w:cs="Calibri Light"/>
                <w:b/>
                <w:sz w:val="20"/>
                <w:szCs w:val="20"/>
              </w:rPr>
              <w:t xml:space="preserve"> </w:t>
            </w:r>
            <w:r>
              <w:rPr>
                <w:rFonts w:cs="Calibri Light"/>
                <w:sz w:val="20"/>
                <w:szCs w:val="20"/>
              </w:rPr>
              <w:t xml:space="preserve">when a registrant, its subsidiaries or 50% or less owned equity method investees have liabilities for property-casualty (“P/C”) insurance claims. </w:t>
            </w:r>
            <w:r w:rsidRPr="004005A4">
              <w:rPr>
                <w:rFonts w:cs="Calibri Light"/>
                <w:sz w:val="20"/>
                <w:szCs w:val="20"/>
              </w:rPr>
              <w:t xml:space="preserve">May be omitted if reserves for unpaid </w:t>
            </w:r>
            <w:r>
              <w:rPr>
                <w:rFonts w:cs="Calibri Light"/>
                <w:sz w:val="20"/>
                <w:szCs w:val="20"/>
              </w:rPr>
              <w:t xml:space="preserve">P/C </w:t>
            </w:r>
            <w:r w:rsidRPr="004005A4">
              <w:rPr>
                <w:rFonts w:cs="Calibri Light"/>
                <w:sz w:val="20"/>
                <w:szCs w:val="20"/>
              </w:rPr>
              <w:t xml:space="preserve">claims and claims adjustment expenses </w:t>
            </w:r>
            <w:r>
              <w:rPr>
                <w:rFonts w:cs="Calibri Light"/>
                <w:sz w:val="20"/>
                <w:szCs w:val="20"/>
              </w:rPr>
              <w:t>of the registrant, its consolidated subsidies, its unconsolidated subsidiaries and 50% or less owned equity method investees</w:t>
            </w:r>
            <w:r w:rsidRPr="004005A4">
              <w:rPr>
                <w:rFonts w:cs="Calibri Light"/>
                <w:sz w:val="20"/>
                <w:szCs w:val="20"/>
              </w:rPr>
              <w:t xml:space="preserve"> do not</w:t>
            </w:r>
            <w:r>
              <w:rPr>
                <w:rFonts w:cs="Calibri Light"/>
                <w:sz w:val="20"/>
                <w:szCs w:val="20"/>
              </w:rPr>
              <w:t>, in aggregate,</w:t>
            </w:r>
            <w:r w:rsidRPr="004005A4">
              <w:rPr>
                <w:rFonts w:cs="Calibri Light"/>
                <w:sz w:val="20"/>
                <w:szCs w:val="20"/>
              </w:rPr>
              <w:t xml:space="preserve"> exceed 50% of common stockholders’ equity </w:t>
            </w:r>
            <w:r>
              <w:rPr>
                <w:rFonts w:cs="Calibri Light"/>
                <w:sz w:val="20"/>
                <w:szCs w:val="20"/>
              </w:rPr>
              <w:t>of the registrant and its consolidated subsidiaries</w:t>
            </w:r>
            <w:r w:rsidRPr="004005A4">
              <w:rPr>
                <w:rFonts w:cs="Calibri Light"/>
                <w:sz w:val="20"/>
                <w:szCs w:val="20"/>
              </w:rPr>
              <w:t xml:space="preserve"> as of the beginning of the </w:t>
            </w:r>
            <w:r>
              <w:rPr>
                <w:rFonts w:cs="Calibri Light"/>
                <w:sz w:val="20"/>
                <w:szCs w:val="20"/>
              </w:rPr>
              <w:t xml:space="preserve">fiscal </w:t>
            </w:r>
            <w:r w:rsidRPr="004005A4">
              <w:rPr>
                <w:rFonts w:cs="Calibri Light"/>
                <w:sz w:val="20"/>
                <w:szCs w:val="20"/>
              </w:rPr>
              <w:t>year.</w:t>
            </w:r>
          </w:p>
          <w:p w14:paraId="17E51F66" w14:textId="76200398" w:rsidR="006F3A86" w:rsidRPr="004366D5" w:rsidRDefault="006F3A86" w:rsidP="006F3A86">
            <w:pPr>
              <w:pStyle w:val="standard"/>
              <w:spacing w:before="120" w:after="120" w:line="240" w:lineRule="atLeast"/>
              <w:rPr>
                <w:rFonts w:cs="Calibri Light"/>
                <w:bCs/>
                <w:sz w:val="20"/>
                <w:szCs w:val="20"/>
                <w:u w:val="single"/>
              </w:rPr>
            </w:pPr>
            <w:r w:rsidRPr="004366D5">
              <w:rPr>
                <w:rFonts w:cs="Calibri Light"/>
                <w:bCs/>
                <w:sz w:val="20"/>
                <w:szCs w:val="20"/>
                <w:u w:val="single"/>
              </w:rPr>
              <w:t>For purposes of this test only the proportionate share of the registrant and its other subsidiaries in the reserves for unpaid claims and claim adjustment expenses of 50%-or-less-owned equity basis investees taken in the aggregate after intercompany eliminations are taken into account.</w:t>
            </w:r>
          </w:p>
        </w:tc>
        <w:tc>
          <w:tcPr>
            <w:tcW w:w="1209" w:type="dxa"/>
            <w:gridSpan w:val="2"/>
            <w:tcBorders>
              <w:bottom w:val="single" w:sz="4" w:space="0" w:color="auto"/>
            </w:tcBorders>
            <w:vAlign w:val="bottom"/>
          </w:tcPr>
          <w:p w14:paraId="4BF24094"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7A45445"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6641A11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DA85A53" w14:textId="77777777" w:rsidTr="00CC36C1">
        <w:trPr>
          <w:gridBefore w:val="1"/>
          <w:wBefore w:w="17" w:type="dxa"/>
        </w:trPr>
        <w:tc>
          <w:tcPr>
            <w:tcW w:w="7483" w:type="dxa"/>
            <w:gridSpan w:val="2"/>
          </w:tcPr>
          <w:p w14:paraId="6A75ABE5" w14:textId="77777777" w:rsidR="006F3A86" w:rsidRPr="004005A4" w:rsidRDefault="006F3A86" w:rsidP="006F3A86">
            <w:pPr>
              <w:pStyle w:val="FormTableHeaderRow"/>
              <w:rPr>
                <w:rFonts w:cs="Calibri Light"/>
                <w:sz w:val="20"/>
                <w:szCs w:val="20"/>
              </w:rPr>
            </w:pPr>
            <w:bookmarkStart w:id="29" w:name="Article8"/>
            <w:bookmarkEnd w:id="29"/>
            <w:r w:rsidRPr="004005A4">
              <w:rPr>
                <w:rFonts w:cs="Calibri Light"/>
                <w:sz w:val="20"/>
                <w:szCs w:val="20"/>
              </w:rPr>
              <w:t>ARTICLE 8.  FINANCIAL STATEMENTS OF SMALLER REPORTING COMPANIES</w:t>
            </w:r>
          </w:p>
        </w:tc>
        <w:tc>
          <w:tcPr>
            <w:tcW w:w="1209" w:type="dxa"/>
            <w:gridSpan w:val="2"/>
            <w:tcBorders>
              <w:top w:val="single" w:sz="4" w:space="0" w:color="auto"/>
            </w:tcBorders>
            <w:vAlign w:val="bottom"/>
          </w:tcPr>
          <w:p w14:paraId="3F504EAD"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tcBorders>
              <w:left w:val="nil"/>
            </w:tcBorders>
            <w:vAlign w:val="bottom"/>
          </w:tcPr>
          <w:p w14:paraId="06E71E90"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B8C3A60"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49691B6" w14:textId="77777777" w:rsidTr="00CC36C1">
        <w:trPr>
          <w:gridBefore w:val="1"/>
          <w:wBefore w:w="17" w:type="dxa"/>
        </w:trPr>
        <w:tc>
          <w:tcPr>
            <w:tcW w:w="7483" w:type="dxa"/>
            <w:gridSpan w:val="2"/>
          </w:tcPr>
          <w:p w14:paraId="3E9E2042" w14:textId="65F785BD" w:rsidR="006F3A86" w:rsidRPr="004005A4" w:rsidRDefault="006F3A86" w:rsidP="006F3A86">
            <w:pPr>
              <w:pStyle w:val="standard"/>
              <w:spacing w:before="120" w:after="120" w:line="240" w:lineRule="atLeast"/>
              <w:rPr>
                <w:rFonts w:cs="Calibri Light"/>
                <w:sz w:val="20"/>
                <w:szCs w:val="20"/>
              </w:rPr>
            </w:pPr>
            <w:bookmarkStart w:id="30" w:name="_ARTICLE_10._INTERIM"/>
            <w:bookmarkEnd w:id="30"/>
            <w:r w:rsidRPr="004005A4">
              <w:rPr>
                <w:rFonts w:cs="Calibri Light"/>
                <w:sz w:val="20"/>
                <w:szCs w:val="20"/>
              </w:rPr>
              <w:t>Article 8 of Regulation S-X contains the SEC requirements for financial statements of smaller reporting companies.  Refer to Article 8 for detailed guidance.</w:t>
            </w:r>
          </w:p>
          <w:p w14:paraId="5348526D" w14:textId="77777777" w:rsidR="006F3A86" w:rsidRPr="004005A4" w:rsidRDefault="006F3A86" w:rsidP="006F3A86">
            <w:pPr>
              <w:pStyle w:val="FormTableHeaderRow"/>
              <w:rPr>
                <w:rFonts w:cs="Calibri Light"/>
                <w:sz w:val="20"/>
                <w:szCs w:val="20"/>
              </w:rPr>
            </w:pPr>
            <w:bookmarkStart w:id="31" w:name="Article10"/>
            <w:bookmarkEnd w:id="31"/>
            <w:r w:rsidRPr="004005A4">
              <w:rPr>
                <w:rFonts w:cs="Calibri Light"/>
                <w:sz w:val="20"/>
                <w:szCs w:val="20"/>
              </w:rPr>
              <w:t>ARTICLE 10. INTERIM FINANCIAL STATEMENTS</w:t>
            </w:r>
          </w:p>
          <w:p w14:paraId="188F0042" w14:textId="53392428" w:rsidR="006F3A86" w:rsidRPr="004005A4" w:rsidRDefault="006F3A86" w:rsidP="006F3A86">
            <w:pPr>
              <w:pStyle w:val="standard"/>
              <w:spacing w:before="120" w:after="120" w:line="240" w:lineRule="atLeast"/>
              <w:rPr>
                <w:rFonts w:cs="Calibri Light"/>
                <w:sz w:val="20"/>
                <w:szCs w:val="20"/>
              </w:rPr>
            </w:pPr>
            <w:r w:rsidRPr="004005A4">
              <w:rPr>
                <w:rFonts w:cs="Calibri Light"/>
                <w:sz w:val="20"/>
                <w:szCs w:val="20"/>
              </w:rPr>
              <w:t xml:space="preserve">See </w:t>
            </w:r>
            <w:r w:rsidRPr="004005A4">
              <w:rPr>
                <w:rFonts w:cs="Calibri Light"/>
                <w:i/>
                <w:sz w:val="20"/>
                <w:szCs w:val="20"/>
              </w:rPr>
              <w:t>Checklist for Quarterly Report on Form 10-Q.</w:t>
            </w:r>
          </w:p>
        </w:tc>
        <w:tc>
          <w:tcPr>
            <w:tcW w:w="1209" w:type="dxa"/>
            <w:gridSpan w:val="2"/>
            <w:vAlign w:val="bottom"/>
          </w:tcPr>
          <w:p w14:paraId="4109A39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tcBorders>
              <w:left w:val="nil"/>
            </w:tcBorders>
            <w:vAlign w:val="bottom"/>
          </w:tcPr>
          <w:p w14:paraId="29D5B9D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07481D3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E469FD5" w14:textId="77777777" w:rsidTr="00CC36C1">
        <w:trPr>
          <w:gridBefore w:val="1"/>
          <w:wBefore w:w="17" w:type="dxa"/>
        </w:trPr>
        <w:tc>
          <w:tcPr>
            <w:tcW w:w="7483" w:type="dxa"/>
            <w:gridSpan w:val="2"/>
          </w:tcPr>
          <w:p w14:paraId="4F60EA2D" w14:textId="77777777" w:rsidR="006F3A86" w:rsidRPr="004005A4" w:rsidRDefault="006F3A86" w:rsidP="006F3A86">
            <w:pPr>
              <w:pStyle w:val="FormTableHeaderRow"/>
              <w:rPr>
                <w:rFonts w:cs="Calibri Light"/>
                <w:sz w:val="20"/>
                <w:szCs w:val="20"/>
              </w:rPr>
            </w:pPr>
            <w:bookmarkStart w:id="32" w:name="Article11ProForma"/>
            <w:bookmarkEnd w:id="32"/>
            <w:r w:rsidRPr="004005A4">
              <w:rPr>
                <w:rFonts w:cs="Calibri Light"/>
                <w:sz w:val="20"/>
                <w:szCs w:val="20"/>
              </w:rPr>
              <w:t>ARTICLE 11.  PRO FORMA FINANCIAL INFORMATION</w:t>
            </w:r>
          </w:p>
        </w:tc>
        <w:tc>
          <w:tcPr>
            <w:tcW w:w="1209" w:type="dxa"/>
            <w:gridSpan w:val="2"/>
            <w:vAlign w:val="bottom"/>
          </w:tcPr>
          <w:p w14:paraId="5404B250"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3398B7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61A83D5A"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6914783" w14:textId="77777777" w:rsidTr="00CC36C1">
        <w:trPr>
          <w:gridBefore w:val="1"/>
          <w:wBefore w:w="17" w:type="dxa"/>
        </w:trPr>
        <w:tc>
          <w:tcPr>
            <w:tcW w:w="7483" w:type="dxa"/>
            <w:gridSpan w:val="2"/>
          </w:tcPr>
          <w:p w14:paraId="466E64B4" w14:textId="7E0BBEEE" w:rsidR="006F3A86" w:rsidRPr="004005A4" w:rsidRDefault="006F3A86" w:rsidP="006F3A86">
            <w:pPr>
              <w:pStyle w:val="Default"/>
              <w:spacing w:before="120" w:after="120" w:line="240" w:lineRule="atLeast"/>
              <w:rPr>
                <w:rFonts w:cs="Calibri Light"/>
                <w:sz w:val="20"/>
                <w:szCs w:val="20"/>
                <w:shd w:val="clear" w:color="auto" w:fill="FFFFFF"/>
              </w:rPr>
            </w:pPr>
            <w:r>
              <w:rPr>
                <w:rFonts w:ascii="Calibri Light" w:hAnsi="Calibri Light" w:cs="Calibri Light"/>
                <w:sz w:val="20"/>
                <w:szCs w:val="20"/>
                <w:shd w:val="clear" w:color="auto" w:fill="FFFFFF"/>
              </w:rPr>
              <w:t xml:space="preserve">Refer to </w:t>
            </w:r>
            <w:r w:rsidRPr="002C6FC4">
              <w:rPr>
                <w:rFonts w:ascii="Calibri Light" w:hAnsi="Calibri Light" w:cs="Calibri Light"/>
                <w:sz w:val="20"/>
                <w:szCs w:val="20"/>
              </w:rPr>
              <w:t>Chapter 4</w:t>
            </w:r>
            <w:r>
              <w:rPr>
                <w:rFonts w:ascii="Calibri Light" w:hAnsi="Calibri Light" w:cs="Calibri Light"/>
                <w:sz w:val="20"/>
                <w:szCs w:val="20"/>
              </w:rPr>
              <w:t>,</w:t>
            </w:r>
            <w:r w:rsidRPr="002C6FC4">
              <w:rPr>
                <w:rFonts w:ascii="Calibri Light" w:hAnsi="Calibri Light" w:cs="Calibri Light"/>
                <w:sz w:val="20"/>
                <w:szCs w:val="20"/>
              </w:rPr>
              <w:t xml:space="preserve"> </w:t>
            </w:r>
            <w:r>
              <w:rPr>
                <w:rFonts w:ascii="Calibri Light" w:hAnsi="Calibri Light" w:cs="Calibri Light"/>
                <w:sz w:val="20"/>
                <w:szCs w:val="20"/>
              </w:rPr>
              <w:t>“</w:t>
            </w:r>
            <w:r w:rsidRPr="002C6FC4">
              <w:rPr>
                <w:rFonts w:ascii="Calibri Light" w:hAnsi="Calibri Light" w:cs="Calibri Light"/>
                <w:sz w:val="20"/>
                <w:szCs w:val="20"/>
              </w:rPr>
              <w:t>Pro Forma Financial Information</w:t>
            </w:r>
            <w:r>
              <w:rPr>
                <w:rFonts w:ascii="Calibri Light" w:hAnsi="Calibri Light" w:cs="Calibri Light"/>
                <w:sz w:val="20"/>
                <w:szCs w:val="20"/>
              </w:rPr>
              <w:t>,”</w:t>
            </w:r>
            <w:r w:rsidRPr="002C6FC4">
              <w:rPr>
                <w:rFonts w:ascii="Calibri Light" w:hAnsi="Calibri Light" w:cs="Calibri Light"/>
                <w:sz w:val="20"/>
                <w:szCs w:val="20"/>
              </w:rPr>
              <w:t xml:space="preserve"> </w:t>
            </w:r>
            <w:r>
              <w:rPr>
                <w:rFonts w:ascii="Calibri Light" w:hAnsi="Calibri Light" w:cs="Calibri Light"/>
                <w:sz w:val="20"/>
                <w:szCs w:val="20"/>
              </w:rPr>
              <w:t>of Deloitte’s</w:t>
            </w:r>
            <w:r w:rsidRPr="002C6FC4">
              <w:rPr>
                <w:rFonts w:ascii="Calibri Light" w:hAnsi="Calibri Light" w:cs="Calibri Light"/>
                <w:sz w:val="20"/>
                <w:szCs w:val="20"/>
              </w:rPr>
              <w:t xml:space="preserve"> </w:t>
            </w:r>
            <w:hyperlink r:id="rId46" w:history="1">
              <w:r w:rsidRPr="002C6FC4">
                <w:rPr>
                  <w:rStyle w:val="Hyperlink"/>
                  <w:rFonts w:ascii="Calibri Light" w:hAnsi="Calibri Light" w:cs="Calibri Light"/>
                  <w:i/>
                  <w:iCs/>
                  <w:sz w:val="20"/>
                  <w:szCs w:val="20"/>
                </w:rPr>
                <w:t>SEC Reporting Considerations for Business Acquisitio</w:t>
              </w:r>
              <w:r>
                <w:rPr>
                  <w:rStyle w:val="Hyperlink"/>
                  <w:rFonts w:ascii="Calibri Light" w:hAnsi="Calibri Light" w:cs="Calibri Light"/>
                  <w:i/>
                  <w:iCs/>
                  <w:sz w:val="20"/>
                  <w:szCs w:val="20"/>
                </w:rPr>
                <w:t>ns</w:t>
              </w:r>
            </w:hyperlink>
            <w:r>
              <w:rPr>
                <w:rStyle w:val="Hyperlink"/>
                <w:rFonts w:ascii="Calibri Light" w:hAnsi="Calibri Light" w:cs="Calibri Light"/>
                <w:i/>
                <w:iCs/>
                <w:sz w:val="20"/>
                <w:szCs w:val="20"/>
              </w:rPr>
              <w:t xml:space="preserve"> </w:t>
            </w:r>
            <w:r>
              <w:rPr>
                <w:rStyle w:val="Hyperlink"/>
                <w:rFonts w:ascii="Calibri Light" w:hAnsi="Calibri Light" w:cs="Calibri Light"/>
                <w:color w:val="auto"/>
                <w:sz w:val="20"/>
                <w:szCs w:val="20"/>
              </w:rPr>
              <w:t>Roadmap</w:t>
            </w:r>
            <w:r>
              <w:rPr>
                <w:rFonts w:ascii="Calibri Light" w:hAnsi="Calibri Light" w:cs="Calibri Light"/>
                <w:i/>
                <w:iCs/>
                <w:sz w:val="20"/>
                <w:szCs w:val="20"/>
              </w:rPr>
              <w:t>,</w:t>
            </w:r>
            <w:r w:rsidRPr="002C6FC4">
              <w:rPr>
                <w:rFonts w:ascii="Calibri Light" w:hAnsi="Calibri Light" w:cs="Calibri Light"/>
                <w:sz w:val="20"/>
                <w:szCs w:val="20"/>
              </w:rPr>
              <w:t xml:space="preserve"> for detailed guidance</w:t>
            </w:r>
            <w:r>
              <w:rPr>
                <w:rFonts w:ascii="Calibri Light" w:hAnsi="Calibri Light" w:cs="Calibri Light"/>
                <w:sz w:val="20"/>
                <w:szCs w:val="20"/>
              </w:rPr>
              <w:t>.</w:t>
            </w:r>
          </w:p>
        </w:tc>
        <w:tc>
          <w:tcPr>
            <w:tcW w:w="1209" w:type="dxa"/>
            <w:gridSpan w:val="2"/>
            <w:vAlign w:val="bottom"/>
          </w:tcPr>
          <w:p w14:paraId="141A1B52"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4896C8AB"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5B9D2495"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37BCC6B" w14:textId="77777777" w:rsidTr="00CC36C1">
        <w:trPr>
          <w:gridBefore w:val="1"/>
          <w:wBefore w:w="17" w:type="dxa"/>
        </w:trPr>
        <w:tc>
          <w:tcPr>
            <w:tcW w:w="7483" w:type="dxa"/>
            <w:gridSpan w:val="2"/>
          </w:tcPr>
          <w:p w14:paraId="66DB7965" w14:textId="1BB9FE45" w:rsidR="006F3A86" w:rsidRDefault="006F3A86" w:rsidP="006F3A86">
            <w:pPr>
              <w:pStyle w:val="Default"/>
              <w:spacing w:before="120" w:after="120" w:line="240" w:lineRule="atLeast"/>
              <w:rPr>
                <w:rFonts w:ascii="Calibri Light" w:hAnsi="Calibri Light" w:cs="Calibri Light"/>
                <w:sz w:val="20"/>
                <w:szCs w:val="20"/>
                <w:shd w:val="clear" w:color="auto" w:fill="FFFFFF"/>
              </w:rPr>
            </w:pPr>
            <w:r w:rsidRPr="002C6FC4">
              <w:rPr>
                <w:rFonts w:ascii="Calibri Light" w:hAnsi="Calibri Light" w:cs="Calibri Light"/>
                <w:sz w:val="20"/>
                <w:szCs w:val="20"/>
                <w:shd w:val="clear" w:color="auto" w:fill="FFFFFF"/>
              </w:rPr>
              <w:t>Rule 11-01 — Presentation requirements</w:t>
            </w:r>
            <w:r w:rsidRPr="004005A4">
              <w:rPr>
                <w:rFonts w:cs="Calibri Light"/>
                <w:sz w:val="20"/>
                <w:szCs w:val="20"/>
                <w:shd w:val="clear" w:color="auto" w:fill="FFFFFF"/>
              </w:rPr>
              <w:t>.</w:t>
            </w:r>
          </w:p>
        </w:tc>
        <w:tc>
          <w:tcPr>
            <w:tcW w:w="1209" w:type="dxa"/>
            <w:gridSpan w:val="2"/>
            <w:vAlign w:val="bottom"/>
          </w:tcPr>
          <w:p w14:paraId="0CCD00BF"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FA245D4"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7F5D9075"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8ADE891" w14:textId="77777777" w:rsidTr="00CC36C1">
        <w:trPr>
          <w:gridBefore w:val="1"/>
          <w:wBefore w:w="17" w:type="dxa"/>
        </w:trPr>
        <w:tc>
          <w:tcPr>
            <w:tcW w:w="7483" w:type="dxa"/>
            <w:gridSpan w:val="2"/>
          </w:tcPr>
          <w:p w14:paraId="7E714F31" w14:textId="3530DCFE" w:rsidR="006F3A86" w:rsidRPr="004005A4" w:rsidRDefault="006F3A86" w:rsidP="006F3A86">
            <w:pPr>
              <w:pStyle w:val="level1"/>
              <w:tabs>
                <w:tab w:val="clear" w:pos="576"/>
              </w:tabs>
              <w:spacing w:after="120" w:line="240" w:lineRule="atLeast"/>
              <w:ind w:left="232" w:hanging="232"/>
              <w:rPr>
                <w:rFonts w:cs="Calibri Light"/>
                <w:sz w:val="20"/>
                <w:szCs w:val="20"/>
              </w:rPr>
            </w:pPr>
            <w:r w:rsidRPr="004005A4">
              <w:rPr>
                <w:rFonts w:cs="Calibri Light"/>
                <w:sz w:val="20"/>
                <w:szCs w:val="20"/>
              </w:rPr>
              <w:t>a.</w:t>
            </w:r>
            <w:r w:rsidRPr="004005A4">
              <w:rPr>
                <w:rFonts w:cs="Calibri Light"/>
                <w:sz w:val="20"/>
                <w:szCs w:val="20"/>
              </w:rPr>
              <w:tab/>
              <w:t>Pro forma financial information must be f</w:t>
            </w:r>
            <w:r>
              <w:rPr>
                <w:rFonts w:cs="Calibri Light"/>
                <w:sz w:val="20"/>
                <w:szCs w:val="20"/>
              </w:rPr>
              <w:t>il</w:t>
            </w:r>
            <w:r w:rsidRPr="004005A4">
              <w:rPr>
                <w:rFonts w:cs="Calibri Light"/>
                <w:sz w:val="20"/>
                <w:szCs w:val="20"/>
              </w:rPr>
              <w:t>ed in the following situations:</w:t>
            </w:r>
          </w:p>
        </w:tc>
        <w:tc>
          <w:tcPr>
            <w:tcW w:w="1209" w:type="dxa"/>
            <w:gridSpan w:val="2"/>
            <w:vAlign w:val="bottom"/>
          </w:tcPr>
          <w:p w14:paraId="5BF80C80"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6047486"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03F71359"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66FA13B" w14:textId="77777777" w:rsidTr="00CC36C1">
        <w:trPr>
          <w:gridBefore w:val="1"/>
          <w:wBefore w:w="17" w:type="dxa"/>
        </w:trPr>
        <w:tc>
          <w:tcPr>
            <w:tcW w:w="7483" w:type="dxa"/>
            <w:gridSpan w:val="2"/>
          </w:tcPr>
          <w:p w14:paraId="02BFD51A" w14:textId="033D7D6C"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(1)</w:t>
            </w:r>
            <w:r w:rsidRPr="004005A4">
              <w:rPr>
                <w:rFonts w:cs="Calibri Light"/>
                <w:sz w:val="20"/>
                <w:szCs w:val="20"/>
              </w:rPr>
              <w:tab/>
              <w:t xml:space="preserve">During the most recent fiscal year or subsequent interim period for which a balance sheet is required by </w:t>
            </w:r>
            <w:r>
              <w:rPr>
                <w:rFonts w:cs="Calibri Light"/>
                <w:sz w:val="20"/>
                <w:szCs w:val="20"/>
              </w:rPr>
              <w:t xml:space="preserve">Rule </w:t>
            </w:r>
            <w:r w:rsidRPr="004005A4">
              <w:rPr>
                <w:rFonts w:cs="Calibri Light"/>
                <w:sz w:val="20"/>
                <w:szCs w:val="20"/>
              </w:rPr>
              <w:t xml:space="preserve">3-01, a significant business </w:t>
            </w:r>
            <w:r>
              <w:rPr>
                <w:rFonts w:cs="Calibri Light"/>
                <w:sz w:val="20"/>
                <w:szCs w:val="20"/>
              </w:rPr>
              <w:t>acquisition</w:t>
            </w:r>
            <w:r w:rsidRPr="004005A4">
              <w:rPr>
                <w:rFonts w:cs="Calibri Light"/>
                <w:sz w:val="20"/>
                <w:szCs w:val="20"/>
              </w:rPr>
              <w:t xml:space="preserve"> has occurred (for purposes of these rules, this encompasses the acquisition of an interest in a business accounted for by the equity method);</w:t>
            </w:r>
          </w:p>
        </w:tc>
        <w:tc>
          <w:tcPr>
            <w:tcW w:w="1209" w:type="dxa"/>
            <w:gridSpan w:val="2"/>
            <w:tcBorders>
              <w:bottom w:val="single" w:sz="6" w:space="0" w:color="auto"/>
            </w:tcBorders>
            <w:vAlign w:val="bottom"/>
          </w:tcPr>
          <w:p w14:paraId="145EF26E"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9873158"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727CBD1B"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507A4880" w14:textId="77777777" w:rsidTr="00CC36C1">
        <w:trPr>
          <w:gridBefore w:val="1"/>
          <w:wBefore w:w="17" w:type="dxa"/>
        </w:trPr>
        <w:tc>
          <w:tcPr>
            <w:tcW w:w="7483" w:type="dxa"/>
            <w:gridSpan w:val="2"/>
          </w:tcPr>
          <w:p w14:paraId="738927FA" w14:textId="6F7DB0EA"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lastRenderedPageBreak/>
              <w:t>(2)</w:t>
            </w:r>
            <w:r w:rsidRPr="004005A4">
              <w:rPr>
                <w:rFonts w:cs="Calibri Light"/>
                <w:sz w:val="20"/>
                <w:szCs w:val="20"/>
              </w:rPr>
              <w:tab/>
              <w:t xml:space="preserve">After the date of the most recent balance sheet filed pursuant to </w:t>
            </w:r>
            <w:r>
              <w:rPr>
                <w:rFonts w:cs="Calibri Light"/>
                <w:sz w:val="20"/>
                <w:szCs w:val="20"/>
              </w:rPr>
              <w:t xml:space="preserve">Rule </w:t>
            </w:r>
            <w:r w:rsidRPr="004005A4">
              <w:rPr>
                <w:rFonts w:cs="Calibri Light"/>
                <w:sz w:val="20"/>
                <w:szCs w:val="20"/>
              </w:rPr>
              <w:t xml:space="preserve">3-01, consummation of a significant business </w:t>
            </w:r>
            <w:r>
              <w:rPr>
                <w:rFonts w:cs="Calibri Light"/>
                <w:sz w:val="20"/>
                <w:szCs w:val="20"/>
              </w:rPr>
              <w:t>acquisition</w:t>
            </w:r>
            <w:r w:rsidRPr="004005A4">
              <w:rPr>
                <w:rFonts w:cs="Calibri Light"/>
                <w:sz w:val="20"/>
                <w:szCs w:val="20"/>
              </w:rPr>
              <w:t xml:space="preserve"> or a combination of entities under common control has occurred or is probable;</w:t>
            </w:r>
          </w:p>
        </w:tc>
        <w:tc>
          <w:tcPr>
            <w:tcW w:w="1209" w:type="dxa"/>
            <w:gridSpan w:val="2"/>
            <w:tcBorders>
              <w:top w:val="single" w:sz="6" w:space="0" w:color="auto"/>
            </w:tcBorders>
            <w:vAlign w:val="bottom"/>
          </w:tcPr>
          <w:p w14:paraId="6FCF8FF6"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8D2D12C"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1AAF41C1"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02A7F13" w14:textId="77777777" w:rsidTr="00CC36C1">
        <w:trPr>
          <w:gridBefore w:val="1"/>
          <w:wBefore w:w="17" w:type="dxa"/>
        </w:trPr>
        <w:tc>
          <w:tcPr>
            <w:tcW w:w="7483" w:type="dxa"/>
            <w:gridSpan w:val="2"/>
          </w:tcPr>
          <w:p w14:paraId="7E3C49F6" w14:textId="77777777"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(3)</w:t>
            </w:r>
            <w:r w:rsidRPr="004005A4">
              <w:rPr>
                <w:rFonts w:cs="Calibri Light"/>
                <w:sz w:val="20"/>
                <w:szCs w:val="20"/>
              </w:rPr>
              <w:tab/>
              <w:t>Securities being registered by the issuer are to be offered to the security holders of a significant business to be acquired or the proceeds from the offered securities will be used directly or indirectly for the purchase of a specific significant business;</w:t>
            </w:r>
          </w:p>
        </w:tc>
        <w:tc>
          <w:tcPr>
            <w:tcW w:w="1209" w:type="dxa"/>
            <w:gridSpan w:val="2"/>
            <w:tcBorders>
              <w:top w:val="single" w:sz="4" w:space="0" w:color="auto"/>
            </w:tcBorders>
            <w:vAlign w:val="bottom"/>
          </w:tcPr>
          <w:p w14:paraId="69EE5F0C"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8C132C9"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6C64AA6"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AA2478F" w14:textId="77777777" w:rsidTr="00CC36C1">
        <w:trPr>
          <w:gridBefore w:val="1"/>
          <w:wBefore w:w="17" w:type="dxa"/>
        </w:trPr>
        <w:tc>
          <w:tcPr>
            <w:tcW w:w="7483" w:type="dxa"/>
            <w:gridSpan w:val="2"/>
          </w:tcPr>
          <w:p w14:paraId="1959BB4B" w14:textId="13B0E192"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(4)</w:t>
            </w:r>
            <w:r w:rsidRPr="004005A4">
              <w:rPr>
                <w:rFonts w:cs="Calibri Light"/>
                <w:sz w:val="20"/>
                <w:szCs w:val="20"/>
              </w:rPr>
              <w:tab/>
              <w:t xml:space="preserve">The disposition of a significant portion of a business (by sale, abandonment, or distribution to shareholders by means of a spin-off, split-up, or split-off) has occurred or is probable, and the disposition is not fully reflected in the </w:t>
            </w:r>
            <w:r>
              <w:rPr>
                <w:rFonts w:cs="Calibri Light"/>
                <w:sz w:val="20"/>
                <w:szCs w:val="20"/>
              </w:rPr>
              <w:t xml:space="preserve">financial </w:t>
            </w:r>
            <w:r w:rsidRPr="004005A4">
              <w:rPr>
                <w:rFonts w:cs="Calibri Light"/>
                <w:sz w:val="20"/>
                <w:szCs w:val="20"/>
              </w:rPr>
              <w:t xml:space="preserve">statements </w:t>
            </w:r>
            <w:r>
              <w:rPr>
                <w:rFonts w:cs="Calibri Light"/>
                <w:sz w:val="20"/>
                <w:szCs w:val="20"/>
              </w:rPr>
              <w:t>of the registrant</w:t>
            </w:r>
            <w:r w:rsidR="00DC4F89">
              <w:rPr>
                <w:rFonts w:cs="Calibri Light"/>
                <w:sz w:val="20"/>
                <w:szCs w:val="20"/>
              </w:rPr>
              <w:t xml:space="preserve"> </w:t>
            </w:r>
            <w:r w:rsidRPr="004005A4">
              <w:rPr>
                <w:rFonts w:cs="Calibri Light"/>
                <w:sz w:val="20"/>
                <w:szCs w:val="20"/>
              </w:rPr>
              <w:t>included in the filing;</w:t>
            </w:r>
          </w:p>
        </w:tc>
        <w:tc>
          <w:tcPr>
            <w:tcW w:w="1209" w:type="dxa"/>
            <w:gridSpan w:val="2"/>
            <w:tcBorders>
              <w:top w:val="single" w:sz="6" w:space="0" w:color="auto"/>
              <w:bottom w:val="single" w:sz="4" w:space="0" w:color="auto"/>
            </w:tcBorders>
            <w:vAlign w:val="bottom"/>
          </w:tcPr>
          <w:p w14:paraId="2272F959"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FD4A1A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0B4A40BD"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F798EC8" w14:textId="77777777" w:rsidTr="00CC36C1">
        <w:trPr>
          <w:gridBefore w:val="1"/>
          <w:wBefore w:w="17" w:type="dxa"/>
        </w:trPr>
        <w:tc>
          <w:tcPr>
            <w:tcW w:w="7483" w:type="dxa"/>
            <w:gridSpan w:val="2"/>
          </w:tcPr>
          <w:p w14:paraId="7EA01BED" w14:textId="37350662"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(5)</w:t>
            </w:r>
            <w:r w:rsidRPr="004005A4">
              <w:rPr>
                <w:rFonts w:cs="Calibri Light"/>
                <w:sz w:val="20"/>
                <w:szCs w:val="20"/>
              </w:rPr>
              <w:tab/>
            </w:r>
            <w:r>
              <w:rPr>
                <w:rFonts w:cs="Calibri Light"/>
                <w:sz w:val="20"/>
                <w:szCs w:val="20"/>
              </w:rPr>
              <w:t>[Reserved]</w:t>
            </w:r>
          </w:p>
        </w:tc>
        <w:tc>
          <w:tcPr>
            <w:tcW w:w="1209" w:type="dxa"/>
            <w:gridSpan w:val="2"/>
            <w:tcBorders>
              <w:top w:val="single" w:sz="4" w:space="0" w:color="auto"/>
            </w:tcBorders>
            <w:vAlign w:val="bottom"/>
          </w:tcPr>
          <w:p w14:paraId="5F5C5146"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3A6E622"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4D7A248"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5296920" w14:textId="77777777" w:rsidTr="00CC36C1">
        <w:trPr>
          <w:gridBefore w:val="1"/>
          <w:wBefore w:w="17" w:type="dxa"/>
        </w:trPr>
        <w:tc>
          <w:tcPr>
            <w:tcW w:w="7483" w:type="dxa"/>
            <w:gridSpan w:val="2"/>
          </w:tcPr>
          <w:p w14:paraId="35675457" w14:textId="77777777"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(6)</w:t>
            </w:r>
            <w:r w:rsidRPr="004005A4">
              <w:rPr>
                <w:rFonts w:cs="Calibri Light"/>
                <w:sz w:val="20"/>
                <w:szCs w:val="20"/>
              </w:rPr>
              <w:tab/>
              <w:t>Pro</w:t>
            </w:r>
            <w:r w:rsidRPr="004005A4">
              <w:rPr>
                <w:rStyle w:val="level2Char"/>
                <w:rFonts w:cs="Calibri Light"/>
                <w:sz w:val="20"/>
                <w:szCs w:val="20"/>
              </w:rPr>
              <w:t xml:space="preserve"> forma financial information requ</w:t>
            </w:r>
            <w:r w:rsidRPr="004005A4">
              <w:rPr>
                <w:rFonts w:cs="Calibri Light"/>
                <w:sz w:val="20"/>
                <w:szCs w:val="20"/>
              </w:rPr>
              <w:t>ir</w:t>
            </w:r>
            <w:r w:rsidRPr="004005A4">
              <w:rPr>
                <w:rStyle w:val="level2Char"/>
                <w:rFonts w:cs="Calibri Light"/>
                <w:sz w:val="20"/>
                <w:szCs w:val="20"/>
              </w:rPr>
              <w:t>ed by Item 914 of Regulation S-K is re</w:t>
            </w:r>
            <w:r w:rsidRPr="004005A4">
              <w:rPr>
                <w:rFonts w:cs="Calibri Light"/>
                <w:sz w:val="20"/>
                <w:szCs w:val="20"/>
              </w:rPr>
              <w:t>quired in connection with a roll-up transaction as defined in S-K Item 901(c);</w:t>
            </w:r>
          </w:p>
        </w:tc>
        <w:tc>
          <w:tcPr>
            <w:tcW w:w="1209" w:type="dxa"/>
            <w:gridSpan w:val="2"/>
            <w:tcBorders>
              <w:bottom w:val="single" w:sz="4" w:space="0" w:color="auto"/>
            </w:tcBorders>
            <w:vAlign w:val="bottom"/>
          </w:tcPr>
          <w:p w14:paraId="581B6499"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DEF1700"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48523789"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D66E6CE" w14:textId="77777777" w:rsidTr="00CC36C1">
        <w:trPr>
          <w:gridBefore w:val="1"/>
          <w:wBefore w:w="17" w:type="dxa"/>
        </w:trPr>
        <w:tc>
          <w:tcPr>
            <w:tcW w:w="7483" w:type="dxa"/>
            <w:gridSpan w:val="2"/>
          </w:tcPr>
          <w:p w14:paraId="70B2A8BE" w14:textId="3E9715A5"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(7)</w:t>
            </w:r>
            <w:r w:rsidRPr="004005A4">
              <w:rPr>
                <w:rFonts w:cs="Calibri Light"/>
                <w:sz w:val="20"/>
                <w:szCs w:val="20"/>
              </w:rPr>
              <w:tab/>
              <w:t xml:space="preserve">The registrant previously was a part of another entity and </w:t>
            </w:r>
            <w:r>
              <w:rPr>
                <w:rFonts w:cs="Calibri Light"/>
                <w:sz w:val="20"/>
                <w:szCs w:val="20"/>
              </w:rPr>
              <w:t>such</w:t>
            </w:r>
            <w:r w:rsidRPr="004005A4">
              <w:rPr>
                <w:rFonts w:cs="Calibri Light"/>
                <w:sz w:val="20"/>
                <w:szCs w:val="20"/>
              </w:rPr>
              <w:t xml:space="preserve"> presentation is necessary to reflect operations and financial position of the </w:t>
            </w:r>
            <w:r>
              <w:rPr>
                <w:rFonts w:cs="Calibri Light"/>
                <w:sz w:val="20"/>
                <w:szCs w:val="20"/>
              </w:rPr>
              <w:t>registrant</w:t>
            </w:r>
            <w:r w:rsidRPr="004005A4">
              <w:rPr>
                <w:rFonts w:cs="Calibri Light"/>
                <w:sz w:val="20"/>
                <w:szCs w:val="20"/>
              </w:rPr>
              <w:t xml:space="preserve"> as an autonomous entity; or</w:t>
            </w:r>
          </w:p>
        </w:tc>
        <w:tc>
          <w:tcPr>
            <w:tcW w:w="1209" w:type="dxa"/>
            <w:gridSpan w:val="2"/>
            <w:tcBorders>
              <w:top w:val="single" w:sz="4" w:space="0" w:color="auto"/>
            </w:tcBorders>
            <w:vAlign w:val="bottom"/>
          </w:tcPr>
          <w:p w14:paraId="1100831A"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BB23C82"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FC82CA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60A16AD8" w14:textId="77777777" w:rsidTr="00CC36C1">
        <w:trPr>
          <w:gridBefore w:val="1"/>
          <w:wBefore w:w="17" w:type="dxa"/>
        </w:trPr>
        <w:tc>
          <w:tcPr>
            <w:tcW w:w="7483" w:type="dxa"/>
            <w:gridSpan w:val="2"/>
          </w:tcPr>
          <w:p w14:paraId="0FB12D47" w14:textId="452623EC"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(8)</w:t>
            </w:r>
            <w:r w:rsidRPr="004005A4">
              <w:rPr>
                <w:rFonts w:cs="Calibri Light"/>
                <w:sz w:val="20"/>
                <w:szCs w:val="20"/>
              </w:rPr>
              <w:tab/>
              <w:t>Consummation of other transactions has occurred or is probable for which pro forma information would be material to investors.</w:t>
            </w:r>
          </w:p>
        </w:tc>
        <w:tc>
          <w:tcPr>
            <w:tcW w:w="1209" w:type="dxa"/>
            <w:gridSpan w:val="2"/>
            <w:tcBorders>
              <w:top w:val="single" w:sz="6" w:space="0" w:color="auto"/>
              <w:bottom w:val="single" w:sz="6" w:space="0" w:color="auto"/>
            </w:tcBorders>
            <w:vAlign w:val="bottom"/>
          </w:tcPr>
          <w:p w14:paraId="1B22B85D"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E078AC6"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6" w:space="0" w:color="auto"/>
            </w:tcBorders>
            <w:vAlign w:val="bottom"/>
          </w:tcPr>
          <w:p w14:paraId="2263903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DC3C9FC" w14:textId="77777777" w:rsidTr="00CC36C1">
        <w:trPr>
          <w:gridBefore w:val="1"/>
          <w:wBefore w:w="17" w:type="dxa"/>
        </w:trPr>
        <w:tc>
          <w:tcPr>
            <w:tcW w:w="7483" w:type="dxa"/>
            <w:gridSpan w:val="2"/>
          </w:tcPr>
          <w:p w14:paraId="2B8CD5E2" w14:textId="33209482" w:rsidR="006F3A86" w:rsidRPr="004005A4" w:rsidRDefault="006F3A86" w:rsidP="006F3A86">
            <w:pPr>
              <w:pStyle w:val="level1"/>
              <w:tabs>
                <w:tab w:val="clear" w:pos="576"/>
              </w:tabs>
              <w:spacing w:after="120" w:line="240" w:lineRule="atLeast"/>
              <w:ind w:left="232" w:hanging="232"/>
              <w:rPr>
                <w:rFonts w:cs="Calibri Light"/>
                <w:sz w:val="20"/>
                <w:szCs w:val="20"/>
              </w:rPr>
            </w:pPr>
            <w:r w:rsidRPr="004005A4">
              <w:rPr>
                <w:rFonts w:cs="Calibri Light"/>
                <w:sz w:val="20"/>
                <w:szCs w:val="20"/>
              </w:rPr>
              <w:t>b.</w:t>
            </w:r>
            <w:r w:rsidRPr="004005A4">
              <w:rPr>
                <w:rFonts w:cs="Calibri Light"/>
                <w:sz w:val="20"/>
                <w:szCs w:val="20"/>
              </w:rPr>
              <w:tab/>
              <w:t xml:space="preserve">A business </w:t>
            </w:r>
            <w:r>
              <w:rPr>
                <w:rFonts w:cs="Calibri Light"/>
                <w:sz w:val="20"/>
                <w:szCs w:val="20"/>
              </w:rPr>
              <w:t>acquisition</w:t>
            </w:r>
            <w:r w:rsidRPr="004005A4">
              <w:rPr>
                <w:rFonts w:cs="Calibri Light"/>
                <w:sz w:val="20"/>
                <w:szCs w:val="20"/>
              </w:rPr>
              <w:t xml:space="preserve"> or disposition of a business </w:t>
            </w:r>
            <w:r>
              <w:rPr>
                <w:rFonts w:cs="Calibri Light"/>
                <w:sz w:val="20"/>
                <w:szCs w:val="20"/>
              </w:rPr>
              <w:t>will be</w:t>
            </w:r>
            <w:r w:rsidRPr="004005A4">
              <w:rPr>
                <w:rFonts w:cs="Calibri Light"/>
                <w:sz w:val="20"/>
                <w:szCs w:val="20"/>
              </w:rPr>
              <w:t xml:space="preserve"> considered significant if:</w:t>
            </w:r>
          </w:p>
        </w:tc>
        <w:tc>
          <w:tcPr>
            <w:tcW w:w="1209" w:type="dxa"/>
            <w:gridSpan w:val="2"/>
            <w:tcBorders>
              <w:top w:val="single" w:sz="6" w:space="0" w:color="auto"/>
            </w:tcBorders>
            <w:vAlign w:val="bottom"/>
          </w:tcPr>
          <w:p w14:paraId="54F60AC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E085FA9"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224AE1C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600F2433" w14:textId="77777777" w:rsidTr="00CC36C1">
        <w:trPr>
          <w:gridBefore w:val="1"/>
          <w:wBefore w:w="17" w:type="dxa"/>
        </w:trPr>
        <w:tc>
          <w:tcPr>
            <w:tcW w:w="7483" w:type="dxa"/>
            <w:gridSpan w:val="2"/>
          </w:tcPr>
          <w:p w14:paraId="07FEC0CB" w14:textId="77777777" w:rsidR="006F3A86" w:rsidRDefault="006F3A86" w:rsidP="006F3A86">
            <w:pPr>
              <w:pStyle w:val="level2"/>
              <w:numPr>
                <w:ilvl w:val="0"/>
                <w:numId w:val="136"/>
              </w:numPr>
              <w:tabs>
                <w:tab w:val="clear" w:pos="576"/>
                <w:tab w:val="clear" w:pos="1152"/>
              </w:tabs>
              <w:spacing w:after="120" w:line="240" w:lineRule="atLeast"/>
              <w:rPr>
                <w:rFonts w:cs="Calibri Light"/>
                <w:sz w:val="20"/>
                <w:szCs w:val="20"/>
              </w:rPr>
            </w:pPr>
            <w:r>
              <w:rPr>
                <w:rFonts w:cs="Calibri Light"/>
                <w:sz w:val="20"/>
                <w:szCs w:val="20"/>
              </w:rPr>
              <w:t>The business acquisition meets:</w:t>
            </w:r>
          </w:p>
          <w:p w14:paraId="00ECFB75" w14:textId="77777777" w:rsidR="008E794C" w:rsidRDefault="006F3A86" w:rsidP="00E05955">
            <w:pPr>
              <w:pStyle w:val="level2"/>
              <w:numPr>
                <w:ilvl w:val="0"/>
                <w:numId w:val="137"/>
              </w:numPr>
              <w:tabs>
                <w:tab w:val="clear" w:pos="576"/>
                <w:tab w:val="clear" w:pos="1152"/>
              </w:tabs>
              <w:spacing w:after="120" w:line="240" w:lineRule="atLeast"/>
              <w:ind w:left="952" w:hanging="360"/>
              <w:rPr>
                <w:rFonts w:cs="Calibri Light"/>
                <w:sz w:val="20"/>
                <w:szCs w:val="20"/>
              </w:rPr>
            </w:pPr>
            <w:r>
              <w:rPr>
                <w:rFonts w:cs="Calibri Light"/>
                <w:sz w:val="20"/>
                <w:szCs w:val="20"/>
              </w:rPr>
              <w:t>the definition of significant subsidiary in Rule 1-02(w)(1), substituting 20 percent for 10 percent each place it appears therein or</w:t>
            </w:r>
            <w:r w:rsidR="00E526CA">
              <w:rPr>
                <w:rFonts w:cs="Calibri Light"/>
                <w:sz w:val="20"/>
                <w:szCs w:val="20"/>
              </w:rPr>
              <w:t xml:space="preserve"> </w:t>
            </w:r>
          </w:p>
          <w:p w14:paraId="4B28A1B6" w14:textId="4CB2C2EE" w:rsidR="006F3A86" w:rsidRPr="004005A4" w:rsidRDefault="006F3A86" w:rsidP="00E05955">
            <w:pPr>
              <w:pStyle w:val="level2"/>
              <w:numPr>
                <w:ilvl w:val="0"/>
                <w:numId w:val="137"/>
              </w:numPr>
              <w:tabs>
                <w:tab w:val="clear" w:pos="576"/>
                <w:tab w:val="clear" w:pos="1152"/>
              </w:tabs>
              <w:spacing w:after="120" w:line="240" w:lineRule="atLeast"/>
              <w:ind w:left="952" w:hanging="360"/>
              <w:rPr>
                <w:rFonts w:cs="Calibri Light"/>
                <w:sz w:val="20"/>
                <w:szCs w:val="20"/>
              </w:rPr>
            </w:pPr>
            <w:r>
              <w:rPr>
                <w:rFonts w:cs="Calibri Light"/>
                <w:sz w:val="20"/>
                <w:szCs w:val="20"/>
              </w:rPr>
              <w:t>if the business is a real estate operations as defined in Rule 3-14(a)(2), the significant subsidiary condition in Rule 1-02(w)(1)(i) (i.e., the invest test condition), substituting 20 percent for 10 percent, as modified by the guidance in Rule 3-14(b)(2)(ii).</w:t>
            </w:r>
          </w:p>
        </w:tc>
        <w:tc>
          <w:tcPr>
            <w:tcW w:w="1209" w:type="dxa"/>
            <w:gridSpan w:val="2"/>
            <w:vAlign w:val="bottom"/>
          </w:tcPr>
          <w:p w14:paraId="70D0A2CC"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F026A9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6ABFEDB5"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E2A16B0" w14:textId="77777777" w:rsidTr="00CC36C1">
        <w:trPr>
          <w:gridBefore w:val="1"/>
          <w:wBefore w:w="17" w:type="dxa"/>
        </w:trPr>
        <w:tc>
          <w:tcPr>
            <w:tcW w:w="7483" w:type="dxa"/>
            <w:gridSpan w:val="2"/>
          </w:tcPr>
          <w:p w14:paraId="3FECA480" w14:textId="0C52E92A"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(2)</w:t>
            </w:r>
            <w:r w:rsidRPr="004005A4">
              <w:rPr>
                <w:rFonts w:cs="Calibri Light"/>
                <w:sz w:val="20"/>
                <w:szCs w:val="20"/>
              </w:rPr>
              <w:tab/>
              <w:t xml:space="preserve">The business </w:t>
            </w:r>
            <w:r>
              <w:rPr>
                <w:rFonts w:cs="Calibri Light"/>
                <w:sz w:val="20"/>
                <w:szCs w:val="20"/>
              </w:rPr>
              <w:t xml:space="preserve">disposition, including a business that is a real estate operation, </w:t>
            </w:r>
            <w:r w:rsidRPr="004005A4">
              <w:rPr>
                <w:rFonts w:cs="Calibri Light"/>
                <w:sz w:val="20"/>
                <w:szCs w:val="20"/>
              </w:rPr>
              <w:t xml:space="preserve">meets the </w:t>
            </w:r>
            <w:r>
              <w:rPr>
                <w:rFonts w:cs="Calibri Light"/>
                <w:sz w:val="20"/>
                <w:szCs w:val="20"/>
              </w:rPr>
              <w:t xml:space="preserve">definition of a </w:t>
            </w:r>
            <w:r w:rsidRPr="004005A4">
              <w:rPr>
                <w:rFonts w:cs="Calibri Light"/>
                <w:sz w:val="20"/>
                <w:szCs w:val="20"/>
              </w:rPr>
              <w:t xml:space="preserve">significant subsidiary </w:t>
            </w:r>
            <w:r>
              <w:rPr>
                <w:rFonts w:cs="Calibri Light"/>
                <w:sz w:val="20"/>
                <w:szCs w:val="20"/>
              </w:rPr>
              <w:t>in S-X Rule 1-02(w)(1), substituting 20% for 10% each place it appears therein.</w:t>
            </w:r>
          </w:p>
        </w:tc>
        <w:tc>
          <w:tcPr>
            <w:tcW w:w="1209" w:type="dxa"/>
            <w:gridSpan w:val="2"/>
            <w:tcBorders>
              <w:bottom w:val="single" w:sz="6" w:space="0" w:color="auto"/>
            </w:tcBorders>
            <w:vAlign w:val="bottom"/>
          </w:tcPr>
          <w:p w14:paraId="746F9285"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754F83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11C35895" w14:textId="77777777" w:rsidR="006F3A86" w:rsidRPr="004005A4" w:rsidRDefault="006F3A86" w:rsidP="006F3A86">
            <w:pPr>
              <w:pStyle w:val="levela"/>
              <w:spacing w:before="120" w:after="120" w:line="240" w:lineRule="atLeast"/>
              <w:jc w:val="center"/>
              <w:rPr>
                <w:rFonts w:cs="Calibri Light"/>
                <w:b/>
                <w:sz w:val="20"/>
                <w:szCs w:val="20"/>
              </w:rPr>
            </w:pPr>
          </w:p>
        </w:tc>
      </w:tr>
      <w:tr w:rsidR="009F28C7" w:rsidRPr="004005A4" w14:paraId="07264D64" w14:textId="77777777" w:rsidTr="00CC36C1">
        <w:trPr>
          <w:gridBefore w:val="1"/>
          <w:wBefore w:w="17" w:type="dxa"/>
        </w:trPr>
        <w:tc>
          <w:tcPr>
            <w:tcW w:w="7483" w:type="dxa"/>
            <w:gridSpan w:val="2"/>
          </w:tcPr>
          <w:p w14:paraId="71B9520D" w14:textId="77777777" w:rsidR="009F28C7" w:rsidRPr="002F16F5" w:rsidRDefault="009F28C7" w:rsidP="009F28C7">
            <w:pPr>
              <w:pStyle w:val="level2"/>
              <w:spacing w:line="240" w:lineRule="atLeast"/>
              <w:ind w:left="502" w:hanging="270"/>
              <w:rPr>
                <w:rFonts w:cs="Calibri Light"/>
                <w:sz w:val="20"/>
                <w:szCs w:val="20"/>
                <w:lang w:val="en-US"/>
              </w:rPr>
            </w:pPr>
            <w:r w:rsidRPr="002F16F5">
              <w:rPr>
                <w:rFonts w:cs="Calibri Light"/>
                <w:sz w:val="20"/>
                <w:szCs w:val="20"/>
                <w:lang w:val="en-US"/>
              </w:rPr>
              <w:t xml:space="preserve">(3) </w:t>
            </w:r>
            <w:r w:rsidRPr="002F16F5">
              <w:rPr>
                <w:rFonts w:cs="Calibri Light"/>
                <w:sz w:val="20"/>
                <w:szCs w:val="20"/>
                <w:lang w:val="en-US"/>
              </w:rPr>
              <w:tab/>
              <w:t>The determination must be made, except as noted in paragraph (b)(4) of this section for the continuous offerings described therein, by using:</w:t>
            </w:r>
          </w:p>
          <w:p w14:paraId="247167E5" w14:textId="6D8DA5EB" w:rsidR="009F28C7" w:rsidRPr="004005A4" w:rsidRDefault="009F28C7" w:rsidP="00E05955">
            <w:pPr>
              <w:pStyle w:val="level2"/>
              <w:tabs>
                <w:tab w:val="clear" w:pos="576"/>
                <w:tab w:val="clear" w:pos="1152"/>
              </w:tabs>
              <w:spacing w:after="120" w:line="240" w:lineRule="atLeast"/>
              <w:ind w:left="863" w:hanging="270"/>
              <w:rPr>
                <w:rFonts w:cs="Calibri Light"/>
                <w:sz w:val="20"/>
                <w:szCs w:val="20"/>
              </w:rPr>
            </w:pPr>
            <w:r w:rsidRPr="002F16F5">
              <w:rPr>
                <w:rFonts w:cs="Calibri Light"/>
                <w:sz w:val="20"/>
                <w:szCs w:val="20"/>
                <w:lang w:val="en-US"/>
              </w:rPr>
              <w:t xml:space="preserve">(i) </w:t>
            </w:r>
            <w:r w:rsidRPr="002F16F5">
              <w:rPr>
                <w:rFonts w:cs="Calibri Light"/>
                <w:sz w:val="20"/>
                <w:szCs w:val="20"/>
                <w:lang w:val="en-US"/>
              </w:rPr>
              <w:tab/>
              <w:t xml:space="preserve">For amounts derived from financial statements, the registrant's most recent annual consolidated financial statements required to be filed at or prior to the </w:t>
            </w:r>
            <w:r w:rsidRPr="00346D7E">
              <w:rPr>
                <w:rFonts w:cs="Calibri Light"/>
                <w:sz w:val="20"/>
                <w:szCs w:val="20"/>
              </w:rPr>
              <w:t>date of acquisition or disposition and the business</w:t>
            </w:r>
            <w:r>
              <w:rPr>
                <w:rFonts w:cs="Calibri Light"/>
                <w:sz w:val="20"/>
                <w:szCs w:val="20"/>
              </w:rPr>
              <w:t>’s</w:t>
            </w:r>
            <w:r w:rsidRPr="00346D7E">
              <w:rPr>
                <w:rFonts w:cs="Calibri Light"/>
                <w:sz w:val="20"/>
                <w:szCs w:val="20"/>
              </w:rPr>
              <w:t xml:space="preserve"> pre-acquisition or pre-disposition financial statements for the same fiscal year as the registrant or, if </w:t>
            </w:r>
            <w:r w:rsidRPr="00346D7E">
              <w:rPr>
                <w:rFonts w:cs="Calibri Light"/>
                <w:sz w:val="20"/>
                <w:szCs w:val="20"/>
              </w:rPr>
              <w:lastRenderedPageBreak/>
              <w:t>the fiscal years differ, the business</w:t>
            </w:r>
            <w:r>
              <w:rPr>
                <w:rFonts w:eastAsia="PMingLiU" w:cs="Calibri Light"/>
                <w:sz w:val="20"/>
                <w:szCs w:val="20"/>
              </w:rPr>
              <w:t>’s</w:t>
            </w:r>
            <w:r w:rsidRPr="00346D7E">
              <w:rPr>
                <w:rFonts w:cs="Calibri Light"/>
                <w:sz w:val="20"/>
                <w:szCs w:val="20"/>
              </w:rPr>
              <w:t xml:space="preserve"> most recent fiscal year that would be required if the business had the same filer status as the registrant, however the determination may be made using:</w:t>
            </w:r>
          </w:p>
        </w:tc>
        <w:tc>
          <w:tcPr>
            <w:tcW w:w="1209" w:type="dxa"/>
            <w:gridSpan w:val="2"/>
            <w:tcBorders>
              <w:bottom w:val="single" w:sz="6" w:space="0" w:color="auto"/>
            </w:tcBorders>
            <w:vAlign w:val="bottom"/>
          </w:tcPr>
          <w:p w14:paraId="2DAB9176" w14:textId="77777777" w:rsidR="009F28C7" w:rsidRPr="004005A4" w:rsidRDefault="009F28C7" w:rsidP="009F28C7">
            <w:pPr>
              <w:pStyle w:val="levela"/>
              <w:spacing w:before="120" w:after="120" w:line="240" w:lineRule="atLeast"/>
              <w:jc w:val="center"/>
              <w:rPr>
                <w:rFonts w:cs="Calibri Light"/>
                <w:b/>
                <w:sz w:val="20"/>
                <w:szCs w:val="20"/>
              </w:rPr>
            </w:pPr>
          </w:p>
        </w:tc>
        <w:tc>
          <w:tcPr>
            <w:tcW w:w="236" w:type="dxa"/>
            <w:gridSpan w:val="3"/>
            <w:vAlign w:val="bottom"/>
          </w:tcPr>
          <w:p w14:paraId="29F82A78" w14:textId="77777777" w:rsidR="009F28C7" w:rsidRPr="004005A4" w:rsidRDefault="009F28C7" w:rsidP="009F28C7">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308205D3" w14:textId="77777777" w:rsidR="009F28C7" w:rsidRPr="004005A4" w:rsidRDefault="009F28C7" w:rsidP="009F28C7">
            <w:pPr>
              <w:pStyle w:val="levela"/>
              <w:spacing w:before="120" w:after="120" w:line="240" w:lineRule="atLeast"/>
              <w:jc w:val="center"/>
              <w:rPr>
                <w:rFonts w:cs="Calibri Light"/>
                <w:b/>
                <w:sz w:val="20"/>
                <w:szCs w:val="20"/>
              </w:rPr>
            </w:pPr>
          </w:p>
        </w:tc>
      </w:tr>
      <w:tr w:rsidR="009F28C7" w:rsidRPr="004005A4" w14:paraId="40301DCA" w14:textId="77777777" w:rsidTr="00CC36C1">
        <w:trPr>
          <w:gridBefore w:val="1"/>
          <w:wBefore w:w="17" w:type="dxa"/>
        </w:trPr>
        <w:tc>
          <w:tcPr>
            <w:tcW w:w="7483" w:type="dxa"/>
            <w:gridSpan w:val="2"/>
          </w:tcPr>
          <w:p w14:paraId="6373B1B8" w14:textId="6E232978" w:rsidR="009F28C7" w:rsidRPr="004005A4" w:rsidRDefault="009F28C7" w:rsidP="00E05955">
            <w:pPr>
              <w:pStyle w:val="level2"/>
              <w:tabs>
                <w:tab w:val="clear" w:pos="576"/>
                <w:tab w:val="clear" w:pos="1152"/>
              </w:tabs>
              <w:spacing w:after="120" w:line="240" w:lineRule="atLeast"/>
              <w:ind w:left="1313" w:hanging="360"/>
              <w:rPr>
                <w:rFonts w:cs="Calibri Light"/>
                <w:sz w:val="20"/>
                <w:szCs w:val="20"/>
              </w:rPr>
            </w:pPr>
            <w:r w:rsidRPr="002F16F5">
              <w:rPr>
                <w:rFonts w:cs="Calibri Light"/>
                <w:sz w:val="20"/>
                <w:szCs w:val="20"/>
                <w:lang w:val="en-US"/>
              </w:rPr>
              <w:t xml:space="preserve">(A) </w:t>
            </w:r>
            <w:r w:rsidRPr="002F16F5">
              <w:rPr>
                <w:rFonts w:cs="Calibri Light"/>
                <w:sz w:val="20"/>
                <w:szCs w:val="20"/>
                <w:lang w:val="en-US"/>
              </w:rPr>
              <w:tab/>
              <w:t xml:space="preserve">The financial statements for the business described in </w:t>
            </w:r>
            <w:r>
              <w:rPr>
                <w:rFonts w:cs="Calibri Light"/>
                <w:sz w:val="20"/>
                <w:szCs w:val="20"/>
                <w:lang w:val="en-US"/>
              </w:rPr>
              <w:t xml:space="preserve">Rule </w:t>
            </w:r>
            <w:r w:rsidRPr="002F16F5">
              <w:rPr>
                <w:rFonts w:cs="Calibri Light"/>
                <w:sz w:val="20"/>
                <w:szCs w:val="20"/>
                <w:lang w:val="en-US"/>
              </w:rPr>
              <w:t>3-05(e) or</w:t>
            </w:r>
            <w:r>
              <w:rPr>
                <w:rFonts w:cs="Calibri Light"/>
                <w:sz w:val="20"/>
                <w:szCs w:val="20"/>
                <w:lang w:val="en-US"/>
              </w:rPr>
              <w:t xml:space="preserve"> Rule </w:t>
            </w:r>
            <w:r w:rsidRPr="002F16F5">
              <w:rPr>
                <w:rFonts w:cs="Calibri Light"/>
                <w:sz w:val="20"/>
                <w:szCs w:val="20"/>
                <w:lang w:val="en-US"/>
              </w:rPr>
              <w:t>3-05(f) if the business meets the conditions for presenting those financial statements.</w:t>
            </w:r>
          </w:p>
        </w:tc>
        <w:tc>
          <w:tcPr>
            <w:tcW w:w="1209" w:type="dxa"/>
            <w:gridSpan w:val="2"/>
            <w:tcBorders>
              <w:bottom w:val="single" w:sz="6" w:space="0" w:color="auto"/>
            </w:tcBorders>
            <w:vAlign w:val="bottom"/>
          </w:tcPr>
          <w:p w14:paraId="6875C91E" w14:textId="77777777" w:rsidR="009F28C7" w:rsidRPr="004005A4" w:rsidRDefault="009F28C7" w:rsidP="009F28C7">
            <w:pPr>
              <w:pStyle w:val="levela"/>
              <w:spacing w:before="120" w:after="120" w:line="240" w:lineRule="atLeast"/>
              <w:jc w:val="center"/>
              <w:rPr>
                <w:rFonts w:cs="Calibri Light"/>
                <w:b/>
                <w:sz w:val="20"/>
                <w:szCs w:val="20"/>
              </w:rPr>
            </w:pPr>
          </w:p>
        </w:tc>
        <w:tc>
          <w:tcPr>
            <w:tcW w:w="236" w:type="dxa"/>
            <w:gridSpan w:val="3"/>
            <w:vAlign w:val="bottom"/>
          </w:tcPr>
          <w:p w14:paraId="09B1659C" w14:textId="77777777" w:rsidR="009F28C7" w:rsidRPr="004005A4" w:rsidRDefault="009F28C7" w:rsidP="009F28C7">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7593BFC0" w14:textId="77777777" w:rsidR="009F28C7" w:rsidRPr="004005A4" w:rsidRDefault="009F28C7" w:rsidP="009F28C7">
            <w:pPr>
              <w:pStyle w:val="levela"/>
              <w:spacing w:before="120" w:after="120" w:line="240" w:lineRule="atLeast"/>
              <w:jc w:val="center"/>
              <w:rPr>
                <w:rFonts w:cs="Calibri Light"/>
                <w:b/>
                <w:sz w:val="20"/>
                <w:szCs w:val="20"/>
              </w:rPr>
            </w:pPr>
          </w:p>
        </w:tc>
      </w:tr>
      <w:tr w:rsidR="009F28C7" w:rsidRPr="004005A4" w14:paraId="05A13F7C" w14:textId="77777777" w:rsidTr="00CC36C1">
        <w:trPr>
          <w:gridBefore w:val="1"/>
          <w:wBefore w:w="17" w:type="dxa"/>
        </w:trPr>
        <w:tc>
          <w:tcPr>
            <w:tcW w:w="7483" w:type="dxa"/>
            <w:gridSpan w:val="2"/>
          </w:tcPr>
          <w:p w14:paraId="5B9CAC71" w14:textId="55FADF99" w:rsidR="009F28C7" w:rsidRPr="004005A4" w:rsidRDefault="009F28C7" w:rsidP="00E05955">
            <w:pPr>
              <w:pStyle w:val="level2"/>
              <w:tabs>
                <w:tab w:val="clear" w:pos="576"/>
                <w:tab w:val="clear" w:pos="1152"/>
              </w:tabs>
              <w:spacing w:after="120" w:line="240" w:lineRule="atLeast"/>
              <w:ind w:left="1313" w:hanging="360"/>
              <w:rPr>
                <w:rFonts w:cs="Calibri Light"/>
                <w:sz w:val="20"/>
                <w:szCs w:val="20"/>
              </w:rPr>
            </w:pPr>
            <w:r w:rsidRPr="002F16F5">
              <w:rPr>
                <w:rFonts w:cs="Calibri Light"/>
                <w:sz w:val="20"/>
                <w:szCs w:val="20"/>
                <w:lang w:val="en-US"/>
              </w:rPr>
              <w:t xml:space="preserve">(B) </w:t>
            </w:r>
            <w:r w:rsidRPr="002F16F5">
              <w:rPr>
                <w:rFonts w:cs="Calibri Light"/>
                <w:sz w:val="20"/>
                <w:szCs w:val="20"/>
                <w:lang w:val="en-US"/>
              </w:rPr>
              <w:tab/>
              <w:t xml:space="preserve">Pro forma amounts for the registrant for the periods specified in </w:t>
            </w:r>
            <w:r>
              <w:rPr>
                <w:rFonts w:cs="Calibri Light"/>
                <w:sz w:val="20"/>
                <w:szCs w:val="20"/>
                <w:lang w:val="en-US"/>
              </w:rPr>
              <w:t xml:space="preserve">Rule </w:t>
            </w:r>
            <w:r w:rsidRPr="002F16F5">
              <w:rPr>
                <w:rFonts w:cs="Calibri Light"/>
                <w:sz w:val="20"/>
                <w:szCs w:val="20"/>
                <w:lang w:val="en-US"/>
              </w:rPr>
              <w:t>11-01(b)(3) that only depict significant business acquisitions and dispositions consummated after the latest fiscal year-end for which the registrant</w:t>
            </w:r>
            <w:r w:rsidRPr="002F16F5">
              <w:rPr>
                <w:rFonts w:cs="Calibri Light" w:hint="eastAsia"/>
                <w:sz w:val="20"/>
                <w:szCs w:val="20"/>
                <w:lang w:val="en-US"/>
              </w:rPr>
              <w:t>’</w:t>
            </w:r>
            <w:r w:rsidRPr="002F16F5">
              <w:rPr>
                <w:rFonts w:cs="Calibri Light"/>
                <w:sz w:val="20"/>
                <w:szCs w:val="20"/>
                <w:lang w:val="en-US"/>
              </w:rPr>
              <w:t xml:space="preserve">s financial statements are required to be filed and only include Transaction Accounting </w:t>
            </w:r>
            <w:r w:rsidRPr="009C32D0">
              <w:rPr>
                <w:rFonts w:cs="Calibri Light"/>
                <w:sz w:val="20"/>
                <w:szCs w:val="20"/>
                <w:lang w:val="en-US"/>
              </w:rPr>
              <w:t>Adjustments (</w:t>
            </w:r>
            <w:r w:rsidRPr="00E05955">
              <w:rPr>
                <w:rFonts w:cs="Calibri Light"/>
                <w:sz w:val="20"/>
                <w:szCs w:val="20"/>
                <w:lang w:val="en-US"/>
              </w:rPr>
              <w:t xml:space="preserve">see Rule </w:t>
            </w:r>
            <w:r w:rsidRPr="009C32D0">
              <w:rPr>
                <w:rFonts w:cs="Calibri Light"/>
                <w:sz w:val="20"/>
                <w:szCs w:val="20"/>
                <w:lang w:val="en-US"/>
              </w:rPr>
              <w:t>11</w:t>
            </w:r>
            <w:r w:rsidRPr="002F16F5">
              <w:rPr>
                <w:rFonts w:cs="Calibri Light"/>
                <w:sz w:val="20"/>
                <w:szCs w:val="20"/>
                <w:lang w:val="en-US"/>
              </w:rPr>
              <w:t>-02(a)(6)(i)), provided that:</w:t>
            </w:r>
          </w:p>
        </w:tc>
        <w:tc>
          <w:tcPr>
            <w:tcW w:w="1209" w:type="dxa"/>
            <w:gridSpan w:val="2"/>
            <w:tcBorders>
              <w:bottom w:val="single" w:sz="6" w:space="0" w:color="auto"/>
            </w:tcBorders>
            <w:vAlign w:val="bottom"/>
          </w:tcPr>
          <w:p w14:paraId="249060C4" w14:textId="77777777" w:rsidR="009F28C7" w:rsidRPr="004005A4" w:rsidRDefault="009F28C7" w:rsidP="009F28C7">
            <w:pPr>
              <w:pStyle w:val="levela"/>
              <w:spacing w:before="120" w:after="120" w:line="240" w:lineRule="atLeast"/>
              <w:jc w:val="center"/>
              <w:rPr>
                <w:rFonts w:cs="Calibri Light"/>
                <w:b/>
                <w:sz w:val="20"/>
                <w:szCs w:val="20"/>
              </w:rPr>
            </w:pPr>
          </w:p>
        </w:tc>
        <w:tc>
          <w:tcPr>
            <w:tcW w:w="236" w:type="dxa"/>
            <w:gridSpan w:val="3"/>
            <w:vAlign w:val="bottom"/>
          </w:tcPr>
          <w:p w14:paraId="51DD0064" w14:textId="77777777" w:rsidR="009F28C7" w:rsidRPr="004005A4" w:rsidRDefault="009F28C7" w:rsidP="009F28C7">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2664D738" w14:textId="77777777" w:rsidR="009F28C7" w:rsidRPr="004005A4" w:rsidRDefault="009F28C7" w:rsidP="009F28C7">
            <w:pPr>
              <w:pStyle w:val="levela"/>
              <w:spacing w:before="120" w:after="120" w:line="240" w:lineRule="atLeast"/>
              <w:jc w:val="center"/>
              <w:rPr>
                <w:rFonts w:cs="Calibri Light"/>
                <w:b/>
                <w:sz w:val="20"/>
                <w:szCs w:val="20"/>
              </w:rPr>
            </w:pPr>
          </w:p>
        </w:tc>
      </w:tr>
      <w:tr w:rsidR="009F28C7" w:rsidRPr="004005A4" w14:paraId="1D28649C" w14:textId="77777777" w:rsidTr="00CC36C1">
        <w:trPr>
          <w:gridBefore w:val="1"/>
          <w:wBefore w:w="17" w:type="dxa"/>
        </w:trPr>
        <w:tc>
          <w:tcPr>
            <w:tcW w:w="7483" w:type="dxa"/>
            <w:gridSpan w:val="2"/>
          </w:tcPr>
          <w:p w14:paraId="160D3E1C" w14:textId="1460C5EE" w:rsidR="009F28C7" w:rsidRPr="004005A4" w:rsidRDefault="009F28C7" w:rsidP="00E05955">
            <w:pPr>
              <w:pStyle w:val="level2"/>
              <w:tabs>
                <w:tab w:val="clear" w:pos="576"/>
                <w:tab w:val="clear" w:pos="1152"/>
              </w:tabs>
              <w:spacing w:after="120" w:line="240" w:lineRule="atLeast"/>
              <w:ind w:left="1763" w:hanging="450"/>
              <w:rPr>
                <w:rFonts w:cs="Calibri Light"/>
                <w:sz w:val="20"/>
                <w:szCs w:val="20"/>
              </w:rPr>
            </w:pPr>
            <w:r w:rsidRPr="008B7EF7">
              <w:rPr>
                <w:rFonts w:cs="Calibri Light"/>
                <w:sz w:val="20"/>
                <w:szCs w:val="20"/>
                <w:lang w:val="en-US"/>
              </w:rPr>
              <w:t>(1)</w:t>
            </w:r>
            <w:r w:rsidRPr="002F16F5">
              <w:rPr>
                <w:rFonts w:cs="Calibri Light"/>
                <w:sz w:val="20"/>
                <w:szCs w:val="20"/>
                <w:lang w:val="en-US"/>
              </w:rPr>
              <w:tab/>
              <w:t xml:space="preserve">The registrant has filed audited financial statements for any such acquired business for the periods required by </w:t>
            </w:r>
            <w:r>
              <w:rPr>
                <w:rFonts w:cs="Calibri Light"/>
                <w:sz w:val="20"/>
                <w:szCs w:val="20"/>
                <w:lang w:val="en-US"/>
              </w:rPr>
              <w:t xml:space="preserve">Rule </w:t>
            </w:r>
            <w:r w:rsidRPr="002F16F5">
              <w:rPr>
                <w:rFonts w:cs="Calibri Light"/>
                <w:sz w:val="20"/>
                <w:szCs w:val="20"/>
                <w:lang w:val="en-US"/>
              </w:rPr>
              <w:t xml:space="preserve">3-05 or </w:t>
            </w:r>
            <w:r>
              <w:rPr>
                <w:rFonts w:cs="Calibri Light"/>
                <w:sz w:val="20"/>
                <w:szCs w:val="20"/>
                <w:lang w:val="en-US"/>
              </w:rPr>
              <w:t xml:space="preserve">Rule </w:t>
            </w:r>
            <w:r w:rsidRPr="002F16F5">
              <w:rPr>
                <w:rFonts w:cs="Calibri Light"/>
                <w:sz w:val="20"/>
                <w:szCs w:val="20"/>
                <w:lang w:val="en-US"/>
              </w:rPr>
              <w:t xml:space="preserve">3-14 and the pro forma financial information required by </w:t>
            </w:r>
            <w:r>
              <w:rPr>
                <w:rFonts w:cs="Calibri Light"/>
                <w:sz w:val="20"/>
                <w:szCs w:val="20"/>
                <w:lang w:val="en-US"/>
              </w:rPr>
              <w:t xml:space="preserve">Rule </w:t>
            </w:r>
            <w:r w:rsidRPr="002F16F5">
              <w:rPr>
                <w:rFonts w:cs="Calibri Light"/>
                <w:sz w:val="20"/>
                <w:szCs w:val="20"/>
                <w:lang w:val="en-US"/>
              </w:rPr>
              <w:t xml:space="preserve">11-01 through </w:t>
            </w:r>
            <w:r>
              <w:rPr>
                <w:rFonts w:cs="Calibri Light"/>
                <w:sz w:val="20"/>
                <w:szCs w:val="20"/>
                <w:lang w:val="en-US"/>
              </w:rPr>
              <w:t xml:space="preserve">Rule </w:t>
            </w:r>
            <w:r w:rsidRPr="002F16F5">
              <w:rPr>
                <w:rFonts w:cs="Calibri Light"/>
                <w:sz w:val="20"/>
                <w:szCs w:val="20"/>
                <w:lang w:val="en-US"/>
              </w:rPr>
              <w:t xml:space="preserve">11-02 for any such acquired or disposed business. The tests may not be made by </w:t>
            </w:r>
            <w:r>
              <w:rPr>
                <w:rFonts w:cs="Calibri Light"/>
                <w:sz w:val="20"/>
                <w:szCs w:val="20"/>
                <w:lang w:val="en-US"/>
              </w:rPr>
              <w:t>“</w:t>
            </w:r>
            <w:r w:rsidRPr="002F16F5">
              <w:rPr>
                <w:rFonts w:cs="Calibri Light"/>
                <w:sz w:val="20"/>
                <w:szCs w:val="20"/>
                <w:lang w:val="en-US"/>
              </w:rPr>
              <w:t>annualizing</w:t>
            </w:r>
            <w:r>
              <w:rPr>
                <w:rFonts w:cs="Calibri Light"/>
                <w:sz w:val="20"/>
                <w:szCs w:val="20"/>
                <w:lang w:val="en-US"/>
              </w:rPr>
              <w:t>”</w:t>
            </w:r>
            <w:r w:rsidRPr="002F16F5">
              <w:rPr>
                <w:rFonts w:cs="Calibri Light"/>
                <w:sz w:val="20"/>
                <w:szCs w:val="20"/>
                <w:lang w:val="en-US"/>
              </w:rPr>
              <w:t xml:space="preserve"> data; and</w:t>
            </w:r>
          </w:p>
        </w:tc>
        <w:tc>
          <w:tcPr>
            <w:tcW w:w="1209" w:type="dxa"/>
            <w:gridSpan w:val="2"/>
            <w:tcBorders>
              <w:bottom w:val="single" w:sz="6" w:space="0" w:color="auto"/>
            </w:tcBorders>
            <w:vAlign w:val="bottom"/>
          </w:tcPr>
          <w:p w14:paraId="15146548" w14:textId="77777777" w:rsidR="009F28C7" w:rsidRPr="004005A4" w:rsidRDefault="009F28C7" w:rsidP="009F28C7">
            <w:pPr>
              <w:pStyle w:val="levela"/>
              <w:spacing w:before="120" w:after="120" w:line="240" w:lineRule="atLeast"/>
              <w:jc w:val="center"/>
              <w:rPr>
                <w:rFonts w:cs="Calibri Light"/>
                <w:b/>
                <w:sz w:val="20"/>
                <w:szCs w:val="20"/>
              </w:rPr>
            </w:pPr>
          </w:p>
        </w:tc>
        <w:tc>
          <w:tcPr>
            <w:tcW w:w="236" w:type="dxa"/>
            <w:gridSpan w:val="3"/>
            <w:vAlign w:val="bottom"/>
          </w:tcPr>
          <w:p w14:paraId="4A7E3BF8" w14:textId="77777777" w:rsidR="009F28C7" w:rsidRPr="004005A4" w:rsidRDefault="009F28C7" w:rsidP="009F28C7">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67CF7780" w14:textId="77777777" w:rsidR="009F28C7" w:rsidRPr="004005A4" w:rsidRDefault="009F28C7" w:rsidP="009F28C7">
            <w:pPr>
              <w:pStyle w:val="levela"/>
              <w:spacing w:before="120" w:after="120" w:line="240" w:lineRule="atLeast"/>
              <w:jc w:val="center"/>
              <w:rPr>
                <w:rFonts w:cs="Calibri Light"/>
                <w:b/>
                <w:sz w:val="20"/>
                <w:szCs w:val="20"/>
              </w:rPr>
            </w:pPr>
          </w:p>
        </w:tc>
      </w:tr>
      <w:tr w:rsidR="009F28C7" w:rsidRPr="004005A4" w14:paraId="5A943B02" w14:textId="77777777" w:rsidTr="00CC36C1">
        <w:trPr>
          <w:gridBefore w:val="1"/>
          <w:wBefore w:w="17" w:type="dxa"/>
        </w:trPr>
        <w:tc>
          <w:tcPr>
            <w:tcW w:w="7483" w:type="dxa"/>
            <w:gridSpan w:val="2"/>
          </w:tcPr>
          <w:p w14:paraId="31A878DC" w14:textId="7E87C1F4" w:rsidR="009F28C7" w:rsidRPr="004005A4" w:rsidRDefault="002143D6" w:rsidP="00E05955">
            <w:pPr>
              <w:pStyle w:val="level2"/>
              <w:tabs>
                <w:tab w:val="clear" w:pos="576"/>
                <w:tab w:val="clear" w:pos="1152"/>
              </w:tabs>
              <w:spacing w:after="120" w:line="240" w:lineRule="atLeast"/>
              <w:ind w:left="1763" w:hanging="450"/>
              <w:rPr>
                <w:rFonts w:cs="Calibri Light"/>
                <w:sz w:val="20"/>
                <w:szCs w:val="20"/>
              </w:rPr>
            </w:pPr>
            <w:r w:rsidRPr="008B7EF7">
              <w:rPr>
                <w:rFonts w:cs="Calibri Light"/>
                <w:sz w:val="20"/>
                <w:szCs w:val="20"/>
                <w:lang w:val="en-US"/>
              </w:rPr>
              <w:t>(2</w:t>
            </w:r>
            <w:r w:rsidRPr="002F16F5">
              <w:rPr>
                <w:rFonts w:cs="Calibri Light"/>
                <w:sz w:val="20"/>
                <w:szCs w:val="20"/>
                <w:lang w:val="en-US"/>
              </w:rPr>
              <w:t>)</w:t>
            </w:r>
            <w:r>
              <w:rPr>
                <w:rFonts w:cs="Calibri Light"/>
                <w:sz w:val="20"/>
                <w:szCs w:val="20"/>
                <w:lang w:val="en-US"/>
              </w:rPr>
              <w:tab/>
            </w:r>
            <w:r w:rsidRPr="002F16F5">
              <w:rPr>
                <w:rFonts w:cs="Calibri Light"/>
                <w:sz w:val="20"/>
                <w:szCs w:val="20"/>
                <w:lang w:val="en-US"/>
              </w:rPr>
              <w:t>If a registrant has used pro forma amounts to determine significance of an acquisition or disposition, it must continue to use pro forma amounts to determine significance of acquisitions and dispositions through the filing date of its next annual report on Form 10-K</w:t>
            </w:r>
            <w:r>
              <w:rPr>
                <w:rFonts w:cs="Calibri Light"/>
                <w:sz w:val="20"/>
                <w:szCs w:val="20"/>
                <w:lang w:val="en-US"/>
              </w:rPr>
              <w:t xml:space="preserve"> </w:t>
            </w:r>
            <w:r w:rsidRPr="002F16F5">
              <w:rPr>
                <w:rFonts w:cs="Calibri Light"/>
                <w:sz w:val="20"/>
                <w:szCs w:val="20"/>
                <w:lang w:val="en-US"/>
              </w:rPr>
              <w:t>or Form 20-F; or</w:t>
            </w:r>
          </w:p>
        </w:tc>
        <w:tc>
          <w:tcPr>
            <w:tcW w:w="1209" w:type="dxa"/>
            <w:gridSpan w:val="2"/>
            <w:tcBorders>
              <w:bottom w:val="single" w:sz="6" w:space="0" w:color="auto"/>
            </w:tcBorders>
            <w:vAlign w:val="bottom"/>
          </w:tcPr>
          <w:p w14:paraId="27314EA4" w14:textId="77777777" w:rsidR="009F28C7" w:rsidRPr="004005A4" w:rsidRDefault="009F28C7" w:rsidP="009F28C7">
            <w:pPr>
              <w:pStyle w:val="levela"/>
              <w:spacing w:before="120" w:after="120" w:line="240" w:lineRule="atLeast"/>
              <w:jc w:val="center"/>
              <w:rPr>
                <w:rFonts w:cs="Calibri Light"/>
                <w:b/>
                <w:sz w:val="20"/>
                <w:szCs w:val="20"/>
              </w:rPr>
            </w:pPr>
          </w:p>
        </w:tc>
        <w:tc>
          <w:tcPr>
            <w:tcW w:w="236" w:type="dxa"/>
            <w:gridSpan w:val="3"/>
            <w:vAlign w:val="bottom"/>
          </w:tcPr>
          <w:p w14:paraId="29A29E54" w14:textId="77777777" w:rsidR="009F28C7" w:rsidRPr="004005A4" w:rsidRDefault="009F28C7" w:rsidP="009F28C7">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5EA0D18F" w14:textId="77777777" w:rsidR="009F28C7" w:rsidRPr="004005A4" w:rsidRDefault="009F28C7" w:rsidP="009F28C7">
            <w:pPr>
              <w:pStyle w:val="levela"/>
              <w:spacing w:before="120" w:after="120" w:line="240" w:lineRule="atLeast"/>
              <w:jc w:val="center"/>
              <w:rPr>
                <w:rFonts w:cs="Calibri Light"/>
                <w:b/>
                <w:sz w:val="20"/>
                <w:szCs w:val="20"/>
              </w:rPr>
            </w:pPr>
          </w:p>
        </w:tc>
      </w:tr>
      <w:tr w:rsidR="003D61CD" w:rsidRPr="004005A4" w14:paraId="610A5F6B" w14:textId="77777777" w:rsidTr="00CC36C1">
        <w:trPr>
          <w:gridBefore w:val="1"/>
          <w:wBefore w:w="17" w:type="dxa"/>
        </w:trPr>
        <w:tc>
          <w:tcPr>
            <w:tcW w:w="7483" w:type="dxa"/>
            <w:gridSpan w:val="2"/>
          </w:tcPr>
          <w:p w14:paraId="68998E42" w14:textId="71A49139" w:rsidR="003D61CD" w:rsidRPr="004005A4" w:rsidRDefault="003D61CD" w:rsidP="00E05955">
            <w:pPr>
              <w:pStyle w:val="level2"/>
              <w:tabs>
                <w:tab w:val="clear" w:pos="576"/>
                <w:tab w:val="clear" w:pos="1152"/>
              </w:tabs>
              <w:spacing w:after="120" w:line="240" w:lineRule="atLeast"/>
              <w:ind w:left="1313" w:hanging="360"/>
              <w:rPr>
                <w:rFonts w:cs="Calibri Light"/>
                <w:sz w:val="20"/>
                <w:szCs w:val="20"/>
              </w:rPr>
            </w:pPr>
            <w:r w:rsidRPr="002F16F5">
              <w:rPr>
                <w:rFonts w:cs="Calibri Light"/>
                <w:sz w:val="20"/>
                <w:szCs w:val="20"/>
                <w:lang w:val="en-US"/>
              </w:rPr>
              <w:t xml:space="preserve">(C) </w:t>
            </w:r>
            <w:r w:rsidRPr="002F16F5">
              <w:rPr>
                <w:rFonts w:cs="Calibri Light"/>
                <w:sz w:val="20"/>
                <w:szCs w:val="20"/>
                <w:lang w:val="en-US"/>
              </w:rPr>
              <w:tab/>
              <w:t>The registrant</w:t>
            </w:r>
            <w:r>
              <w:rPr>
                <w:rFonts w:eastAsia="PMingLiU" w:cs="Calibri Light"/>
                <w:sz w:val="20"/>
                <w:szCs w:val="20"/>
                <w:lang w:val="en-US"/>
              </w:rPr>
              <w:t>’</w:t>
            </w:r>
            <w:r w:rsidRPr="002F16F5">
              <w:rPr>
                <w:rFonts w:cs="Calibri Light"/>
                <w:sz w:val="20"/>
                <w:szCs w:val="20"/>
                <w:lang w:val="en-US"/>
              </w:rPr>
              <w:t>s annual consolidated financial statements, for the most recent fiscal year ended prior to the acquisition or disposition, that are included in the registrant</w:t>
            </w:r>
            <w:r>
              <w:rPr>
                <w:rFonts w:eastAsia="PMingLiU" w:cs="Calibri Light"/>
                <w:sz w:val="20"/>
                <w:szCs w:val="20"/>
                <w:lang w:val="en-US"/>
              </w:rPr>
              <w:t>’</w:t>
            </w:r>
            <w:r w:rsidRPr="002F16F5">
              <w:rPr>
                <w:rFonts w:cs="Calibri Light"/>
                <w:sz w:val="20"/>
                <w:szCs w:val="20"/>
                <w:lang w:val="en-US"/>
              </w:rPr>
              <w:t>s Form 10-K filed after the date of acquisition or disposition, but before the date financial statements and pro forma financial information for the acquisition or disposition would be required to be filed on Form 8-K.</w:t>
            </w:r>
          </w:p>
        </w:tc>
        <w:tc>
          <w:tcPr>
            <w:tcW w:w="1209" w:type="dxa"/>
            <w:gridSpan w:val="2"/>
            <w:tcBorders>
              <w:bottom w:val="single" w:sz="6" w:space="0" w:color="auto"/>
            </w:tcBorders>
            <w:vAlign w:val="bottom"/>
          </w:tcPr>
          <w:p w14:paraId="65F35CF4" w14:textId="77777777" w:rsidR="003D61CD" w:rsidRPr="004005A4" w:rsidRDefault="003D61CD" w:rsidP="003D61CD">
            <w:pPr>
              <w:pStyle w:val="levela"/>
              <w:spacing w:before="120" w:after="120" w:line="240" w:lineRule="atLeast"/>
              <w:jc w:val="center"/>
              <w:rPr>
                <w:rFonts w:cs="Calibri Light"/>
                <w:b/>
                <w:sz w:val="20"/>
                <w:szCs w:val="20"/>
              </w:rPr>
            </w:pPr>
          </w:p>
        </w:tc>
        <w:tc>
          <w:tcPr>
            <w:tcW w:w="236" w:type="dxa"/>
            <w:gridSpan w:val="3"/>
            <w:vAlign w:val="bottom"/>
          </w:tcPr>
          <w:p w14:paraId="4441FAD2" w14:textId="77777777" w:rsidR="003D61CD" w:rsidRPr="004005A4" w:rsidRDefault="003D61CD" w:rsidP="003D61CD">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32401FA2" w14:textId="77777777" w:rsidR="003D61CD" w:rsidRPr="004005A4" w:rsidRDefault="003D61CD" w:rsidP="003D61CD">
            <w:pPr>
              <w:pStyle w:val="levela"/>
              <w:spacing w:before="120" w:after="120" w:line="240" w:lineRule="atLeast"/>
              <w:jc w:val="center"/>
              <w:rPr>
                <w:rFonts w:cs="Calibri Light"/>
                <w:b/>
                <w:sz w:val="20"/>
                <w:szCs w:val="20"/>
              </w:rPr>
            </w:pPr>
          </w:p>
        </w:tc>
      </w:tr>
      <w:tr w:rsidR="003D61CD" w:rsidRPr="004005A4" w14:paraId="69BC3612" w14:textId="77777777" w:rsidTr="00CC36C1">
        <w:trPr>
          <w:gridBefore w:val="1"/>
          <w:wBefore w:w="17" w:type="dxa"/>
        </w:trPr>
        <w:tc>
          <w:tcPr>
            <w:tcW w:w="7483" w:type="dxa"/>
            <w:gridSpan w:val="2"/>
          </w:tcPr>
          <w:p w14:paraId="65FB7658" w14:textId="48F6D402" w:rsidR="003D61CD" w:rsidRPr="004005A4" w:rsidRDefault="003D61CD" w:rsidP="00E05955">
            <w:pPr>
              <w:pStyle w:val="level2"/>
              <w:tabs>
                <w:tab w:val="clear" w:pos="576"/>
                <w:tab w:val="clear" w:pos="1152"/>
              </w:tabs>
              <w:spacing w:after="120" w:line="240" w:lineRule="atLeast"/>
              <w:ind w:left="863" w:hanging="270"/>
              <w:rPr>
                <w:rFonts w:cs="Calibri Light"/>
                <w:sz w:val="20"/>
                <w:szCs w:val="20"/>
              </w:rPr>
            </w:pPr>
            <w:r w:rsidRPr="002F16F5">
              <w:rPr>
                <w:rFonts w:cs="Calibri Light"/>
                <w:sz w:val="20"/>
                <w:szCs w:val="20"/>
                <w:lang w:val="en-US"/>
              </w:rPr>
              <w:t>(ii)</w:t>
            </w:r>
            <w:r>
              <w:rPr>
                <w:rFonts w:cs="Calibri Light"/>
                <w:sz w:val="20"/>
                <w:szCs w:val="20"/>
                <w:lang w:val="en-US"/>
              </w:rPr>
              <w:tab/>
            </w:r>
            <w:r w:rsidRPr="002F16F5">
              <w:rPr>
                <w:rFonts w:cs="Calibri Light"/>
                <w:sz w:val="20"/>
                <w:szCs w:val="20"/>
                <w:lang w:val="en-US"/>
              </w:rPr>
              <w:t xml:space="preserve"> If the business is a related business (</w:t>
            </w:r>
            <w:r w:rsidRPr="002F16F5">
              <w:rPr>
                <w:rFonts w:cs="Calibri Light"/>
                <w:i/>
                <w:iCs/>
                <w:sz w:val="20"/>
                <w:szCs w:val="20"/>
                <w:lang w:val="en-US"/>
              </w:rPr>
              <w:t>see</w:t>
            </w:r>
            <w:r>
              <w:rPr>
                <w:rFonts w:cs="Calibri Light"/>
                <w:i/>
                <w:iCs/>
                <w:sz w:val="20"/>
                <w:szCs w:val="20"/>
                <w:lang w:val="en-US"/>
              </w:rPr>
              <w:t xml:space="preserve"> </w:t>
            </w:r>
            <w:r>
              <w:rPr>
                <w:rFonts w:cs="Calibri Light"/>
                <w:sz w:val="20"/>
                <w:szCs w:val="20"/>
                <w:lang w:val="en-US"/>
              </w:rPr>
              <w:t xml:space="preserve">Rule </w:t>
            </w:r>
            <w:r w:rsidRPr="002F16F5">
              <w:rPr>
                <w:rFonts w:cs="Calibri Light"/>
                <w:sz w:val="20"/>
                <w:szCs w:val="20"/>
                <w:lang w:val="en-US"/>
              </w:rPr>
              <w:t>3-05(a)(3)), combined pre-acquisition financial statements of the group of related businesses for the fiscal year specified in paragraph (b)(3)(i) of this section.</w:t>
            </w:r>
          </w:p>
        </w:tc>
        <w:tc>
          <w:tcPr>
            <w:tcW w:w="1209" w:type="dxa"/>
            <w:gridSpan w:val="2"/>
            <w:tcBorders>
              <w:bottom w:val="single" w:sz="6" w:space="0" w:color="auto"/>
            </w:tcBorders>
            <w:vAlign w:val="bottom"/>
          </w:tcPr>
          <w:p w14:paraId="7AF7EC13" w14:textId="77777777" w:rsidR="003D61CD" w:rsidRPr="004005A4" w:rsidRDefault="003D61CD" w:rsidP="003D61CD">
            <w:pPr>
              <w:pStyle w:val="levela"/>
              <w:spacing w:before="120" w:after="120" w:line="240" w:lineRule="atLeast"/>
              <w:jc w:val="center"/>
              <w:rPr>
                <w:rFonts w:cs="Calibri Light"/>
                <w:b/>
                <w:sz w:val="20"/>
                <w:szCs w:val="20"/>
              </w:rPr>
            </w:pPr>
          </w:p>
        </w:tc>
        <w:tc>
          <w:tcPr>
            <w:tcW w:w="236" w:type="dxa"/>
            <w:gridSpan w:val="3"/>
            <w:vAlign w:val="bottom"/>
          </w:tcPr>
          <w:p w14:paraId="14289A81" w14:textId="77777777" w:rsidR="003D61CD" w:rsidRPr="004005A4" w:rsidRDefault="003D61CD" w:rsidP="003D61CD">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74BBF53E" w14:textId="77777777" w:rsidR="003D61CD" w:rsidRPr="004005A4" w:rsidRDefault="003D61CD" w:rsidP="003D61CD">
            <w:pPr>
              <w:pStyle w:val="levela"/>
              <w:spacing w:before="120" w:after="120" w:line="240" w:lineRule="atLeast"/>
              <w:jc w:val="center"/>
              <w:rPr>
                <w:rFonts w:cs="Calibri Light"/>
                <w:b/>
                <w:sz w:val="20"/>
                <w:szCs w:val="20"/>
              </w:rPr>
            </w:pPr>
          </w:p>
        </w:tc>
      </w:tr>
      <w:tr w:rsidR="003D61CD" w:rsidRPr="004005A4" w14:paraId="6913B9C2" w14:textId="77777777" w:rsidTr="00CC36C1">
        <w:trPr>
          <w:gridBefore w:val="1"/>
          <w:wBefore w:w="17" w:type="dxa"/>
        </w:trPr>
        <w:tc>
          <w:tcPr>
            <w:tcW w:w="7483" w:type="dxa"/>
            <w:gridSpan w:val="2"/>
          </w:tcPr>
          <w:p w14:paraId="747335C4" w14:textId="403029F7" w:rsidR="003D61CD" w:rsidRPr="004005A4" w:rsidRDefault="003D61CD" w:rsidP="003D61CD">
            <w:pPr>
              <w:pStyle w:val="level2"/>
              <w:tabs>
                <w:tab w:val="clear" w:pos="576"/>
                <w:tab w:val="clear" w:pos="1152"/>
              </w:tabs>
              <w:spacing w:after="120" w:line="240" w:lineRule="atLeast"/>
              <w:ind w:left="502" w:hanging="270"/>
              <w:rPr>
                <w:rFonts w:cs="Calibri Light"/>
                <w:sz w:val="20"/>
                <w:szCs w:val="20"/>
              </w:rPr>
            </w:pPr>
            <w:r w:rsidRPr="002F16F5">
              <w:rPr>
                <w:rFonts w:cs="Calibri Light"/>
                <w:sz w:val="20"/>
                <w:szCs w:val="20"/>
                <w:lang w:val="en-US"/>
              </w:rPr>
              <w:t>(4)</w:t>
            </w:r>
            <w:r>
              <w:rPr>
                <w:rFonts w:cs="Calibri Light"/>
                <w:sz w:val="20"/>
                <w:szCs w:val="20"/>
                <w:lang w:val="en-US"/>
              </w:rPr>
              <w:tab/>
            </w:r>
            <w:r w:rsidRPr="002F16F5">
              <w:rPr>
                <w:rFonts w:cs="Calibri Light"/>
                <w:sz w:val="20"/>
                <w:szCs w:val="20"/>
                <w:lang w:val="en-US"/>
              </w:rPr>
              <w:t xml:space="preserve"> When a registrant, including a real estate investment trust, conducts a continuous offering over an extended period of time and applies the Item 20.D. Undertakings of Industry Guide 5, the income test condition does not apply, and the determination must be made for the investment test condition, when it is based on the total assets of the registrant and its subsidiaries consolidated, and the asset test condition, if applicable, using the following for the registrant:</w:t>
            </w:r>
          </w:p>
        </w:tc>
        <w:tc>
          <w:tcPr>
            <w:tcW w:w="1209" w:type="dxa"/>
            <w:gridSpan w:val="2"/>
            <w:tcBorders>
              <w:bottom w:val="single" w:sz="6" w:space="0" w:color="auto"/>
            </w:tcBorders>
            <w:vAlign w:val="bottom"/>
          </w:tcPr>
          <w:p w14:paraId="02E28942" w14:textId="77777777" w:rsidR="003D61CD" w:rsidRPr="004005A4" w:rsidRDefault="003D61CD" w:rsidP="003D61CD">
            <w:pPr>
              <w:pStyle w:val="levela"/>
              <w:spacing w:before="120" w:after="120" w:line="240" w:lineRule="atLeast"/>
              <w:jc w:val="center"/>
              <w:rPr>
                <w:rFonts w:cs="Calibri Light"/>
                <w:b/>
                <w:sz w:val="20"/>
                <w:szCs w:val="20"/>
              </w:rPr>
            </w:pPr>
          </w:p>
        </w:tc>
        <w:tc>
          <w:tcPr>
            <w:tcW w:w="236" w:type="dxa"/>
            <w:gridSpan w:val="3"/>
            <w:vAlign w:val="bottom"/>
          </w:tcPr>
          <w:p w14:paraId="47B84F91" w14:textId="77777777" w:rsidR="003D61CD" w:rsidRPr="004005A4" w:rsidRDefault="003D61CD" w:rsidP="003D61CD">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04D13610" w14:textId="77777777" w:rsidR="003D61CD" w:rsidRPr="004005A4" w:rsidRDefault="003D61CD" w:rsidP="003D61CD">
            <w:pPr>
              <w:pStyle w:val="levela"/>
              <w:spacing w:before="120" w:after="120" w:line="240" w:lineRule="atLeast"/>
              <w:jc w:val="center"/>
              <w:rPr>
                <w:rFonts w:cs="Calibri Light"/>
                <w:b/>
                <w:sz w:val="20"/>
                <w:szCs w:val="20"/>
              </w:rPr>
            </w:pPr>
          </w:p>
        </w:tc>
      </w:tr>
      <w:tr w:rsidR="003D61CD" w:rsidRPr="004005A4" w14:paraId="52B19C6D" w14:textId="77777777" w:rsidTr="00CC36C1">
        <w:trPr>
          <w:gridBefore w:val="1"/>
          <w:wBefore w:w="17" w:type="dxa"/>
        </w:trPr>
        <w:tc>
          <w:tcPr>
            <w:tcW w:w="7483" w:type="dxa"/>
            <w:gridSpan w:val="2"/>
          </w:tcPr>
          <w:p w14:paraId="34CA3F4A" w14:textId="12C6CF63" w:rsidR="003D61CD" w:rsidRPr="004005A4" w:rsidRDefault="003D61CD" w:rsidP="00E05955">
            <w:pPr>
              <w:pStyle w:val="level2"/>
              <w:tabs>
                <w:tab w:val="clear" w:pos="576"/>
                <w:tab w:val="clear" w:pos="1152"/>
              </w:tabs>
              <w:spacing w:after="120" w:line="240" w:lineRule="atLeast"/>
              <w:ind w:left="863" w:hanging="270"/>
              <w:rPr>
                <w:rFonts w:cs="Calibri Light"/>
                <w:sz w:val="20"/>
                <w:szCs w:val="20"/>
              </w:rPr>
            </w:pPr>
            <w:r w:rsidRPr="002F16F5">
              <w:rPr>
                <w:rFonts w:cs="Calibri Light"/>
                <w:sz w:val="20"/>
                <w:szCs w:val="20"/>
                <w:lang w:val="en-US"/>
              </w:rPr>
              <w:t>(</w:t>
            </w:r>
            <w:r>
              <w:rPr>
                <w:rFonts w:cs="Calibri Light"/>
                <w:sz w:val="20"/>
                <w:szCs w:val="20"/>
                <w:lang w:val="en-US"/>
              </w:rPr>
              <w:t>i</w:t>
            </w:r>
            <w:r w:rsidRPr="002F16F5">
              <w:rPr>
                <w:rFonts w:cs="Calibri Light"/>
                <w:sz w:val="20"/>
                <w:szCs w:val="20"/>
                <w:lang w:val="en-US"/>
              </w:rPr>
              <w:t xml:space="preserve">) </w:t>
            </w:r>
            <w:r w:rsidRPr="002F16F5">
              <w:rPr>
                <w:rFonts w:cs="Calibri Light"/>
                <w:sz w:val="20"/>
                <w:szCs w:val="20"/>
                <w:lang w:val="en-US"/>
              </w:rPr>
              <w:tab/>
              <w:t xml:space="preserve">During the distribution period, total assets as of the date of acquisition or disposition plus the proceeds (net of commissions) in good faith expected to be </w:t>
            </w:r>
            <w:r w:rsidRPr="002F16F5">
              <w:rPr>
                <w:rFonts w:cs="Calibri Light"/>
                <w:sz w:val="20"/>
                <w:szCs w:val="20"/>
                <w:lang w:val="en-US"/>
              </w:rPr>
              <w:lastRenderedPageBreak/>
              <w:t>raised in the registered offering over the next 12 months, except that for acquisitions total assets must exclude the acquired business; and</w:t>
            </w:r>
          </w:p>
        </w:tc>
        <w:tc>
          <w:tcPr>
            <w:tcW w:w="1209" w:type="dxa"/>
            <w:gridSpan w:val="2"/>
            <w:tcBorders>
              <w:bottom w:val="single" w:sz="6" w:space="0" w:color="auto"/>
            </w:tcBorders>
            <w:vAlign w:val="bottom"/>
          </w:tcPr>
          <w:p w14:paraId="4DEABE5E" w14:textId="77777777" w:rsidR="003D61CD" w:rsidRPr="004005A4" w:rsidRDefault="003D61CD" w:rsidP="003D61CD">
            <w:pPr>
              <w:pStyle w:val="levela"/>
              <w:spacing w:before="120" w:after="120" w:line="240" w:lineRule="atLeast"/>
              <w:jc w:val="center"/>
              <w:rPr>
                <w:rFonts w:cs="Calibri Light"/>
                <w:b/>
                <w:sz w:val="20"/>
                <w:szCs w:val="20"/>
              </w:rPr>
            </w:pPr>
          </w:p>
        </w:tc>
        <w:tc>
          <w:tcPr>
            <w:tcW w:w="236" w:type="dxa"/>
            <w:gridSpan w:val="3"/>
            <w:vAlign w:val="bottom"/>
          </w:tcPr>
          <w:p w14:paraId="4195F6BD" w14:textId="77777777" w:rsidR="003D61CD" w:rsidRPr="004005A4" w:rsidRDefault="003D61CD" w:rsidP="003D61CD">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31277B4A" w14:textId="77777777" w:rsidR="003D61CD" w:rsidRPr="004005A4" w:rsidRDefault="003D61CD" w:rsidP="003D61CD">
            <w:pPr>
              <w:pStyle w:val="levela"/>
              <w:spacing w:before="120" w:after="120" w:line="240" w:lineRule="atLeast"/>
              <w:jc w:val="center"/>
              <w:rPr>
                <w:rFonts w:cs="Calibri Light"/>
                <w:b/>
                <w:sz w:val="20"/>
                <w:szCs w:val="20"/>
              </w:rPr>
            </w:pPr>
          </w:p>
        </w:tc>
      </w:tr>
      <w:tr w:rsidR="003D61CD" w:rsidRPr="004005A4" w14:paraId="77B5A7D6" w14:textId="77777777" w:rsidTr="00CC36C1">
        <w:trPr>
          <w:gridBefore w:val="1"/>
          <w:wBefore w:w="17" w:type="dxa"/>
        </w:trPr>
        <w:tc>
          <w:tcPr>
            <w:tcW w:w="7483" w:type="dxa"/>
            <w:gridSpan w:val="2"/>
          </w:tcPr>
          <w:p w14:paraId="02CAD393" w14:textId="700EB698" w:rsidR="003D61CD" w:rsidRPr="004005A4" w:rsidRDefault="003D61CD" w:rsidP="00E05955">
            <w:pPr>
              <w:pStyle w:val="level2"/>
              <w:tabs>
                <w:tab w:val="clear" w:pos="576"/>
                <w:tab w:val="clear" w:pos="1152"/>
              </w:tabs>
              <w:spacing w:after="120" w:line="240" w:lineRule="atLeast"/>
              <w:ind w:left="863" w:hanging="270"/>
              <w:rPr>
                <w:rFonts w:cs="Calibri Light"/>
                <w:sz w:val="20"/>
                <w:szCs w:val="20"/>
              </w:rPr>
            </w:pPr>
            <w:r>
              <w:rPr>
                <w:rFonts w:cs="Calibri Light"/>
                <w:sz w:val="20"/>
                <w:szCs w:val="20"/>
                <w:lang w:val="en-US"/>
              </w:rPr>
              <w:t>(ii</w:t>
            </w:r>
            <w:r w:rsidRPr="002F16F5">
              <w:rPr>
                <w:rFonts w:cs="Calibri Light"/>
                <w:sz w:val="20"/>
                <w:szCs w:val="20"/>
                <w:lang w:val="en-US"/>
              </w:rPr>
              <w:t xml:space="preserve">) </w:t>
            </w:r>
            <w:r w:rsidRPr="002F16F5">
              <w:rPr>
                <w:rFonts w:cs="Calibri Light"/>
                <w:sz w:val="20"/>
                <w:szCs w:val="20"/>
                <w:lang w:val="en-US"/>
              </w:rPr>
              <w:tab/>
              <w:t>After the distribution period ends and until the next Form 10-K is filed, total assets as of the date of acquisition or disposition, except that for acquisitions total assets must exclude the acquired business; and</w:t>
            </w:r>
          </w:p>
        </w:tc>
        <w:tc>
          <w:tcPr>
            <w:tcW w:w="1209" w:type="dxa"/>
            <w:gridSpan w:val="2"/>
            <w:tcBorders>
              <w:bottom w:val="single" w:sz="6" w:space="0" w:color="auto"/>
            </w:tcBorders>
            <w:vAlign w:val="bottom"/>
          </w:tcPr>
          <w:p w14:paraId="3A2356F0" w14:textId="77777777" w:rsidR="003D61CD" w:rsidRPr="004005A4" w:rsidRDefault="003D61CD" w:rsidP="003D61CD">
            <w:pPr>
              <w:pStyle w:val="levela"/>
              <w:spacing w:before="120" w:after="120" w:line="240" w:lineRule="atLeast"/>
              <w:jc w:val="center"/>
              <w:rPr>
                <w:rFonts w:cs="Calibri Light"/>
                <w:b/>
                <w:sz w:val="20"/>
                <w:szCs w:val="20"/>
              </w:rPr>
            </w:pPr>
          </w:p>
        </w:tc>
        <w:tc>
          <w:tcPr>
            <w:tcW w:w="236" w:type="dxa"/>
            <w:gridSpan w:val="3"/>
            <w:vAlign w:val="bottom"/>
          </w:tcPr>
          <w:p w14:paraId="78CB194A" w14:textId="77777777" w:rsidR="003D61CD" w:rsidRPr="004005A4" w:rsidRDefault="003D61CD" w:rsidP="003D61CD">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22963681" w14:textId="77777777" w:rsidR="003D61CD" w:rsidRPr="004005A4" w:rsidRDefault="003D61CD" w:rsidP="003D61CD">
            <w:pPr>
              <w:pStyle w:val="levela"/>
              <w:spacing w:before="120" w:after="120" w:line="240" w:lineRule="atLeast"/>
              <w:jc w:val="center"/>
              <w:rPr>
                <w:rFonts w:cs="Calibri Light"/>
                <w:b/>
                <w:sz w:val="20"/>
                <w:szCs w:val="20"/>
              </w:rPr>
            </w:pPr>
          </w:p>
        </w:tc>
      </w:tr>
      <w:tr w:rsidR="003D61CD" w:rsidRPr="004005A4" w14:paraId="33CBBD32" w14:textId="77777777" w:rsidTr="00CC36C1">
        <w:trPr>
          <w:gridBefore w:val="1"/>
          <w:wBefore w:w="17" w:type="dxa"/>
        </w:trPr>
        <w:tc>
          <w:tcPr>
            <w:tcW w:w="7483" w:type="dxa"/>
            <w:gridSpan w:val="2"/>
          </w:tcPr>
          <w:p w14:paraId="03A89053" w14:textId="7F7FD6CE" w:rsidR="003D61CD" w:rsidRPr="004005A4" w:rsidRDefault="003D61CD" w:rsidP="00E05955">
            <w:pPr>
              <w:pStyle w:val="level2"/>
              <w:tabs>
                <w:tab w:val="clear" w:pos="576"/>
                <w:tab w:val="clear" w:pos="1152"/>
              </w:tabs>
              <w:spacing w:after="120" w:line="240" w:lineRule="atLeast"/>
              <w:ind w:left="863" w:hanging="270"/>
              <w:rPr>
                <w:rFonts w:cs="Calibri Light"/>
                <w:sz w:val="20"/>
                <w:szCs w:val="20"/>
              </w:rPr>
            </w:pPr>
            <w:r w:rsidRPr="002F16F5">
              <w:rPr>
                <w:rFonts w:cs="Calibri Light"/>
                <w:sz w:val="20"/>
                <w:szCs w:val="20"/>
                <w:lang w:val="en-US"/>
              </w:rPr>
              <w:t>(</w:t>
            </w:r>
            <w:r>
              <w:rPr>
                <w:rFonts w:cs="Calibri Light"/>
                <w:sz w:val="20"/>
                <w:szCs w:val="20"/>
                <w:lang w:val="en-US"/>
              </w:rPr>
              <w:t>iii</w:t>
            </w:r>
            <w:r w:rsidRPr="002F16F5">
              <w:rPr>
                <w:rFonts w:cs="Calibri Light"/>
                <w:sz w:val="20"/>
                <w:szCs w:val="20"/>
                <w:lang w:val="en-US"/>
              </w:rPr>
              <w:t>) After that next Form 10-K is filed, the guidance in paragraph (b)(3).</w:t>
            </w:r>
          </w:p>
        </w:tc>
        <w:tc>
          <w:tcPr>
            <w:tcW w:w="1209" w:type="dxa"/>
            <w:gridSpan w:val="2"/>
            <w:tcBorders>
              <w:bottom w:val="single" w:sz="6" w:space="0" w:color="auto"/>
            </w:tcBorders>
            <w:vAlign w:val="bottom"/>
          </w:tcPr>
          <w:p w14:paraId="74B57666" w14:textId="77777777" w:rsidR="003D61CD" w:rsidRPr="004005A4" w:rsidRDefault="003D61CD" w:rsidP="003D61CD">
            <w:pPr>
              <w:pStyle w:val="levela"/>
              <w:spacing w:before="120" w:after="120" w:line="240" w:lineRule="atLeast"/>
              <w:jc w:val="center"/>
              <w:rPr>
                <w:rFonts w:cs="Calibri Light"/>
                <w:b/>
                <w:sz w:val="20"/>
                <w:szCs w:val="20"/>
              </w:rPr>
            </w:pPr>
          </w:p>
        </w:tc>
        <w:tc>
          <w:tcPr>
            <w:tcW w:w="236" w:type="dxa"/>
            <w:gridSpan w:val="3"/>
            <w:vAlign w:val="bottom"/>
          </w:tcPr>
          <w:p w14:paraId="708C145F" w14:textId="77777777" w:rsidR="003D61CD" w:rsidRPr="004005A4" w:rsidRDefault="003D61CD" w:rsidP="003D61CD">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48F68150" w14:textId="77777777" w:rsidR="003D61CD" w:rsidRPr="004005A4" w:rsidRDefault="003D61CD" w:rsidP="003D61CD">
            <w:pPr>
              <w:pStyle w:val="levela"/>
              <w:spacing w:before="120" w:after="120" w:line="240" w:lineRule="atLeast"/>
              <w:jc w:val="center"/>
              <w:rPr>
                <w:rFonts w:cs="Calibri Light"/>
                <w:b/>
                <w:sz w:val="20"/>
                <w:szCs w:val="20"/>
              </w:rPr>
            </w:pPr>
          </w:p>
        </w:tc>
      </w:tr>
      <w:tr w:rsidR="006F3A86" w:rsidRPr="004005A4" w14:paraId="719C5493" w14:textId="77777777" w:rsidTr="00CC36C1">
        <w:trPr>
          <w:gridBefore w:val="1"/>
          <w:wBefore w:w="17" w:type="dxa"/>
        </w:trPr>
        <w:tc>
          <w:tcPr>
            <w:tcW w:w="7483" w:type="dxa"/>
            <w:gridSpan w:val="2"/>
          </w:tcPr>
          <w:p w14:paraId="7FB50725" w14:textId="0AFB8BD4" w:rsidR="006F3A86" w:rsidRPr="004005A4" w:rsidRDefault="006F3A86" w:rsidP="006F3A86">
            <w:pPr>
              <w:pStyle w:val="level1"/>
              <w:tabs>
                <w:tab w:val="clear" w:pos="576"/>
              </w:tabs>
              <w:spacing w:after="120" w:line="240" w:lineRule="atLeast"/>
              <w:ind w:left="232" w:hanging="232"/>
              <w:rPr>
                <w:rFonts w:cs="Calibri Light"/>
                <w:sz w:val="20"/>
                <w:szCs w:val="20"/>
              </w:rPr>
            </w:pPr>
            <w:r w:rsidRPr="004005A4">
              <w:rPr>
                <w:rFonts w:cs="Calibri Light"/>
                <w:sz w:val="20"/>
                <w:szCs w:val="20"/>
              </w:rPr>
              <w:t>c.</w:t>
            </w:r>
            <w:r w:rsidRPr="004005A4">
              <w:rPr>
                <w:rFonts w:cs="Calibri Light"/>
                <w:sz w:val="20"/>
                <w:szCs w:val="20"/>
              </w:rPr>
              <w:tab/>
              <w:t xml:space="preserve">The pro forma effects of a business </w:t>
            </w:r>
            <w:r w:rsidR="006B14BB">
              <w:rPr>
                <w:rFonts w:cs="Calibri Light"/>
                <w:sz w:val="20"/>
                <w:szCs w:val="20"/>
              </w:rPr>
              <w:t>acquisition</w:t>
            </w:r>
            <w:r w:rsidRPr="004005A4">
              <w:rPr>
                <w:rFonts w:cs="Calibri Light"/>
                <w:sz w:val="20"/>
                <w:szCs w:val="20"/>
              </w:rPr>
              <w:t xml:space="preserve"> need not be presented if separate financial statements of the acquired business are not included in the filing</w:t>
            </w:r>
            <w:r>
              <w:rPr>
                <w:rFonts w:cs="Calibri Light"/>
                <w:sz w:val="20"/>
                <w:szCs w:val="20"/>
              </w:rPr>
              <w:t xml:space="preserve">, except where the aggregate impact of businesses acquired or to be acquired </w:t>
            </w:r>
            <w:r w:rsidR="00B85722">
              <w:rPr>
                <w:rFonts w:cs="Calibri Light"/>
                <w:sz w:val="20"/>
                <w:szCs w:val="20"/>
              </w:rPr>
              <w:t>is</w:t>
            </w:r>
            <w:r>
              <w:rPr>
                <w:rFonts w:cs="Calibri Light"/>
                <w:sz w:val="20"/>
                <w:szCs w:val="20"/>
              </w:rPr>
              <w:t xml:space="preserve"> significant as determined by Rule 3-05(b)(2)(iv) or Rule 3-14(b)(2)(i)(C).</w:t>
            </w:r>
          </w:p>
        </w:tc>
        <w:tc>
          <w:tcPr>
            <w:tcW w:w="1209" w:type="dxa"/>
            <w:gridSpan w:val="2"/>
            <w:tcBorders>
              <w:top w:val="single" w:sz="6" w:space="0" w:color="auto"/>
              <w:bottom w:val="single" w:sz="4" w:space="0" w:color="auto"/>
            </w:tcBorders>
            <w:vAlign w:val="bottom"/>
          </w:tcPr>
          <w:p w14:paraId="5EE012E5"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541D02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58DB56C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5FA6560" w14:textId="77777777" w:rsidTr="00CC36C1">
        <w:trPr>
          <w:gridBefore w:val="1"/>
          <w:wBefore w:w="17" w:type="dxa"/>
        </w:trPr>
        <w:tc>
          <w:tcPr>
            <w:tcW w:w="7483" w:type="dxa"/>
            <w:gridSpan w:val="2"/>
          </w:tcPr>
          <w:p w14:paraId="15656E29" w14:textId="77777777" w:rsidR="006F3A86" w:rsidRPr="004005A4" w:rsidRDefault="006F3A86" w:rsidP="006F3A86">
            <w:pPr>
              <w:pStyle w:val="level1"/>
              <w:tabs>
                <w:tab w:val="clear" w:pos="576"/>
              </w:tabs>
              <w:spacing w:after="120" w:line="240" w:lineRule="atLeast"/>
              <w:ind w:left="232" w:hanging="232"/>
              <w:rPr>
                <w:rFonts w:cs="Calibri Light"/>
                <w:sz w:val="20"/>
                <w:szCs w:val="20"/>
              </w:rPr>
            </w:pPr>
            <w:r w:rsidRPr="004005A4">
              <w:rPr>
                <w:rFonts w:cs="Calibri Light"/>
                <w:sz w:val="20"/>
                <w:szCs w:val="20"/>
              </w:rPr>
              <w:t>d.</w:t>
            </w:r>
            <w:r w:rsidRPr="004005A4">
              <w:rPr>
                <w:rFonts w:cs="Calibri Light"/>
                <w:sz w:val="20"/>
                <w:szCs w:val="20"/>
              </w:rPr>
              <w:tab/>
              <w:t>The term “business” should be evaluated in light of the facts and circumstances involved, and whether there is sufficient continuity of the acquired entity’s operations prior to and after the transactions so that disclosure of prior financial information is material to an understanding of future operations.  There is presumption that a separate entity, a subsidiary, or a division is a business.  However, a lesser component of an entity may also constitute a business.  Among the facts and circumstances that should be considered in evaluating whether an acquisition of a lesser component of an entity constitutes a business are the following:</w:t>
            </w:r>
          </w:p>
        </w:tc>
        <w:tc>
          <w:tcPr>
            <w:tcW w:w="1209" w:type="dxa"/>
            <w:gridSpan w:val="2"/>
            <w:tcBorders>
              <w:top w:val="single" w:sz="4" w:space="0" w:color="auto"/>
            </w:tcBorders>
            <w:vAlign w:val="bottom"/>
          </w:tcPr>
          <w:p w14:paraId="6F3FDDF4"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032C94A"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760C1D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59B5325" w14:textId="77777777" w:rsidTr="00CC36C1">
        <w:trPr>
          <w:gridBefore w:val="1"/>
          <w:wBefore w:w="17" w:type="dxa"/>
        </w:trPr>
        <w:tc>
          <w:tcPr>
            <w:tcW w:w="7483" w:type="dxa"/>
            <w:gridSpan w:val="2"/>
          </w:tcPr>
          <w:p w14:paraId="420FE22D" w14:textId="77777777"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(1)</w:t>
            </w:r>
            <w:r w:rsidRPr="004005A4">
              <w:rPr>
                <w:rFonts w:cs="Calibri Light"/>
                <w:sz w:val="20"/>
                <w:szCs w:val="20"/>
              </w:rPr>
              <w:tab/>
              <w:t>Whether the nature of the revenue-producing activity of the component will remain generally the same as before the transaction; or</w:t>
            </w:r>
          </w:p>
        </w:tc>
        <w:tc>
          <w:tcPr>
            <w:tcW w:w="1209" w:type="dxa"/>
            <w:gridSpan w:val="2"/>
            <w:tcBorders>
              <w:bottom w:val="single" w:sz="4" w:space="0" w:color="auto"/>
            </w:tcBorders>
            <w:vAlign w:val="bottom"/>
          </w:tcPr>
          <w:p w14:paraId="7664AB11"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F039966"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18209907"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D02CDFA" w14:textId="77777777" w:rsidTr="00CC36C1">
        <w:trPr>
          <w:gridBefore w:val="1"/>
          <w:wBefore w:w="17" w:type="dxa"/>
        </w:trPr>
        <w:tc>
          <w:tcPr>
            <w:tcW w:w="7483" w:type="dxa"/>
            <w:gridSpan w:val="2"/>
          </w:tcPr>
          <w:p w14:paraId="22D195B9" w14:textId="6C470601"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(2)</w:t>
            </w:r>
            <w:r w:rsidRPr="004005A4">
              <w:rPr>
                <w:rFonts w:cs="Calibri Light"/>
                <w:sz w:val="20"/>
                <w:szCs w:val="20"/>
              </w:rPr>
              <w:tab/>
              <w:t>Whether any of the following attributes remain with the component after the transaction: physical facilities, employee base, market distribution system, sales force, customer base, operating rights, production techniques, or trade names.</w:t>
            </w:r>
          </w:p>
        </w:tc>
        <w:tc>
          <w:tcPr>
            <w:tcW w:w="1209" w:type="dxa"/>
            <w:gridSpan w:val="2"/>
            <w:tcBorders>
              <w:top w:val="single" w:sz="4" w:space="0" w:color="auto"/>
            </w:tcBorders>
            <w:vAlign w:val="bottom"/>
          </w:tcPr>
          <w:p w14:paraId="5D69A788"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94CF7A1"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8C4B28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50137D0" w14:textId="77777777" w:rsidTr="00CC36C1">
        <w:trPr>
          <w:gridBefore w:val="1"/>
          <w:wBefore w:w="17" w:type="dxa"/>
        </w:trPr>
        <w:tc>
          <w:tcPr>
            <w:tcW w:w="7483" w:type="dxa"/>
            <w:gridSpan w:val="2"/>
          </w:tcPr>
          <w:p w14:paraId="3FA4A1DF" w14:textId="77777777" w:rsidR="006F3A86" w:rsidRPr="004005A4" w:rsidRDefault="006F3A86" w:rsidP="006F3A86">
            <w:pPr>
              <w:pStyle w:val="level1"/>
              <w:tabs>
                <w:tab w:val="clear" w:pos="576"/>
              </w:tabs>
              <w:spacing w:after="120" w:line="240" w:lineRule="atLeast"/>
              <w:ind w:left="232" w:hanging="232"/>
              <w:rPr>
                <w:rFonts w:cs="Calibri Light"/>
                <w:sz w:val="20"/>
                <w:szCs w:val="20"/>
              </w:rPr>
            </w:pPr>
            <w:r w:rsidRPr="004005A4">
              <w:rPr>
                <w:rFonts w:cs="Calibri Light"/>
                <w:sz w:val="20"/>
                <w:szCs w:val="20"/>
              </w:rPr>
              <w:t>e.</w:t>
            </w:r>
            <w:r w:rsidRPr="004005A4">
              <w:rPr>
                <w:rFonts w:cs="Calibri Light"/>
                <w:sz w:val="20"/>
                <w:szCs w:val="20"/>
              </w:rPr>
              <w:tab/>
              <w:t>Rule 11-01 does not apply to transactions between a parent company and its totally held subsidiary.</w:t>
            </w:r>
          </w:p>
        </w:tc>
        <w:tc>
          <w:tcPr>
            <w:tcW w:w="1209" w:type="dxa"/>
            <w:gridSpan w:val="2"/>
            <w:tcBorders>
              <w:top w:val="single" w:sz="4" w:space="0" w:color="auto"/>
              <w:bottom w:val="single" w:sz="4" w:space="0" w:color="auto"/>
            </w:tcBorders>
            <w:vAlign w:val="bottom"/>
          </w:tcPr>
          <w:p w14:paraId="29E2CEBD"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D22039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CF1D83C"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AD146AA" w14:textId="77777777" w:rsidTr="00CC36C1">
        <w:trPr>
          <w:gridBefore w:val="1"/>
          <w:wBefore w:w="17" w:type="dxa"/>
        </w:trPr>
        <w:tc>
          <w:tcPr>
            <w:tcW w:w="7483" w:type="dxa"/>
            <w:gridSpan w:val="2"/>
          </w:tcPr>
          <w:p w14:paraId="1AC6DB04" w14:textId="77777777" w:rsidR="006F3A86" w:rsidRPr="004005A4" w:rsidRDefault="006F3A86" w:rsidP="006F3A86">
            <w:pPr>
              <w:pStyle w:val="levela"/>
              <w:keepNext/>
              <w:spacing w:before="120" w:after="120" w:line="240" w:lineRule="atLeast"/>
              <w:rPr>
                <w:rFonts w:cs="Calibri Light"/>
                <w:sz w:val="20"/>
                <w:szCs w:val="20"/>
              </w:rPr>
            </w:pPr>
            <w:r w:rsidRPr="004005A4">
              <w:rPr>
                <w:rFonts w:cs="Calibri Light"/>
                <w:b/>
                <w:sz w:val="20"/>
                <w:szCs w:val="20"/>
              </w:rPr>
              <w:t xml:space="preserve">Rule 11-02 </w:t>
            </w:r>
            <w:r w:rsidRPr="004005A4">
              <w:rPr>
                <w:rFonts w:cs="Calibri Light"/>
                <w:sz w:val="20"/>
                <w:szCs w:val="20"/>
              </w:rPr>
              <w:t xml:space="preserve">— </w:t>
            </w:r>
            <w:r w:rsidRPr="004005A4">
              <w:rPr>
                <w:rFonts w:cs="Calibri Light"/>
                <w:b/>
                <w:sz w:val="20"/>
                <w:szCs w:val="20"/>
              </w:rPr>
              <w:t>Preparation requirements.</w:t>
            </w:r>
          </w:p>
        </w:tc>
        <w:tc>
          <w:tcPr>
            <w:tcW w:w="1209" w:type="dxa"/>
            <w:gridSpan w:val="2"/>
            <w:tcBorders>
              <w:top w:val="single" w:sz="4" w:space="0" w:color="auto"/>
            </w:tcBorders>
            <w:vAlign w:val="bottom"/>
          </w:tcPr>
          <w:p w14:paraId="59CCE19F"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3F8814E"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F85606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535D38CD" w14:textId="77777777" w:rsidTr="00CC36C1">
        <w:trPr>
          <w:gridBefore w:val="1"/>
          <w:wBefore w:w="17" w:type="dxa"/>
        </w:trPr>
        <w:tc>
          <w:tcPr>
            <w:tcW w:w="7483" w:type="dxa"/>
            <w:gridSpan w:val="2"/>
          </w:tcPr>
          <w:p w14:paraId="32B5BC05" w14:textId="69C45C14" w:rsidR="006F3A86" w:rsidRPr="004005A4" w:rsidRDefault="006F3A86" w:rsidP="006F3A86">
            <w:pPr>
              <w:pStyle w:val="level1"/>
              <w:tabs>
                <w:tab w:val="clear" w:pos="576"/>
              </w:tabs>
              <w:spacing w:after="120" w:line="240" w:lineRule="atLeast"/>
              <w:ind w:left="232" w:hanging="232"/>
              <w:rPr>
                <w:rFonts w:cs="Calibri Light"/>
                <w:sz w:val="20"/>
                <w:szCs w:val="20"/>
              </w:rPr>
            </w:pPr>
            <w:r>
              <w:rPr>
                <w:rFonts w:cs="Calibri Light"/>
                <w:sz w:val="20"/>
                <w:szCs w:val="20"/>
              </w:rPr>
              <w:t>a</w:t>
            </w:r>
            <w:r w:rsidRPr="004005A4">
              <w:rPr>
                <w:rFonts w:cs="Calibri Light"/>
                <w:sz w:val="20"/>
                <w:szCs w:val="20"/>
              </w:rPr>
              <w:t>.</w:t>
            </w:r>
            <w:r w:rsidRPr="004005A4">
              <w:rPr>
                <w:rFonts w:cs="Calibri Light"/>
                <w:sz w:val="20"/>
                <w:szCs w:val="20"/>
              </w:rPr>
              <w:tab/>
            </w:r>
            <w:r w:rsidRPr="004005A4">
              <w:rPr>
                <w:rFonts w:cs="Calibri Light"/>
                <w:b/>
                <w:sz w:val="20"/>
                <w:szCs w:val="20"/>
              </w:rPr>
              <w:t>Form and content.</w:t>
            </w:r>
          </w:p>
        </w:tc>
        <w:tc>
          <w:tcPr>
            <w:tcW w:w="1209" w:type="dxa"/>
            <w:gridSpan w:val="2"/>
            <w:tcBorders>
              <w:top w:val="single" w:sz="6" w:space="0" w:color="auto"/>
            </w:tcBorders>
            <w:vAlign w:val="bottom"/>
          </w:tcPr>
          <w:p w14:paraId="00FAD5ED"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1ED8AD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00F508B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461BDCE" w14:textId="77777777" w:rsidTr="00CC36C1">
        <w:trPr>
          <w:gridBefore w:val="1"/>
          <w:wBefore w:w="17" w:type="dxa"/>
        </w:trPr>
        <w:tc>
          <w:tcPr>
            <w:tcW w:w="7483" w:type="dxa"/>
            <w:gridSpan w:val="2"/>
          </w:tcPr>
          <w:p w14:paraId="3A58F584" w14:textId="6F2FFCF5"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(1)</w:t>
            </w:r>
            <w:r w:rsidRPr="004005A4">
              <w:rPr>
                <w:rFonts w:cs="Calibri Light"/>
                <w:sz w:val="20"/>
                <w:szCs w:val="20"/>
              </w:rPr>
              <w:tab/>
              <w:t xml:space="preserve">Pro forma financial information </w:t>
            </w:r>
            <w:r>
              <w:rPr>
                <w:rFonts w:cs="Calibri Light"/>
                <w:sz w:val="20"/>
                <w:szCs w:val="20"/>
              </w:rPr>
              <w:t xml:space="preserve">must </w:t>
            </w:r>
            <w:r w:rsidRPr="004005A4">
              <w:rPr>
                <w:rFonts w:cs="Calibri Light"/>
                <w:sz w:val="20"/>
                <w:szCs w:val="20"/>
              </w:rPr>
              <w:t xml:space="preserve">consist of a pro forma condensed balance sheet, pro forma condensed statements of comprehensive income, and accompanying explanatory notes.  In certain circumstances (i.e., if a limited number of pro forma adjustments are required and those adjustments are easily understood), a narrative description of the pro forma effects of the transaction may be </w:t>
            </w:r>
            <w:r>
              <w:rPr>
                <w:rFonts w:cs="Calibri Light"/>
                <w:sz w:val="20"/>
                <w:szCs w:val="20"/>
              </w:rPr>
              <w:t xml:space="preserve">disclosed </w:t>
            </w:r>
            <w:r w:rsidRPr="004005A4">
              <w:rPr>
                <w:rFonts w:cs="Calibri Light"/>
                <w:sz w:val="20"/>
                <w:szCs w:val="20"/>
              </w:rPr>
              <w:t>instead of the above statements.</w:t>
            </w:r>
          </w:p>
        </w:tc>
        <w:tc>
          <w:tcPr>
            <w:tcW w:w="1209" w:type="dxa"/>
            <w:gridSpan w:val="2"/>
            <w:vAlign w:val="bottom"/>
          </w:tcPr>
          <w:p w14:paraId="01CF98E8"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429A87E"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1D31A3B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34A2D0F" w14:textId="77777777" w:rsidTr="00CC36C1">
        <w:trPr>
          <w:gridBefore w:val="1"/>
          <w:wBefore w:w="17" w:type="dxa"/>
        </w:trPr>
        <w:tc>
          <w:tcPr>
            <w:tcW w:w="7483" w:type="dxa"/>
            <w:gridSpan w:val="2"/>
          </w:tcPr>
          <w:p w14:paraId="04BB4F06" w14:textId="1F084502" w:rsidR="006F3A86" w:rsidRPr="004005A4" w:rsidRDefault="006F3A86" w:rsidP="00E05955">
            <w:pPr>
              <w:pStyle w:val="level2"/>
              <w:keepNext/>
              <w:tabs>
                <w:tab w:val="clear" w:pos="576"/>
                <w:tab w:val="clear" w:pos="1152"/>
              </w:tabs>
              <w:spacing w:after="120" w:line="240" w:lineRule="atLeast"/>
              <w:ind w:left="502" w:hanging="270"/>
              <w:rPr>
                <w:rFonts w:cs="Calibri Light"/>
                <w:sz w:val="20"/>
                <w:szCs w:val="20"/>
              </w:rPr>
            </w:pPr>
            <w:r w:rsidRPr="004005A4">
              <w:rPr>
                <w:rFonts w:cs="Calibri Light"/>
                <w:sz w:val="20"/>
                <w:szCs w:val="20"/>
              </w:rPr>
              <w:lastRenderedPageBreak/>
              <w:t>(2)</w:t>
            </w:r>
            <w:r w:rsidRPr="004005A4">
              <w:rPr>
                <w:rFonts w:cs="Calibri Light"/>
                <w:sz w:val="20"/>
                <w:szCs w:val="20"/>
              </w:rPr>
              <w:tab/>
              <w:t xml:space="preserve">The pro forma financial information must </w:t>
            </w:r>
            <w:r>
              <w:rPr>
                <w:rFonts w:cs="Calibri Light"/>
                <w:sz w:val="20"/>
                <w:szCs w:val="20"/>
              </w:rPr>
              <w:t xml:space="preserve">be </w:t>
            </w:r>
            <w:r w:rsidR="00D83C94">
              <w:rPr>
                <w:rFonts w:cs="Calibri Light"/>
                <w:sz w:val="20"/>
                <w:szCs w:val="20"/>
              </w:rPr>
              <w:t>accompanied</w:t>
            </w:r>
            <w:r>
              <w:rPr>
                <w:rFonts w:cs="Calibri Light"/>
                <w:sz w:val="20"/>
                <w:szCs w:val="20"/>
              </w:rPr>
              <w:t xml:space="preserve"> by</w:t>
            </w:r>
            <w:r w:rsidRPr="004005A4">
              <w:rPr>
                <w:rFonts w:cs="Calibri Light"/>
                <w:sz w:val="20"/>
                <w:szCs w:val="20"/>
              </w:rPr>
              <w:t xml:space="preserve"> an introductory paragraph that briefly describes </w:t>
            </w:r>
            <w:r>
              <w:rPr>
                <w:rFonts w:cs="Calibri Light"/>
                <w:sz w:val="20"/>
                <w:szCs w:val="20"/>
              </w:rPr>
              <w:t>each</w:t>
            </w:r>
            <w:r w:rsidRPr="004005A4">
              <w:rPr>
                <w:rFonts w:cs="Calibri Light"/>
                <w:sz w:val="20"/>
                <w:szCs w:val="20"/>
              </w:rPr>
              <w:t xml:space="preserve"> transaction</w:t>
            </w:r>
            <w:r>
              <w:rPr>
                <w:rFonts w:cs="Calibri Light"/>
                <w:sz w:val="20"/>
                <w:szCs w:val="20"/>
              </w:rPr>
              <w:t xml:space="preserve"> for which pro forma effect is being given</w:t>
            </w:r>
            <w:r w:rsidRPr="004005A4">
              <w:rPr>
                <w:rFonts w:cs="Calibri Light"/>
                <w:sz w:val="20"/>
                <w:szCs w:val="20"/>
              </w:rPr>
              <w:t>, the entities involved, and the periods for which the pro forma information is presented</w:t>
            </w:r>
            <w:r>
              <w:rPr>
                <w:rFonts w:cs="Calibri Light"/>
                <w:sz w:val="20"/>
                <w:szCs w:val="20"/>
              </w:rPr>
              <w:t xml:space="preserve"> and</w:t>
            </w:r>
            <w:r w:rsidRPr="004005A4">
              <w:rPr>
                <w:rFonts w:cs="Calibri Light"/>
                <w:sz w:val="20"/>
                <w:szCs w:val="20"/>
              </w:rPr>
              <w:t xml:space="preserve"> an explanation of what the pro forma presentation show</w:t>
            </w:r>
            <w:r>
              <w:rPr>
                <w:rFonts w:cs="Calibri Light"/>
                <w:sz w:val="20"/>
                <w:szCs w:val="20"/>
              </w:rPr>
              <w:t>s</w:t>
            </w:r>
            <w:r w:rsidRPr="004005A4">
              <w:rPr>
                <w:rFonts w:cs="Calibri Light"/>
                <w:sz w:val="20"/>
                <w:szCs w:val="20"/>
              </w:rPr>
              <w:t>.</w:t>
            </w:r>
          </w:p>
        </w:tc>
        <w:tc>
          <w:tcPr>
            <w:tcW w:w="1209" w:type="dxa"/>
            <w:gridSpan w:val="2"/>
            <w:tcBorders>
              <w:top w:val="single" w:sz="4" w:space="0" w:color="auto"/>
              <w:bottom w:val="single" w:sz="6" w:space="0" w:color="auto"/>
            </w:tcBorders>
            <w:vAlign w:val="bottom"/>
          </w:tcPr>
          <w:p w14:paraId="20D33BB9" w14:textId="77777777" w:rsidR="006F3A86" w:rsidRPr="004005A4" w:rsidRDefault="006F3A86" w:rsidP="00E05955">
            <w:pPr>
              <w:pStyle w:val="levela"/>
              <w:keepNext/>
              <w:spacing w:before="120" w:after="120" w:line="240" w:lineRule="atLeast"/>
              <w:jc w:val="center"/>
              <w:rPr>
                <w:rFonts w:cs="Calibri Light"/>
                <w:b/>
                <w:sz w:val="20"/>
                <w:szCs w:val="20"/>
              </w:rPr>
            </w:pPr>
          </w:p>
        </w:tc>
        <w:tc>
          <w:tcPr>
            <w:tcW w:w="236" w:type="dxa"/>
            <w:gridSpan w:val="3"/>
            <w:vAlign w:val="bottom"/>
          </w:tcPr>
          <w:p w14:paraId="62A6F7EE" w14:textId="77777777" w:rsidR="006F3A86" w:rsidRPr="004005A4" w:rsidRDefault="006F3A86" w:rsidP="00E05955">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3A82497E" w14:textId="77777777" w:rsidR="006F3A86" w:rsidRPr="004005A4" w:rsidRDefault="006F3A86" w:rsidP="00E05955">
            <w:pPr>
              <w:pStyle w:val="levela"/>
              <w:keepNext/>
              <w:spacing w:before="120" w:after="120" w:line="240" w:lineRule="atLeast"/>
              <w:jc w:val="center"/>
              <w:rPr>
                <w:rFonts w:cs="Calibri Light"/>
                <w:b/>
                <w:sz w:val="20"/>
                <w:szCs w:val="20"/>
              </w:rPr>
            </w:pPr>
          </w:p>
        </w:tc>
      </w:tr>
      <w:tr w:rsidR="006F3A86" w:rsidRPr="004005A4" w14:paraId="5800DBC5" w14:textId="77777777" w:rsidTr="00CC36C1">
        <w:trPr>
          <w:gridBefore w:val="1"/>
          <w:wBefore w:w="17" w:type="dxa"/>
        </w:trPr>
        <w:tc>
          <w:tcPr>
            <w:tcW w:w="7483" w:type="dxa"/>
            <w:gridSpan w:val="2"/>
          </w:tcPr>
          <w:p w14:paraId="3FAF5A76" w14:textId="4FFFD09D"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(3)</w:t>
            </w:r>
            <w:r w:rsidRPr="004005A4">
              <w:rPr>
                <w:rFonts w:cs="Calibri Light"/>
                <w:sz w:val="20"/>
                <w:szCs w:val="20"/>
              </w:rPr>
              <w:tab/>
              <w:t>The pro forma condensed financial information need only include major captions (i.e., the numbered captions) prescribed by the applicable sections of</w:t>
            </w:r>
            <w:r w:rsidR="00764D08">
              <w:rPr>
                <w:rFonts w:cs="Calibri Light"/>
                <w:sz w:val="20"/>
                <w:szCs w:val="20"/>
              </w:rPr>
              <w:t xml:space="preserve"> </w:t>
            </w:r>
            <w:r w:rsidRPr="004005A4">
              <w:rPr>
                <w:rFonts w:cs="Calibri Light"/>
                <w:sz w:val="20"/>
                <w:szCs w:val="20"/>
              </w:rPr>
              <w:t>Regulation</w:t>
            </w:r>
            <w:r>
              <w:rPr>
                <w:rFonts w:cs="Calibri Light"/>
                <w:sz w:val="20"/>
                <w:szCs w:val="20"/>
              </w:rPr>
              <w:t xml:space="preserve"> S-X</w:t>
            </w:r>
            <w:r w:rsidRPr="004005A4">
              <w:rPr>
                <w:rFonts w:cs="Calibri Light"/>
                <w:sz w:val="20"/>
                <w:szCs w:val="20"/>
              </w:rPr>
              <w:t xml:space="preserve">. Where any major balance sheet caption is less than 10 percent of total assets, the caption may be combined with others. When any major statement of comprehensive income caption is less than 15 percent of average net income attributable to the registrant for the most recent three fiscal years, the caption may be combined with others. In calculating average net income attributable to the registrant, loss years should be excluded unless losses were incurred in each of the most recent three years, in which case the average loss shall be used for purposes of this test. Notwithstanding these tests, de minimis amounts need not be shown separately. </w:t>
            </w:r>
          </w:p>
        </w:tc>
        <w:tc>
          <w:tcPr>
            <w:tcW w:w="1209" w:type="dxa"/>
            <w:gridSpan w:val="2"/>
            <w:tcBorders>
              <w:top w:val="single" w:sz="6" w:space="0" w:color="auto"/>
            </w:tcBorders>
            <w:vAlign w:val="bottom"/>
          </w:tcPr>
          <w:p w14:paraId="452E3BAE"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9B461B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3816A691"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24B13B5" w14:textId="77777777" w:rsidTr="00CC36C1">
        <w:trPr>
          <w:gridBefore w:val="1"/>
          <w:wBefore w:w="17" w:type="dxa"/>
        </w:trPr>
        <w:tc>
          <w:tcPr>
            <w:tcW w:w="7483" w:type="dxa"/>
            <w:gridSpan w:val="2"/>
          </w:tcPr>
          <w:p w14:paraId="33FBFF44" w14:textId="37393D5D"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(4)</w:t>
            </w:r>
            <w:r w:rsidRPr="004005A4">
              <w:rPr>
                <w:rFonts w:cs="Calibri Light"/>
                <w:sz w:val="20"/>
                <w:szCs w:val="20"/>
              </w:rPr>
              <w:tab/>
              <w:t xml:space="preserve">Pro forma statements </w:t>
            </w:r>
            <w:r>
              <w:rPr>
                <w:rFonts w:cs="Calibri Light"/>
                <w:sz w:val="20"/>
                <w:szCs w:val="20"/>
              </w:rPr>
              <w:t>will ordinarily be</w:t>
            </w:r>
            <w:r w:rsidRPr="004005A4">
              <w:rPr>
                <w:rFonts w:cs="Calibri Light"/>
                <w:sz w:val="20"/>
                <w:szCs w:val="20"/>
              </w:rPr>
              <w:t xml:space="preserve"> in columnar form showing condensed historical statements, </w:t>
            </w:r>
            <w:r>
              <w:rPr>
                <w:rFonts w:cs="Calibri Light"/>
                <w:sz w:val="20"/>
                <w:szCs w:val="20"/>
              </w:rPr>
              <w:t>pro forma adjustments</w:t>
            </w:r>
            <w:r w:rsidRPr="004005A4">
              <w:rPr>
                <w:rFonts w:cs="Calibri Light"/>
                <w:sz w:val="20"/>
                <w:szCs w:val="20"/>
              </w:rPr>
              <w:t>,</w:t>
            </w:r>
            <w:r>
              <w:rPr>
                <w:rFonts w:cs="Calibri Light"/>
                <w:sz w:val="20"/>
                <w:szCs w:val="20"/>
              </w:rPr>
              <w:t xml:space="preserve"> and the </w:t>
            </w:r>
            <w:r w:rsidRPr="004005A4">
              <w:rPr>
                <w:rFonts w:cs="Calibri Light"/>
                <w:sz w:val="20"/>
                <w:szCs w:val="20"/>
              </w:rPr>
              <w:t xml:space="preserve"> pro forma results. </w:t>
            </w:r>
          </w:p>
        </w:tc>
        <w:tc>
          <w:tcPr>
            <w:tcW w:w="1209" w:type="dxa"/>
            <w:gridSpan w:val="2"/>
            <w:tcBorders>
              <w:top w:val="single" w:sz="4" w:space="0" w:color="auto"/>
              <w:bottom w:val="single" w:sz="6" w:space="0" w:color="auto"/>
            </w:tcBorders>
            <w:vAlign w:val="bottom"/>
          </w:tcPr>
          <w:p w14:paraId="657CA05A"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92095E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7224A140"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6BCE4B22" w14:textId="77777777" w:rsidTr="00CC36C1">
        <w:trPr>
          <w:gridBefore w:val="1"/>
          <w:wBefore w:w="17" w:type="dxa"/>
        </w:trPr>
        <w:tc>
          <w:tcPr>
            <w:tcW w:w="7483" w:type="dxa"/>
            <w:gridSpan w:val="2"/>
          </w:tcPr>
          <w:p w14:paraId="153FB92F" w14:textId="1B4C16E6"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(5)</w:t>
            </w:r>
            <w:r w:rsidRPr="004005A4">
              <w:rPr>
                <w:rFonts w:cs="Calibri Light"/>
                <w:sz w:val="20"/>
                <w:szCs w:val="20"/>
              </w:rPr>
              <w:tab/>
              <w:t xml:space="preserve">Pro forma condensed statement of comprehensive income </w:t>
            </w:r>
            <w:r w:rsidR="00982991">
              <w:rPr>
                <w:rFonts w:cs="Calibri Light"/>
                <w:sz w:val="20"/>
                <w:szCs w:val="20"/>
              </w:rPr>
              <w:t>must</w:t>
            </w:r>
            <w:r w:rsidRPr="004005A4">
              <w:rPr>
                <w:rFonts w:cs="Calibri Light"/>
                <w:sz w:val="20"/>
                <w:szCs w:val="20"/>
              </w:rPr>
              <w:t xml:space="preserve"> disclose the income (loss) from continuing operations and income (loss) from continuing operations attributable to the controlling interest.</w:t>
            </w:r>
          </w:p>
        </w:tc>
        <w:tc>
          <w:tcPr>
            <w:tcW w:w="1209" w:type="dxa"/>
            <w:gridSpan w:val="2"/>
            <w:tcBorders>
              <w:top w:val="single" w:sz="6" w:space="0" w:color="auto"/>
            </w:tcBorders>
            <w:vAlign w:val="bottom"/>
          </w:tcPr>
          <w:p w14:paraId="48AFFCEB"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286A0BC"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21D10C36"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5ABE36B" w14:textId="77777777" w:rsidTr="00CC36C1">
        <w:trPr>
          <w:gridBefore w:val="1"/>
          <w:wBefore w:w="17" w:type="dxa"/>
        </w:trPr>
        <w:tc>
          <w:tcPr>
            <w:tcW w:w="7483" w:type="dxa"/>
            <w:gridSpan w:val="2"/>
          </w:tcPr>
          <w:p w14:paraId="6425372F" w14:textId="27E707E3"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(6)</w:t>
            </w:r>
            <w:r w:rsidRPr="004005A4">
              <w:rPr>
                <w:rFonts w:cs="Calibri Light"/>
                <w:sz w:val="20"/>
                <w:szCs w:val="20"/>
              </w:rPr>
              <w:tab/>
              <w:t>Pro forma condensed balance sheet and pro forma condensed statements of comprehensive income must include, and be limited to, the following pro forma adjustments, except those noted in (a)(7):</w:t>
            </w:r>
          </w:p>
        </w:tc>
        <w:tc>
          <w:tcPr>
            <w:tcW w:w="1209" w:type="dxa"/>
            <w:gridSpan w:val="2"/>
            <w:tcBorders>
              <w:top w:val="single" w:sz="4" w:space="0" w:color="auto"/>
            </w:tcBorders>
            <w:vAlign w:val="bottom"/>
          </w:tcPr>
          <w:p w14:paraId="02C2EC35"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AEC5079"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6D7F3AC"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D73F45F" w14:textId="77777777" w:rsidTr="00CC36C1">
        <w:trPr>
          <w:gridBefore w:val="1"/>
          <w:wBefore w:w="17" w:type="dxa"/>
        </w:trPr>
        <w:tc>
          <w:tcPr>
            <w:tcW w:w="7483" w:type="dxa"/>
            <w:gridSpan w:val="2"/>
          </w:tcPr>
          <w:p w14:paraId="3BF9084D" w14:textId="3DA1CD23" w:rsidR="006F3A86" w:rsidRDefault="006F3A86" w:rsidP="006F3A86">
            <w:pPr>
              <w:pStyle w:val="level3"/>
              <w:tabs>
                <w:tab w:val="clear" w:pos="576"/>
                <w:tab w:val="clear" w:pos="1152"/>
              </w:tabs>
              <w:spacing w:after="120" w:line="240" w:lineRule="atLeast"/>
              <w:ind w:left="772" w:hanging="270"/>
              <w:rPr>
                <w:rFonts w:cs="Calibri Light"/>
                <w:sz w:val="20"/>
                <w:szCs w:val="20"/>
              </w:rPr>
            </w:pPr>
            <w:r w:rsidRPr="004005A4">
              <w:rPr>
                <w:rFonts w:cs="Calibri Light"/>
                <w:sz w:val="20"/>
                <w:szCs w:val="20"/>
              </w:rPr>
              <w:t>(</w:t>
            </w:r>
            <w:r>
              <w:rPr>
                <w:rFonts w:cs="Calibri Light"/>
                <w:sz w:val="20"/>
                <w:szCs w:val="20"/>
              </w:rPr>
              <w:t>i</w:t>
            </w:r>
            <w:r w:rsidRPr="004005A4">
              <w:rPr>
                <w:rFonts w:cs="Calibri Light"/>
                <w:sz w:val="20"/>
                <w:szCs w:val="20"/>
              </w:rPr>
              <w:t>)</w:t>
            </w:r>
            <w:r w:rsidRPr="004005A4">
              <w:rPr>
                <w:rFonts w:cs="Calibri Light"/>
                <w:sz w:val="20"/>
                <w:szCs w:val="20"/>
              </w:rPr>
              <w:tab/>
              <w:t xml:space="preserve">Transaction </w:t>
            </w:r>
            <w:r>
              <w:rPr>
                <w:rFonts w:cs="Calibri Light"/>
                <w:sz w:val="20"/>
                <w:szCs w:val="20"/>
              </w:rPr>
              <w:t>A</w:t>
            </w:r>
            <w:r w:rsidRPr="004005A4">
              <w:rPr>
                <w:rFonts w:cs="Calibri Light"/>
                <w:sz w:val="20"/>
                <w:szCs w:val="20"/>
              </w:rPr>
              <w:t xml:space="preserve">ccounting </w:t>
            </w:r>
            <w:r>
              <w:rPr>
                <w:rFonts w:cs="Calibri Light"/>
                <w:sz w:val="20"/>
                <w:szCs w:val="20"/>
              </w:rPr>
              <w:t>A</w:t>
            </w:r>
            <w:r w:rsidRPr="004005A4">
              <w:rPr>
                <w:rFonts w:cs="Calibri Light"/>
                <w:sz w:val="20"/>
                <w:szCs w:val="20"/>
              </w:rPr>
              <w:t>djustments</w:t>
            </w:r>
          </w:p>
          <w:p w14:paraId="6E405792" w14:textId="1266E933" w:rsidR="006F3A86" w:rsidRPr="004005A4" w:rsidRDefault="006F3A86" w:rsidP="006F3A86">
            <w:pPr>
              <w:pStyle w:val="level3"/>
              <w:tabs>
                <w:tab w:val="clear" w:pos="576"/>
                <w:tab w:val="clear" w:pos="1152"/>
              </w:tabs>
              <w:spacing w:after="120" w:line="240" w:lineRule="atLeast"/>
              <w:ind w:left="1137" w:hanging="270"/>
              <w:rPr>
                <w:rFonts w:cs="Calibri Light"/>
                <w:sz w:val="20"/>
                <w:szCs w:val="20"/>
              </w:rPr>
            </w:pPr>
            <w:r>
              <w:rPr>
                <w:rFonts w:cs="Calibri Light"/>
                <w:sz w:val="20"/>
                <w:szCs w:val="20"/>
              </w:rPr>
              <w:t xml:space="preserve">(A) </w:t>
            </w:r>
            <w:r w:rsidRPr="00187DFF">
              <w:rPr>
                <w:rFonts w:cs="Calibri Light"/>
                <w:sz w:val="20"/>
                <w:szCs w:val="20"/>
              </w:rPr>
              <w:t>Adjustments that depict in the pro forma condensed balance sheet the accounting for the transaction required by U.S. Generally Accepted Accounting Principles (U.S. GAAP) or, as applicable, International Financial Reporting Standards as issued by the International Accounting Standards Board (IFRS-IASB). Calculate pro forma adjustments using the measurement date and method prescribed by the applicable accounting standards.  For a probable transaction, calculate pro forma adjustments using, and disclose, the most recent practicable date prior to the effective date (for registration statements), qualification date (for Regulation A offering statements), or the mail date (for proxy statements).</w:t>
            </w:r>
          </w:p>
        </w:tc>
        <w:tc>
          <w:tcPr>
            <w:tcW w:w="1209" w:type="dxa"/>
            <w:gridSpan w:val="2"/>
            <w:tcBorders>
              <w:bottom w:val="single" w:sz="4" w:space="0" w:color="auto"/>
            </w:tcBorders>
            <w:vAlign w:val="bottom"/>
          </w:tcPr>
          <w:p w14:paraId="356C8083" w14:textId="0226B8F5"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E8B00D3"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55AB7352"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E4205F4" w14:textId="77777777" w:rsidTr="00CC36C1">
        <w:trPr>
          <w:gridBefore w:val="1"/>
          <w:wBefore w:w="17" w:type="dxa"/>
        </w:trPr>
        <w:tc>
          <w:tcPr>
            <w:tcW w:w="7483" w:type="dxa"/>
            <w:gridSpan w:val="2"/>
          </w:tcPr>
          <w:p w14:paraId="7B12B712" w14:textId="6BCD1D79" w:rsidR="006F3A86" w:rsidRPr="004005A4" w:rsidRDefault="006F3A86" w:rsidP="006F3A86">
            <w:pPr>
              <w:pStyle w:val="level3"/>
              <w:tabs>
                <w:tab w:val="clear" w:pos="576"/>
                <w:tab w:val="clear" w:pos="1152"/>
              </w:tabs>
              <w:spacing w:after="120" w:line="240" w:lineRule="atLeast"/>
              <w:ind w:left="1137" w:hanging="270"/>
              <w:rPr>
                <w:rFonts w:cs="Calibri Light"/>
                <w:sz w:val="20"/>
                <w:szCs w:val="20"/>
              </w:rPr>
            </w:pPr>
            <w:r w:rsidRPr="00187DFF">
              <w:rPr>
                <w:rFonts w:cs="Calibri Light"/>
                <w:sz w:val="20"/>
                <w:szCs w:val="20"/>
              </w:rPr>
              <w:t>(B)</w:t>
            </w:r>
            <w:r>
              <w:rPr>
                <w:rFonts w:cs="Calibri Light"/>
                <w:sz w:val="20"/>
                <w:szCs w:val="20"/>
              </w:rPr>
              <w:tab/>
            </w:r>
            <w:r w:rsidRPr="00187DFF">
              <w:rPr>
                <w:rFonts w:cs="Calibri Light"/>
                <w:sz w:val="20"/>
                <w:szCs w:val="20"/>
              </w:rPr>
              <w:t xml:space="preserve">Adjustments that depict in the pro forma condensed statements of comprehensive income the effects of the pro forma balance sheet adjustments in paragraph (a)(6)(i)(A) of this section assuming those adjustments were made as of the beginning of the fiscal year presented.  Such adjustments must be made whether or not the pro forma balance sheet is presented pursuant to paragraph (c)(1) of this section. If the </w:t>
            </w:r>
            <w:r w:rsidRPr="00187DFF">
              <w:rPr>
                <w:rFonts w:cs="Calibri Light"/>
                <w:sz w:val="20"/>
                <w:szCs w:val="20"/>
              </w:rPr>
              <w:lastRenderedPageBreak/>
              <w:t xml:space="preserve">condition in </w:t>
            </w:r>
            <w:r>
              <w:rPr>
                <w:rFonts w:cs="Calibri Light"/>
                <w:sz w:val="20"/>
                <w:szCs w:val="20"/>
              </w:rPr>
              <w:t xml:space="preserve">Rule </w:t>
            </w:r>
            <w:r w:rsidRPr="00187DFF">
              <w:rPr>
                <w:rFonts w:cs="Calibri Light"/>
                <w:sz w:val="20"/>
                <w:szCs w:val="20"/>
              </w:rPr>
              <w:t>11-01(a) that is met does not have a balance sheet effect, then depict the accounting for the transaction.</w:t>
            </w:r>
          </w:p>
        </w:tc>
        <w:tc>
          <w:tcPr>
            <w:tcW w:w="1209" w:type="dxa"/>
            <w:gridSpan w:val="2"/>
            <w:tcBorders>
              <w:bottom w:val="single" w:sz="4" w:space="0" w:color="auto"/>
            </w:tcBorders>
            <w:vAlign w:val="bottom"/>
          </w:tcPr>
          <w:p w14:paraId="180615D8"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C80C40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32ED221A"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05661E5" w14:textId="77777777" w:rsidTr="00CC36C1">
        <w:trPr>
          <w:gridBefore w:val="1"/>
          <w:wBefore w:w="17" w:type="dxa"/>
        </w:trPr>
        <w:tc>
          <w:tcPr>
            <w:tcW w:w="7483" w:type="dxa"/>
            <w:gridSpan w:val="2"/>
          </w:tcPr>
          <w:p w14:paraId="5472A359" w14:textId="25C1CACE" w:rsidR="006F3A86" w:rsidRPr="004005A4" w:rsidRDefault="006F3A86" w:rsidP="006F3A86">
            <w:pPr>
              <w:pStyle w:val="level3"/>
              <w:tabs>
                <w:tab w:val="clear" w:pos="576"/>
                <w:tab w:val="clear" w:pos="1152"/>
              </w:tabs>
              <w:spacing w:after="120" w:line="240" w:lineRule="atLeast"/>
              <w:ind w:left="772" w:hanging="270"/>
              <w:rPr>
                <w:rFonts w:cs="Calibri Light"/>
                <w:sz w:val="20"/>
                <w:szCs w:val="20"/>
              </w:rPr>
            </w:pPr>
            <w:r w:rsidRPr="004005A4">
              <w:rPr>
                <w:rFonts w:cs="Calibri Light"/>
                <w:sz w:val="20"/>
                <w:szCs w:val="20"/>
              </w:rPr>
              <w:t>(</w:t>
            </w:r>
            <w:r>
              <w:rPr>
                <w:rFonts w:cs="Calibri Light"/>
                <w:sz w:val="20"/>
                <w:szCs w:val="20"/>
              </w:rPr>
              <w:t>ii</w:t>
            </w:r>
            <w:r w:rsidRPr="004005A4">
              <w:rPr>
                <w:rFonts w:cs="Calibri Light"/>
                <w:sz w:val="20"/>
                <w:szCs w:val="20"/>
              </w:rPr>
              <w:t>)</w:t>
            </w:r>
            <w:r w:rsidRPr="004005A4">
              <w:rPr>
                <w:rFonts w:cs="Calibri Light"/>
                <w:sz w:val="20"/>
                <w:szCs w:val="20"/>
              </w:rPr>
              <w:tab/>
              <w:t xml:space="preserve">Autonomous </w:t>
            </w:r>
            <w:r>
              <w:rPr>
                <w:rFonts w:cs="Calibri Light"/>
                <w:sz w:val="20"/>
                <w:szCs w:val="20"/>
              </w:rPr>
              <w:t>E</w:t>
            </w:r>
            <w:r w:rsidRPr="004005A4">
              <w:rPr>
                <w:rFonts w:cs="Calibri Light"/>
                <w:sz w:val="20"/>
                <w:szCs w:val="20"/>
              </w:rPr>
              <w:t xml:space="preserve">ntity </w:t>
            </w:r>
            <w:r>
              <w:rPr>
                <w:rFonts w:cs="Calibri Light"/>
                <w:sz w:val="20"/>
                <w:szCs w:val="20"/>
              </w:rPr>
              <w:t>A</w:t>
            </w:r>
            <w:r w:rsidRPr="004005A4">
              <w:rPr>
                <w:rFonts w:cs="Calibri Light"/>
                <w:sz w:val="20"/>
                <w:szCs w:val="20"/>
              </w:rPr>
              <w:t>djustments</w:t>
            </w:r>
            <w:r>
              <w:rPr>
                <w:rFonts w:cs="Calibri Light"/>
                <w:sz w:val="20"/>
                <w:szCs w:val="20"/>
              </w:rPr>
              <w:t xml:space="preserve">. </w:t>
            </w:r>
            <w:r w:rsidRPr="009A556C">
              <w:rPr>
                <w:rFonts w:cs="Calibri Light"/>
                <w:sz w:val="20"/>
                <w:szCs w:val="20"/>
              </w:rPr>
              <w:t xml:space="preserve">Adjustments that depict the registrant as an autonomous entity if the condition in </w:t>
            </w:r>
            <w:r>
              <w:rPr>
                <w:rFonts w:cs="Calibri Light"/>
                <w:sz w:val="20"/>
                <w:szCs w:val="20"/>
              </w:rPr>
              <w:t xml:space="preserve">Rule </w:t>
            </w:r>
            <w:r w:rsidRPr="009A556C">
              <w:rPr>
                <w:rFonts w:cs="Calibri Light"/>
                <w:sz w:val="20"/>
                <w:szCs w:val="20"/>
              </w:rPr>
              <w:t>11-01(a)(7) is met. Autonomous Entity Adjustments must be presented in a separate column from Transaction Accounting Adjustments.</w:t>
            </w:r>
          </w:p>
        </w:tc>
        <w:tc>
          <w:tcPr>
            <w:tcW w:w="1209" w:type="dxa"/>
            <w:gridSpan w:val="2"/>
            <w:tcBorders>
              <w:top w:val="single" w:sz="4" w:space="0" w:color="auto"/>
              <w:bottom w:val="single" w:sz="6" w:space="0" w:color="auto"/>
            </w:tcBorders>
            <w:vAlign w:val="bottom"/>
          </w:tcPr>
          <w:p w14:paraId="4CF16812"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6432531A"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79AB011B"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7766F7C" w14:textId="77777777" w:rsidTr="00CC36C1">
        <w:trPr>
          <w:gridBefore w:val="1"/>
          <w:wBefore w:w="17" w:type="dxa"/>
        </w:trPr>
        <w:tc>
          <w:tcPr>
            <w:tcW w:w="7483" w:type="dxa"/>
            <w:gridSpan w:val="2"/>
          </w:tcPr>
          <w:p w14:paraId="559F50B9" w14:textId="51173FBC" w:rsidR="006F3A86"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(7)</w:t>
            </w:r>
            <w:r w:rsidRPr="004005A4">
              <w:rPr>
                <w:rFonts w:cs="Calibri Light"/>
                <w:sz w:val="20"/>
                <w:szCs w:val="20"/>
              </w:rPr>
              <w:tab/>
            </w:r>
            <w:r w:rsidRPr="004005A4">
              <w:rPr>
                <w:rFonts w:cs="Calibri Light"/>
                <w:b/>
                <w:bCs/>
                <w:i/>
                <w:iCs/>
                <w:sz w:val="20"/>
                <w:szCs w:val="20"/>
              </w:rPr>
              <w:t>OPTIONAL</w:t>
            </w:r>
            <w:r w:rsidRPr="004005A4">
              <w:rPr>
                <w:rFonts w:cs="Calibri Light"/>
                <w:sz w:val="20"/>
                <w:szCs w:val="20"/>
              </w:rPr>
              <w:t xml:space="preserve"> Management’s </w:t>
            </w:r>
            <w:r w:rsidR="00095001">
              <w:rPr>
                <w:rFonts w:cs="Calibri Light"/>
                <w:sz w:val="20"/>
                <w:szCs w:val="20"/>
              </w:rPr>
              <w:t>Adjustments.  Adjustments</w:t>
            </w:r>
            <w:r w:rsidRPr="004005A4">
              <w:rPr>
                <w:rFonts w:cs="Calibri Light"/>
                <w:sz w:val="20"/>
                <w:szCs w:val="20"/>
              </w:rPr>
              <w:t xml:space="preserve"> depicting synergies and dis-synergies of the acquisitions and dispositions for which pro forma effect is being given may, in the registrant’s discretion, be presented if in its’ management’s opinion, such adjustments would enhance an understanding of the pro forma effects of the transaction </w:t>
            </w:r>
            <w:r>
              <w:rPr>
                <w:rFonts w:cs="Calibri Light"/>
                <w:sz w:val="20"/>
                <w:szCs w:val="20"/>
              </w:rPr>
              <w:t>and the following conditions are met</w:t>
            </w:r>
            <w:r w:rsidRPr="004005A4">
              <w:rPr>
                <w:rFonts w:cs="Calibri Light"/>
                <w:sz w:val="20"/>
                <w:szCs w:val="20"/>
              </w:rPr>
              <w:t>:</w:t>
            </w:r>
          </w:p>
          <w:p w14:paraId="3A3E1DD3" w14:textId="0A0FAD65" w:rsidR="006F3A86" w:rsidRPr="004005A4" w:rsidRDefault="006F3A86" w:rsidP="008A15E7">
            <w:pPr>
              <w:pStyle w:val="level2"/>
              <w:tabs>
                <w:tab w:val="clear" w:pos="576"/>
                <w:tab w:val="clear" w:pos="1152"/>
              </w:tabs>
              <w:spacing w:after="120" w:line="240" w:lineRule="atLeast"/>
              <w:ind w:left="777" w:hanging="270"/>
              <w:rPr>
                <w:rFonts w:cs="Calibri Light"/>
                <w:sz w:val="20"/>
                <w:szCs w:val="20"/>
              </w:rPr>
            </w:pPr>
            <w:r>
              <w:rPr>
                <w:rFonts w:cs="Calibri Light"/>
                <w:sz w:val="20"/>
                <w:szCs w:val="20"/>
              </w:rPr>
              <w:t>(i) Basis for Management’s Adjustments</w:t>
            </w:r>
          </w:p>
        </w:tc>
        <w:tc>
          <w:tcPr>
            <w:tcW w:w="1209" w:type="dxa"/>
            <w:gridSpan w:val="2"/>
            <w:tcBorders>
              <w:top w:val="single" w:sz="6" w:space="0" w:color="auto"/>
              <w:bottom w:val="single" w:sz="4" w:space="0" w:color="auto"/>
            </w:tcBorders>
            <w:vAlign w:val="bottom"/>
          </w:tcPr>
          <w:p w14:paraId="7C0AE89D" w14:textId="77777777" w:rsidR="006F3A86" w:rsidRPr="004005A4" w:rsidRDefault="006F3A86" w:rsidP="006F3A86">
            <w:pPr>
              <w:pStyle w:val="levela"/>
              <w:spacing w:before="120" w:after="120" w:line="240" w:lineRule="atLeast"/>
              <w:rPr>
                <w:rFonts w:cs="Calibri Light"/>
                <w:b/>
                <w:sz w:val="20"/>
                <w:szCs w:val="20"/>
              </w:rPr>
            </w:pPr>
          </w:p>
        </w:tc>
        <w:tc>
          <w:tcPr>
            <w:tcW w:w="236" w:type="dxa"/>
            <w:gridSpan w:val="3"/>
            <w:vAlign w:val="bottom"/>
          </w:tcPr>
          <w:p w14:paraId="498ABB62"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6A436B40" w14:textId="77777777" w:rsidR="006F3A86" w:rsidRPr="004005A4" w:rsidRDefault="006F3A86" w:rsidP="006F3A86">
            <w:pPr>
              <w:pStyle w:val="levela"/>
              <w:spacing w:before="120" w:after="120" w:line="240" w:lineRule="atLeast"/>
              <w:jc w:val="center"/>
              <w:rPr>
                <w:rFonts w:cs="Calibri Light"/>
                <w:b/>
                <w:sz w:val="20"/>
                <w:szCs w:val="20"/>
              </w:rPr>
            </w:pPr>
          </w:p>
        </w:tc>
      </w:tr>
      <w:tr w:rsidR="00EC0E8A" w:rsidRPr="004005A4" w14:paraId="65F68305" w14:textId="77777777" w:rsidTr="00CC36C1">
        <w:trPr>
          <w:gridBefore w:val="1"/>
          <w:wBefore w:w="17" w:type="dxa"/>
        </w:trPr>
        <w:tc>
          <w:tcPr>
            <w:tcW w:w="7483" w:type="dxa"/>
            <w:gridSpan w:val="2"/>
          </w:tcPr>
          <w:p w14:paraId="7C71C4D1" w14:textId="74C63C4A" w:rsidR="00EC0E8A" w:rsidRDefault="003C006D" w:rsidP="00763A3F">
            <w:pPr>
              <w:pStyle w:val="level3"/>
              <w:tabs>
                <w:tab w:val="clear" w:pos="576"/>
                <w:tab w:val="clear" w:pos="1152"/>
              </w:tabs>
              <w:spacing w:after="120" w:line="240" w:lineRule="atLeast"/>
              <w:ind w:left="1137" w:hanging="270"/>
              <w:rPr>
                <w:rFonts w:cs="Calibri Light"/>
                <w:sz w:val="20"/>
                <w:szCs w:val="20"/>
              </w:rPr>
            </w:pPr>
            <w:r>
              <w:rPr>
                <w:rFonts w:cs="Calibri Light"/>
                <w:sz w:val="20"/>
                <w:szCs w:val="20"/>
              </w:rPr>
              <w:t>(A</w:t>
            </w:r>
            <w:r w:rsidRPr="004005A4">
              <w:rPr>
                <w:rFonts w:cs="Calibri Light"/>
                <w:sz w:val="20"/>
                <w:szCs w:val="20"/>
              </w:rPr>
              <w:t>)</w:t>
            </w:r>
            <w:r>
              <w:rPr>
                <w:rFonts w:cs="Calibri Light"/>
                <w:sz w:val="20"/>
                <w:szCs w:val="20"/>
              </w:rPr>
              <w:tab/>
              <w:t>T</w:t>
            </w:r>
            <w:r w:rsidRPr="004005A4">
              <w:rPr>
                <w:rFonts w:cs="Calibri Light"/>
                <w:sz w:val="20"/>
                <w:szCs w:val="20"/>
              </w:rPr>
              <w:t>here is a reasonable basis for each adjustment</w:t>
            </w:r>
            <w:r>
              <w:rPr>
                <w:rFonts w:cs="Calibri Light"/>
                <w:sz w:val="20"/>
                <w:szCs w:val="20"/>
              </w:rPr>
              <w:t>.</w:t>
            </w:r>
          </w:p>
        </w:tc>
        <w:tc>
          <w:tcPr>
            <w:tcW w:w="1209" w:type="dxa"/>
            <w:gridSpan w:val="2"/>
            <w:tcBorders>
              <w:top w:val="single" w:sz="4" w:space="0" w:color="auto"/>
            </w:tcBorders>
            <w:vAlign w:val="bottom"/>
          </w:tcPr>
          <w:p w14:paraId="33987E1D" w14:textId="77777777" w:rsidR="00EC0E8A" w:rsidRPr="004005A4" w:rsidRDefault="00EC0E8A" w:rsidP="006F3A86">
            <w:pPr>
              <w:pStyle w:val="levela"/>
              <w:spacing w:before="120" w:after="120" w:line="240" w:lineRule="atLeast"/>
              <w:rPr>
                <w:rFonts w:cs="Calibri Light"/>
                <w:b/>
                <w:sz w:val="20"/>
                <w:szCs w:val="20"/>
              </w:rPr>
            </w:pPr>
          </w:p>
        </w:tc>
        <w:tc>
          <w:tcPr>
            <w:tcW w:w="236" w:type="dxa"/>
            <w:gridSpan w:val="3"/>
            <w:vAlign w:val="bottom"/>
          </w:tcPr>
          <w:p w14:paraId="7C2AF693" w14:textId="77777777" w:rsidR="00EC0E8A" w:rsidRPr="004005A4" w:rsidRDefault="00EC0E8A"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7424FA7" w14:textId="77777777" w:rsidR="00EC0E8A" w:rsidRPr="004005A4" w:rsidRDefault="00EC0E8A" w:rsidP="006F3A86">
            <w:pPr>
              <w:pStyle w:val="levela"/>
              <w:spacing w:before="120" w:after="120" w:line="240" w:lineRule="atLeast"/>
              <w:jc w:val="center"/>
              <w:rPr>
                <w:rFonts w:cs="Calibri Light"/>
                <w:b/>
                <w:sz w:val="20"/>
                <w:szCs w:val="20"/>
              </w:rPr>
            </w:pPr>
          </w:p>
        </w:tc>
      </w:tr>
      <w:tr w:rsidR="00EC0E8A" w:rsidRPr="004005A4" w14:paraId="35ABB94E" w14:textId="77777777" w:rsidTr="00CC36C1">
        <w:trPr>
          <w:gridBefore w:val="1"/>
          <w:wBefore w:w="17" w:type="dxa"/>
        </w:trPr>
        <w:tc>
          <w:tcPr>
            <w:tcW w:w="7483" w:type="dxa"/>
            <w:gridSpan w:val="2"/>
          </w:tcPr>
          <w:p w14:paraId="6711E67A" w14:textId="7403DBD0" w:rsidR="00EC0E8A" w:rsidRDefault="00EC0E8A" w:rsidP="00763A3F">
            <w:pPr>
              <w:pStyle w:val="level3"/>
              <w:tabs>
                <w:tab w:val="clear" w:pos="576"/>
                <w:tab w:val="clear" w:pos="1152"/>
              </w:tabs>
              <w:spacing w:after="120" w:line="240" w:lineRule="atLeast"/>
              <w:ind w:left="1137" w:hanging="270"/>
              <w:rPr>
                <w:rFonts w:cs="Calibri Light"/>
                <w:sz w:val="20"/>
                <w:szCs w:val="20"/>
              </w:rPr>
            </w:pPr>
            <w:r>
              <w:rPr>
                <w:rFonts w:cs="Calibri Light"/>
                <w:sz w:val="20"/>
                <w:szCs w:val="20"/>
              </w:rPr>
              <w:t>(B</w:t>
            </w:r>
            <w:r w:rsidRPr="004005A4">
              <w:rPr>
                <w:rFonts w:cs="Calibri Light"/>
                <w:sz w:val="20"/>
                <w:szCs w:val="20"/>
              </w:rPr>
              <w:t>)</w:t>
            </w:r>
            <w:r>
              <w:rPr>
                <w:rFonts w:cs="Calibri Light"/>
                <w:sz w:val="20"/>
                <w:szCs w:val="20"/>
              </w:rPr>
              <w:tab/>
              <w:t>T</w:t>
            </w:r>
            <w:r w:rsidRPr="004005A4">
              <w:rPr>
                <w:rFonts w:cs="Calibri Light"/>
                <w:sz w:val="20"/>
                <w:szCs w:val="20"/>
              </w:rPr>
              <w:t>he adjustments are limited to the effect of such synergies and dis-synergies on the historical financial statements that form the basis for the pro forma statement of comprehensive income as if the synergies and dis-synergies existed as of the beginning of the fiscal year presented; if such adjustments reduce expenses, the reduction must not exceed the amount of the related expense historically incurred during the pro forma period presented.</w:t>
            </w:r>
          </w:p>
        </w:tc>
        <w:tc>
          <w:tcPr>
            <w:tcW w:w="1209" w:type="dxa"/>
            <w:gridSpan w:val="2"/>
            <w:tcBorders>
              <w:top w:val="single" w:sz="6" w:space="0" w:color="auto"/>
            </w:tcBorders>
            <w:vAlign w:val="bottom"/>
          </w:tcPr>
          <w:p w14:paraId="34C3BDCC" w14:textId="77777777" w:rsidR="00EC0E8A" w:rsidRPr="004005A4" w:rsidRDefault="00EC0E8A" w:rsidP="006F3A86">
            <w:pPr>
              <w:pStyle w:val="levela"/>
              <w:spacing w:before="120" w:after="120" w:line="240" w:lineRule="atLeast"/>
              <w:rPr>
                <w:rFonts w:cs="Calibri Light"/>
                <w:b/>
                <w:sz w:val="20"/>
                <w:szCs w:val="20"/>
              </w:rPr>
            </w:pPr>
          </w:p>
        </w:tc>
        <w:tc>
          <w:tcPr>
            <w:tcW w:w="236" w:type="dxa"/>
            <w:gridSpan w:val="3"/>
            <w:vAlign w:val="bottom"/>
          </w:tcPr>
          <w:p w14:paraId="54550F07" w14:textId="77777777" w:rsidR="00EC0E8A" w:rsidRPr="004005A4" w:rsidRDefault="00EC0E8A"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5E2E6A2A" w14:textId="77777777" w:rsidR="00EC0E8A" w:rsidRPr="004005A4" w:rsidRDefault="00EC0E8A" w:rsidP="006F3A86">
            <w:pPr>
              <w:pStyle w:val="levela"/>
              <w:spacing w:before="120" w:after="120" w:line="240" w:lineRule="atLeast"/>
              <w:jc w:val="center"/>
              <w:rPr>
                <w:rFonts w:cs="Calibri Light"/>
                <w:b/>
                <w:sz w:val="20"/>
                <w:szCs w:val="20"/>
              </w:rPr>
            </w:pPr>
          </w:p>
        </w:tc>
      </w:tr>
      <w:tr w:rsidR="00EC0E8A" w:rsidRPr="004005A4" w14:paraId="178375B6" w14:textId="77777777" w:rsidTr="00CC36C1">
        <w:trPr>
          <w:gridBefore w:val="1"/>
          <w:wBefore w:w="17" w:type="dxa"/>
        </w:trPr>
        <w:tc>
          <w:tcPr>
            <w:tcW w:w="7483" w:type="dxa"/>
            <w:gridSpan w:val="2"/>
          </w:tcPr>
          <w:p w14:paraId="4C5B1F26" w14:textId="5314C15C" w:rsidR="00EC0E8A" w:rsidRPr="004005A4" w:rsidRDefault="00EC0E8A" w:rsidP="00763A3F">
            <w:pPr>
              <w:pStyle w:val="level3"/>
              <w:tabs>
                <w:tab w:val="clear" w:pos="576"/>
                <w:tab w:val="clear" w:pos="1152"/>
              </w:tabs>
              <w:spacing w:after="120" w:line="240" w:lineRule="atLeast"/>
              <w:ind w:left="1137" w:hanging="270"/>
              <w:rPr>
                <w:rFonts w:cs="Calibri Light"/>
                <w:sz w:val="20"/>
                <w:szCs w:val="20"/>
              </w:rPr>
            </w:pPr>
            <w:r>
              <w:rPr>
                <w:rFonts w:cs="Calibri Light"/>
                <w:sz w:val="20"/>
                <w:szCs w:val="20"/>
              </w:rPr>
              <w:t>(C</w:t>
            </w:r>
            <w:r w:rsidRPr="004005A4">
              <w:rPr>
                <w:rFonts w:cs="Calibri Light"/>
                <w:sz w:val="20"/>
                <w:szCs w:val="20"/>
              </w:rPr>
              <w:t>)</w:t>
            </w:r>
            <w:r>
              <w:rPr>
                <w:rFonts w:cs="Calibri Light"/>
                <w:sz w:val="20"/>
                <w:szCs w:val="20"/>
              </w:rPr>
              <w:tab/>
              <w:t>T</w:t>
            </w:r>
            <w:r w:rsidRPr="004005A4">
              <w:rPr>
                <w:rFonts w:cs="Calibri Light"/>
                <w:sz w:val="20"/>
                <w:szCs w:val="20"/>
              </w:rPr>
              <w:t>he pro forma financial information reflects all management’s adjustments that are, in the opinion of management, necessary to a fair statement of the pro forma financial information presented and a statement to that effect is disclosed; when synergies are presented, any related dis-synergies must also be presented.</w:t>
            </w:r>
          </w:p>
        </w:tc>
        <w:tc>
          <w:tcPr>
            <w:tcW w:w="1209" w:type="dxa"/>
            <w:gridSpan w:val="2"/>
            <w:tcBorders>
              <w:top w:val="single" w:sz="6" w:space="0" w:color="auto"/>
            </w:tcBorders>
            <w:vAlign w:val="bottom"/>
          </w:tcPr>
          <w:p w14:paraId="5EC6C61A" w14:textId="77777777" w:rsidR="00EC0E8A" w:rsidRPr="004005A4" w:rsidRDefault="00EC0E8A" w:rsidP="006F3A86">
            <w:pPr>
              <w:pStyle w:val="levela"/>
              <w:spacing w:before="120" w:after="120" w:line="240" w:lineRule="atLeast"/>
              <w:rPr>
                <w:rFonts w:cs="Calibri Light"/>
                <w:b/>
                <w:sz w:val="20"/>
                <w:szCs w:val="20"/>
              </w:rPr>
            </w:pPr>
          </w:p>
        </w:tc>
        <w:tc>
          <w:tcPr>
            <w:tcW w:w="236" w:type="dxa"/>
            <w:gridSpan w:val="3"/>
            <w:vAlign w:val="bottom"/>
          </w:tcPr>
          <w:p w14:paraId="0AAAB05C" w14:textId="77777777" w:rsidR="00EC0E8A" w:rsidRPr="004005A4" w:rsidRDefault="00EC0E8A"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513C75E3" w14:textId="77777777" w:rsidR="00EC0E8A" w:rsidRPr="004005A4" w:rsidRDefault="00EC0E8A" w:rsidP="006F3A86">
            <w:pPr>
              <w:pStyle w:val="levela"/>
              <w:spacing w:before="120" w:after="120" w:line="240" w:lineRule="atLeast"/>
              <w:jc w:val="center"/>
              <w:rPr>
                <w:rFonts w:cs="Calibri Light"/>
                <w:b/>
                <w:sz w:val="20"/>
                <w:szCs w:val="20"/>
              </w:rPr>
            </w:pPr>
          </w:p>
        </w:tc>
      </w:tr>
      <w:tr w:rsidR="006F3A86" w:rsidRPr="004005A4" w14:paraId="5EB95FF7" w14:textId="77777777" w:rsidTr="00CC36C1">
        <w:trPr>
          <w:gridBefore w:val="1"/>
          <w:wBefore w:w="17" w:type="dxa"/>
        </w:trPr>
        <w:tc>
          <w:tcPr>
            <w:tcW w:w="7483" w:type="dxa"/>
            <w:gridSpan w:val="2"/>
          </w:tcPr>
          <w:p w14:paraId="559FBDD7" w14:textId="35A81C1D" w:rsidR="006F3A86" w:rsidRPr="004005A4" w:rsidRDefault="006F3A86" w:rsidP="006F3A86">
            <w:pPr>
              <w:pStyle w:val="level2"/>
              <w:tabs>
                <w:tab w:val="clear" w:pos="576"/>
                <w:tab w:val="clear" w:pos="1152"/>
              </w:tabs>
              <w:spacing w:after="120" w:line="240" w:lineRule="atLeast"/>
              <w:ind w:left="590" w:hanging="360"/>
              <w:rPr>
                <w:rFonts w:cs="Calibri Light"/>
                <w:sz w:val="20"/>
                <w:szCs w:val="20"/>
              </w:rPr>
            </w:pPr>
            <w:r w:rsidRPr="004005A4">
              <w:rPr>
                <w:rFonts w:cs="Calibri Light"/>
                <w:sz w:val="20"/>
                <w:szCs w:val="20"/>
              </w:rPr>
              <w:t>(8)</w:t>
            </w:r>
            <w:r w:rsidRPr="004005A4">
              <w:rPr>
                <w:rFonts w:cs="Calibri Light"/>
                <w:sz w:val="20"/>
                <w:szCs w:val="20"/>
              </w:rPr>
              <w:tab/>
              <w:t>All pro forma adjustments should be referenced to notes that clearly explain the assumptions involved.</w:t>
            </w:r>
          </w:p>
        </w:tc>
        <w:tc>
          <w:tcPr>
            <w:tcW w:w="1209" w:type="dxa"/>
            <w:gridSpan w:val="2"/>
            <w:tcBorders>
              <w:top w:val="single" w:sz="4" w:space="0" w:color="auto"/>
              <w:bottom w:val="single" w:sz="4" w:space="0" w:color="auto"/>
            </w:tcBorders>
            <w:vAlign w:val="bottom"/>
          </w:tcPr>
          <w:p w14:paraId="6C42BA1E"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6EB0902"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1C5722A"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CF77E01" w14:textId="77777777" w:rsidTr="00CC36C1">
        <w:trPr>
          <w:gridBefore w:val="1"/>
          <w:wBefore w:w="17" w:type="dxa"/>
        </w:trPr>
        <w:tc>
          <w:tcPr>
            <w:tcW w:w="7483" w:type="dxa"/>
            <w:gridSpan w:val="2"/>
          </w:tcPr>
          <w:p w14:paraId="0B174FFF" w14:textId="77777777" w:rsidR="006F3A86" w:rsidRDefault="006F3A86" w:rsidP="006F3A86">
            <w:pPr>
              <w:pStyle w:val="level2"/>
              <w:tabs>
                <w:tab w:val="clear" w:pos="576"/>
                <w:tab w:val="clear" w:pos="1152"/>
              </w:tabs>
              <w:spacing w:after="120" w:line="240" w:lineRule="atLeast"/>
              <w:ind w:left="592" w:hanging="360"/>
              <w:rPr>
                <w:rFonts w:cs="Calibri Light"/>
                <w:sz w:val="20"/>
                <w:szCs w:val="20"/>
              </w:rPr>
            </w:pPr>
            <w:r w:rsidRPr="004005A4">
              <w:rPr>
                <w:rFonts w:cs="Calibri Light"/>
                <w:sz w:val="20"/>
                <w:szCs w:val="20"/>
              </w:rPr>
              <w:t>(9)</w:t>
            </w:r>
            <w:r>
              <w:rPr>
                <w:rFonts w:cs="Calibri Light"/>
                <w:sz w:val="20"/>
                <w:szCs w:val="20"/>
              </w:rPr>
              <w:tab/>
            </w:r>
          </w:p>
          <w:p w14:paraId="57433FC8" w14:textId="3740FFC7" w:rsidR="006F3A86" w:rsidRPr="004005A4" w:rsidRDefault="006F3A86" w:rsidP="00E05955">
            <w:pPr>
              <w:pStyle w:val="level2"/>
              <w:tabs>
                <w:tab w:val="clear" w:pos="576"/>
                <w:tab w:val="clear" w:pos="1152"/>
              </w:tabs>
              <w:spacing w:after="120" w:line="240" w:lineRule="atLeast"/>
              <w:ind w:left="864" w:hanging="360"/>
              <w:rPr>
                <w:rFonts w:cs="Calibri Light"/>
                <w:sz w:val="20"/>
                <w:szCs w:val="20"/>
              </w:rPr>
            </w:pPr>
            <w:r>
              <w:rPr>
                <w:rFonts w:cs="Calibri Light"/>
                <w:sz w:val="20"/>
                <w:szCs w:val="20"/>
              </w:rPr>
              <w:t xml:space="preserve">(i) </w:t>
            </w:r>
            <w:r w:rsidR="00E05955">
              <w:rPr>
                <w:rFonts w:cs="Calibri Light"/>
                <w:sz w:val="20"/>
                <w:szCs w:val="20"/>
              </w:rPr>
              <w:tab/>
            </w:r>
            <w:r w:rsidRPr="004005A4">
              <w:rPr>
                <w:rFonts w:cs="Calibri Light"/>
                <w:sz w:val="20"/>
                <w:szCs w:val="20"/>
              </w:rPr>
              <w:t>Historical and pro forma basic and diluted earnings per share amounts should be presented based on continuing operations attributable to the controlling interests and the number of shares used to calculate such per share amounts must be presented on the face of the pro forma condensed statement of comprehensive income and only give effect to Transaction Accounting Adjustments and Autonomous Entity Adjustments.</w:t>
            </w:r>
          </w:p>
          <w:p w14:paraId="08A3751B" w14:textId="3786314A" w:rsidR="006F3A86" w:rsidRPr="004005A4" w:rsidRDefault="006F3A86" w:rsidP="00E05955">
            <w:pPr>
              <w:pStyle w:val="level2"/>
              <w:tabs>
                <w:tab w:val="clear" w:pos="576"/>
                <w:tab w:val="clear" w:pos="1152"/>
              </w:tabs>
              <w:spacing w:after="120" w:line="240" w:lineRule="atLeast"/>
              <w:ind w:left="864" w:hanging="360"/>
              <w:rPr>
                <w:rFonts w:cs="Calibri Light"/>
                <w:sz w:val="20"/>
                <w:szCs w:val="20"/>
              </w:rPr>
            </w:pPr>
            <w:r>
              <w:rPr>
                <w:rFonts w:cs="Calibri Light"/>
                <w:sz w:val="20"/>
                <w:szCs w:val="20"/>
              </w:rPr>
              <w:t xml:space="preserve">(ii) </w:t>
            </w:r>
            <w:r w:rsidR="00E05955">
              <w:rPr>
                <w:rFonts w:cs="Calibri Light"/>
                <w:sz w:val="20"/>
                <w:szCs w:val="20"/>
              </w:rPr>
              <w:tab/>
            </w:r>
            <w:r w:rsidRPr="004005A4">
              <w:rPr>
                <w:rFonts w:cs="Calibri Light"/>
                <w:sz w:val="20"/>
                <w:szCs w:val="20"/>
              </w:rPr>
              <w:t xml:space="preserve">The number of shares used in the calculation of the pro forma per share amounts must be based on the weighted average number of shares outstanding during the period adjusted to give effect to the number of shares issued or to be issued to consummate the transaction, or if applicable whose proceeds will be used to consummate the transaction as if the shares were </w:t>
            </w:r>
            <w:r w:rsidRPr="004005A4">
              <w:rPr>
                <w:rFonts w:cs="Calibri Light"/>
                <w:sz w:val="20"/>
                <w:szCs w:val="20"/>
              </w:rPr>
              <w:lastRenderedPageBreak/>
              <w:t>outstanding at the beginning of the period presented. Calculate the pro forma effect of the potential common stock being issued in the transaction (e.g., a convertible security), or the proceeds of which will be used to consummate the transaction, on pro forma earnings per share in accordance with GAAP or IFRS-IASB, as applicable, as if the potential common stock were outstanding as of the beginning of the period presented.</w:t>
            </w:r>
          </w:p>
        </w:tc>
        <w:tc>
          <w:tcPr>
            <w:tcW w:w="1209" w:type="dxa"/>
            <w:gridSpan w:val="2"/>
            <w:tcBorders>
              <w:top w:val="single" w:sz="4" w:space="0" w:color="auto"/>
              <w:bottom w:val="single" w:sz="4" w:space="0" w:color="auto"/>
            </w:tcBorders>
            <w:vAlign w:val="bottom"/>
          </w:tcPr>
          <w:p w14:paraId="01D02F48" w14:textId="77777777" w:rsidR="006F3A86" w:rsidRPr="004005A4" w:rsidRDefault="006F3A86" w:rsidP="006F3A86">
            <w:pPr>
              <w:pStyle w:val="levela"/>
              <w:spacing w:before="120" w:after="120" w:line="240" w:lineRule="atLeast"/>
              <w:ind w:left="0" w:firstLine="0"/>
              <w:rPr>
                <w:rFonts w:cs="Calibri Light"/>
                <w:b/>
                <w:sz w:val="20"/>
                <w:szCs w:val="20"/>
              </w:rPr>
            </w:pPr>
          </w:p>
        </w:tc>
        <w:tc>
          <w:tcPr>
            <w:tcW w:w="236" w:type="dxa"/>
            <w:gridSpan w:val="3"/>
            <w:vAlign w:val="bottom"/>
          </w:tcPr>
          <w:p w14:paraId="2AB27F8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CD40604"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54E5F755" w14:textId="77777777" w:rsidTr="00CC36C1">
        <w:trPr>
          <w:gridBefore w:val="1"/>
          <w:wBefore w:w="17" w:type="dxa"/>
        </w:trPr>
        <w:tc>
          <w:tcPr>
            <w:tcW w:w="7483" w:type="dxa"/>
            <w:gridSpan w:val="2"/>
          </w:tcPr>
          <w:p w14:paraId="79148C05" w14:textId="650B4F3A" w:rsidR="006F3A86" w:rsidRPr="004005A4" w:rsidRDefault="006F3A86" w:rsidP="006F3A86">
            <w:pPr>
              <w:pStyle w:val="level2"/>
              <w:tabs>
                <w:tab w:val="clear" w:pos="576"/>
                <w:tab w:val="clear" w:pos="1152"/>
              </w:tabs>
              <w:spacing w:after="120" w:line="240" w:lineRule="atLeast"/>
              <w:ind w:left="592" w:hanging="360"/>
              <w:rPr>
                <w:rFonts w:cs="Calibri Light"/>
                <w:sz w:val="20"/>
                <w:szCs w:val="20"/>
              </w:rPr>
            </w:pPr>
            <w:r w:rsidRPr="004005A4">
              <w:rPr>
                <w:rFonts w:cs="Calibri Light"/>
                <w:sz w:val="20"/>
                <w:szCs w:val="20"/>
              </w:rPr>
              <w:t>(10)</w:t>
            </w:r>
            <w:r w:rsidRPr="004005A4">
              <w:rPr>
                <w:rFonts w:cs="Calibri Light"/>
                <w:sz w:val="20"/>
                <w:szCs w:val="20"/>
              </w:rPr>
              <w:tab/>
              <w:t>If the transaction is structured in such a manner that significantly different results may occur, provide additional pro forma presentations which give effect to the range of possible results.</w:t>
            </w:r>
          </w:p>
        </w:tc>
        <w:tc>
          <w:tcPr>
            <w:tcW w:w="1209" w:type="dxa"/>
            <w:gridSpan w:val="2"/>
            <w:tcBorders>
              <w:bottom w:val="single" w:sz="6" w:space="0" w:color="auto"/>
            </w:tcBorders>
            <w:vAlign w:val="bottom"/>
          </w:tcPr>
          <w:p w14:paraId="244C9D72"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A40DB2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15255977" w14:textId="77777777" w:rsidR="006F3A86" w:rsidRPr="004005A4" w:rsidRDefault="006F3A86" w:rsidP="006F3A86">
            <w:pPr>
              <w:pStyle w:val="levela"/>
              <w:spacing w:before="120" w:after="120" w:line="240" w:lineRule="atLeast"/>
              <w:jc w:val="center"/>
              <w:rPr>
                <w:rFonts w:cs="Calibri Light"/>
                <w:b/>
                <w:sz w:val="20"/>
                <w:szCs w:val="20"/>
              </w:rPr>
            </w:pPr>
          </w:p>
        </w:tc>
      </w:tr>
      <w:tr w:rsidR="00572462" w:rsidRPr="004005A4" w14:paraId="684A54FE" w14:textId="77777777" w:rsidTr="00CC36C1">
        <w:trPr>
          <w:gridBefore w:val="1"/>
          <w:wBefore w:w="17" w:type="dxa"/>
        </w:trPr>
        <w:tc>
          <w:tcPr>
            <w:tcW w:w="7483" w:type="dxa"/>
            <w:gridSpan w:val="2"/>
          </w:tcPr>
          <w:p w14:paraId="6D5EB3F4" w14:textId="62D8B8A4" w:rsidR="00572462" w:rsidRDefault="007F74B8" w:rsidP="00572462">
            <w:pPr>
              <w:pStyle w:val="level2"/>
              <w:tabs>
                <w:tab w:val="clear" w:pos="576"/>
                <w:tab w:val="clear" w:pos="1152"/>
              </w:tabs>
              <w:spacing w:after="120" w:line="240" w:lineRule="atLeast"/>
              <w:ind w:left="592" w:hanging="360"/>
              <w:rPr>
                <w:rFonts w:cs="Calibri Light"/>
                <w:sz w:val="20"/>
                <w:szCs w:val="20"/>
              </w:rPr>
            </w:pPr>
            <w:r>
              <w:rPr>
                <w:rFonts w:cs="Calibri Light"/>
                <w:sz w:val="20"/>
                <w:szCs w:val="20"/>
              </w:rPr>
              <w:t>(</w:t>
            </w:r>
            <w:r w:rsidR="00572462" w:rsidRPr="004005A4">
              <w:rPr>
                <w:rFonts w:cs="Calibri Light"/>
                <w:sz w:val="20"/>
                <w:szCs w:val="20"/>
              </w:rPr>
              <w:t>11)</w:t>
            </w:r>
            <w:r w:rsidR="00572462" w:rsidRPr="004005A4">
              <w:rPr>
                <w:rFonts w:cs="Calibri Light"/>
                <w:sz w:val="20"/>
                <w:szCs w:val="20"/>
              </w:rPr>
              <w:tab/>
              <w:t>The accompanying explanatory notes must disclose</w:t>
            </w:r>
            <w:r w:rsidR="00572462">
              <w:rPr>
                <w:rFonts w:cs="Calibri Light"/>
                <w:sz w:val="20"/>
                <w:szCs w:val="20"/>
              </w:rPr>
              <w:t>:</w:t>
            </w:r>
          </w:p>
          <w:p w14:paraId="0C097028" w14:textId="1393B541" w:rsidR="00572462" w:rsidRPr="004005A4" w:rsidRDefault="00C46BB2" w:rsidP="00572462">
            <w:pPr>
              <w:pStyle w:val="level2"/>
              <w:numPr>
                <w:ilvl w:val="0"/>
                <w:numId w:val="133"/>
              </w:numPr>
              <w:tabs>
                <w:tab w:val="clear" w:pos="576"/>
                <w:tab w:val="clear" w:pos="1152"/>
              </w:tabs>
              <w:spacing w:after="120" w:line="240" w:lineRule="atLeast"/>
              <w:ind w:left="957"/>
              <w:rPr>
                <w:rFonts w:cs="Calibri Light"/>
                <w:sz w:val="20"/>
                <w:szCs w:val="20"/>
              </w:rPr>
            </w:pPr>
            <w:r>
              <w:rPr>
                <w:rFonts w:cs="Calibri Light"/>
                <w:sz w:val="20"/>
                <w:szCs w:val="20"/>
              </w:rPr>
              <w:t>Revenues</w:t>
            </w:r>
            <w:r w:rsidR="00572462" w:rsidRPr="004005A4">
              <w:rPr>
                <w:rFonts w:cs="Calibri Light"/>
                <w:sz w:val="20"/>
                <w:szCs w:val="20"/>
              </w:rPr>
              <w:t>, expenses, gains and losses and related tax effects which will not recur in the income generated beyond 12 months after the transaction.</w:t>
            </w:r>
          </w:p>
        </w:tc>
        <w:tc>
          <w:tcPr>
            <w:tcW w:w="1209" w:type="dxa"/>
            <w:gridSpan w:val="2"/>
            <w:tcBorders>
              <w:bottom w:val="single" w:sz="6" w:space="0" w:color="auto"/>
            </w:tcBorders>
            <w:vAlign w:val="bottom"/>
          </w:tcPr>
          <w:p w14:paraId="61207544" w14:textId="77777777" w:rsidR="00572462" w:rsidRPr="004005A4" w:rsidRDefault="00572462" w:rsidP="006F3A86">
            <w:pPr>
              <w:pStyle w:val="levela"/>
              <w:spacing w:before="120" w:after="120" w:line="240" w:lineRule="atLeast"/>
              <w:jc w:val="center"/>
              <w:rPr>
                <w:rFonts w:cs="Calibri Light"/>
                <w:b/>
                <w:sz w:val="20"/>
                <w:szCs w:val="20"/>
              </w:rPr>
            </w:pPr>
          </w:p>
        </w:tc>
        <w:tc>
          <w:tcPr>
            <w:tcW w:w="236" w:type="dxa"/>
            <w:gridSpan w:val="3"/>
            <w:vAlign w:val="bottom"/>
          </w:tcPr>
          <w:p w14:paraId="353F8E28" w14:textId="77777777" w:rsidR="00572462" w:rsidRPr="004005A4" w:rsidRDefault="00572462"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623D64A1" w14:textId="77777777" w:rsidR="00572462" w:rsidRPr="004005A4" w:rsidRDefault="00572462" w:rsidP="006F3A86">
            <w:pPr>
              <w:pStyle w:val="levela"/>
              <w:spacing w:before="120" w:after="120" w:line="240" w:lineRule="atLeast"/>
              <w:jc w:val="center"/>
              <w:rPr>
                <w:rFonts w:cs="Calibri Light"/>
                <w:b/>
                <w:sz w:val="20"/>
                <w:szCs w:val="20"/>
              </w:rPr>
            </w:pPr>
          </w:p>
        </w:tc>
      </w:tr>
      <w:tr w:rsidR="006F3A86" w:rsidRPr="004005A4" w14:paraId="04FEB914" w14:textId="77777777" w:rsidTr="00CC36C1">
        <w:trPr>
          <w:gridBefore w:val="1"/>
          <w:wBefore w:w="17" w:type="dxa"/>
        </w:trPr>
        <w:tc>
          <w:tcPr>
            <w:tcW w:w="7483" w:type="dxa"/>
            <w:gridSpan w:val="2"/>
          </w:tcPr>
          <w:p w14:paraId="5B63AA38" w14:textId="22B32834" w:rsidR="006F3A86" w:rsidRDefault="006F3A86" w:rsidP="00763A3F">
            <w:pPr>
              <w:pStyle w:val="level2"/>
              <w:numPr>
                <w:ilvl w:val="0"/>
                <w:numId w:val="133"/>
              </w:numPr>
              <w:tabs>
                <w:tab w:val="clear" w:pos="576"/>
                <w:tab w:val="clear" w:pos="1152"/>
              </w:tabs>
              <w:spacing w:after="120" w:line="240" w:lineRule="atLeast"/>
              <w:ind w:left="955"/>
              <w:rPr>
                <w:rFonts w:cs="Calibri Light"/>
                <w:sz w:val="20"/>
                <w:szCs w:val="20"/>
              </w:rPr>
            </w:pPr>
            <w:r w:rsidRPr="004005A4">
              <w:rPr>
                <w:rFonts w:cs="Calibri Light"/>
                <w:sz w:val="20"/>
                <w:szCs w:val="20"/>
              </w:rPr>
              <w:t>For Transaction Accounting Adjustments</w:t>
            </w:r>
            <w:r>
              <w:rPr>
                <w:rFonts w:cs="Calibri Light"/>
                <w:sz w:val="20"/>
                <w:szCs w:val="20"/>
              </w:rPr>
              <w:t>:</w:t>
            </w:r>
            <w:r w:rsidRPr="004005A4">
              <w:rPr>
                <w:rFonts w:cs="Calibri Light"/>
                <w:sz w:val="20"/>
                <w:szCs w:val="20"/>
              </w:rPr>
              <w:t xml:space="preserve"> </w:t>
            </w:r>
          </w:p>
          <w:p w14:paraId="2CA69B32" w14:textId="0B443768" w:rsidR="006F3A86" w:rsidRPr="004005A4" w:rsidRDefault="006F3A86" w:rsidP="006F3A86">
            <w:pPr>
              <w:pStyle w:val="level2"/>
              <w:numPr>
                <w:ilvl w:val="3"/>
                <w:numId w:val="28"/>
              </w:numPr>
              <w:tabs>
                <w:tab w:val="clear" w:pos="576"/>
                <w:tab w:val="clear" w:pos="1152"/>
              </w:tabs>
              <w:spacing w:after="120" w:line="240" w:lineRule="atLeast"/>
              <w:ind w:left="1317"/>
              <w:rPr>
                <w:rFonts w:cs="Calibri Light"/>
                <w:sz w:val="20"/>
                <w:szCs w:val="20"/>
              </w:rPr>
            </w:pPr>
            <w:r>
              <w:rPr>
                <w:rFonts w:cs="Calibri Light"/>
                <w:sz w:val="20"/>
                <w:szCs w:val="20"/>
              </w:rPr>
              <w:t>A</w:t>
            </w:r>
            <w:r w:rsidRPr="004005A4">
              <w:rPr>
                <w:rFonts w:cs="Calibri Light"/>
                <w:sz w:val="20"/>
                <w:szCs w:val="20"/>
              </w:rPr>
              <w:t xml:space="preserve"> table showing the total consideration transferred or received, including its components and how they were measured. If total consideration includes contingent consideration, describe the arrangement(s), the basis for determining the amount of payment(s) or receipt(s), and an estimate of the range of outcomes (undiscounted) or, if a range cannot be estimated, that fact and reasons why</w:t>
            </w:r>
            <w:r>
              <w:rPr>
                <w:rFonts w:cs="Calibri Light"/>
                <w:sz w:val="20"/>
                <w:szCs w:val="20"/>
              </w:rPr>
              <w:t>; and</w:t>
            </w:r>
            <w:r w:rsidRPr="004005A4">
              <w:rPr>
                <w:rFonts w:cs="Calibri Light"/>
                <w:sz w:val="20"/>
                <w:szCs w:val="20"/>
              </w:rPr>
              <w:t xml:space="preserve"> </w:t>
            </w:r>
          </w:p>
          <w:p w14:paraId="6C21DCA9" w14:textId="530E4442" w:rsidR="006F3A86" w:rsidRPr="004005A4" w:rsidRDefault="006F3A86" w:rsidP="00763A3F">
            <w:pPr>
              <w:pStyle w:val="level2"/>
              <w:tabs>
                <w:tab w:val="clear" w:pos="1152"/>
              </w:tabs>
              <w:spacing w:after="120" w:line="240" w:lineRule="atLeast"/>
              <w:ind w:left="1334" w:hanging="17"/>
              <w:rPr>
                <w:rFonts w:cs="Calibri Light"/>
                <w:sz w:val="20"/>
                <w:szCs w:val="20"/>
              </w:rPr>
            </w:pPr>
            <w:r>
              <w:rPr>
                <w:rFonts w:cs="Calibri Light"/>
                <w:sz w:val="20"/>
                <w:szCs w:val="20"/>
              </w:rPr>
              <w:t xml:space="preserve">The following information when the </w:t>
            </w:r>
            <w:r w:rsidRPr="004005A4">
              <w:rPr>
                <w:rFonts w:cs="Calibri Light"/>
                <w:sz w:val="20"/>
                <w:szCs w:val="20"/>
              </w:rPr>
              <w:t>accounting is incomplete, a registrant must disclose:</w:t>
            </w:r>
          </w:p>
          <w:p w14:paraId="3FD82FE5" w14:textId="2FA22AC9" w:rsidR="006F3A86" w:rsidRPr="004005A4" w:rsidRDefault="006F3A86" w:rsidP="00763A3F">
            <w:pPr>
              <w:pStyle w:val="level2"/>
              <w:numPr>
                <w:ilvl w:val="0"/>
                <w:numId w:val="58"/>
              </w:numPr>
              <w:spacing w:after="120" w:line="240" w:lineRule="atLeast"/>
              <w:ind w:left="1765" w:hanging="450"/>
              <w:rPr>
                <w:rFonts w:cs="Calibri Light"/>
                <w:sz w:val="20"/>
                <w:szCs w:val="20"/>
              </w:rPr>
            </w:pPr>
            <w:r w:rsidRPr="004005A4">
              <w:rPr>
                <w:rFonts w:cs="Calibri Light"/>
                <w:sz w:val="20"/>
                <w:szCs w:val="20"/>
              </w:rPr>
              <w:t xml:space="preserve"> </w:t>
            </w:r>
            <w:r>
              <w:rPr>
                <w:rFonts w:cs="Calibri Light"/>
                <w:sz w:val="20"/>
                <w:szCs w:val="20"/>
              </w:rPr>
              <w:t>a</w:t>
            </w:r>
            <w:r w:rsidRPr="004005A4">
              <w:rPr>
                <w:rFonts w:cs="Calibri Light"/>
                <w:sz w:val="20"/>
                <w:szCs w:val="20"/>
              </w:rPr>
              <w:t xml:space="preserve"> prominent statement must be made to this effect</w:t>
            </w:r>
            <w:r w:rsidR="00763A3F">
              <w:rPr>
                <w:rFonts w:cs="Calibri Light"/>
                <w:sz w:val="20"/>
                <w:szCs w:val="20"/>
              </w:rPr>
              <w:t>.</w:t>
            </w:r>
          </w:p>
        </w:tc>
        <w:tc>
          <w:tcPr>
            <w:tcW w:w="1209" w:type="dxa"/>
            <w:gridSpan w:val="2"/>
            <w:tcBorders>
              <w:bottom w:val="single" w:sz="6" w:space="0" w:color="auto"/>
            </w:tcBorders>
            <w:vAlign w:val="bottom"/>
          </w:tcPr>
          <w:p w14:paraId="63B246A5"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494D1BB5"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2E2CBA95" w14:textId="77777777" w:rsidR="006F3A86" w:rsidRPr="004005A4" w:rsidRDefault="006F3A86" w:rsidP="006F3A86">
            <w:pPr>
              <w:pStyle w:val="levela"/>
              <w:spacing w:before="120" w:after="120" w:line="240" w:lineRule="atLeast"/>
              <w:jc w:val="center"/>
              <w:rPr>
                <w:rFonts w:cs="Calibri Light"/>
                <w:b/>
                <w:sz w:val="20"/>
                <w:szCs w:val="20"/>
              </w:rPr>
            </w:pPr>
          </w:p>
        </w:tc>
      </w:tr>
      <w:tr w:rsidR="00763A3F" w:rsidRPr="004005A4" w14:paraId="150D2396" w14:textId="77777777" w:rsidTr="00CC36C1">
        <w:trPr>
          <w:gridBefore w:val="1"/>
          <w:wBefore w:w="17" w:type="dxa"/>
        </w:trPr>
        <w:tc>
          <w:tcPr>
            <w:tcW w:w="7483" w:type="dxa"/>
            <w:gridSpan w:val="2"/>
          </w:tcPr>
          <w:p w14:paraId="68721A08" w14:textId="210A9FD3" w:rsidR="00763A3F" w:rsidRPr="004005A4" w:rsidRDefault="00763A3F" w:rsidP="00763A3F">
            <w:pPr>
              <w:pStyle w:val="level2"/>
              <w:numPr>
                <w:ilvl w:val="0"/>
                <w:numId w:val="58"/>
              </w:numPr>
              <w:spacing w:after="120" w:line="240" w:lineRule="atLeast"/>
              <w:ind w:left="1765" w:hanging="450"/>
              <w:rPr>
                <w:rFonts w:cs="Calibri Light"/>
                <w:sz w:val="20"/>
                <w:szCs w:val="20"/>
              </w:rPr>
            </w:pPr>
            <w:r>
              <w:rPr>
                <w:rFonts w:cs="Calibri Light"/>
                <w:sz w:val="20"/>
                <w:szCs w:val="20"/>
              </w:rPr>
              <w:t>t</w:t>
            </w:r>
            <w:r w:rsidRPr="004005A4">
              <w:rPr>
                <w:rFonts w:cs="Calibri Light"/>
                <w:sz w:val="20"/>
                <w:szCs w:val="20"/>
              </w:rPr>
              <w:t>he items for which the accounting depicted is incomplete.</w:t>
            </w:r>
          </w:p>
        </w:tc>
        <w:tc>
          <w:tcPr>
            <w:tcW w:w="1209" w:type="dxa"/>
            <w:gridSpan w:val="2"/>
            <w:tcBorders>
              <w:bottom w:val="single" w:sz="6" w:space="0" w:color="auto"/>
            </w:tcBorders>
            <w:vAlign w:val="bottom"/>
          </w:tcPr>
          <w:p w14:paraId="7C5DA37F" w14:textId="77777777" w:rsidR="00763A3F" w:rsidRPr="004005A4" w:rsidRDefault="00763A3F" w:rsidP="006F3A86">
            <w:pPr>
              <w:pStyle w:val="levela"/>
              <w:spacing w:before="120" w:after="120" w:line="240" w:lineRule="atLeast"/>
              <w:jc w:val="center"/>
              <w:rPr>
                <w:rFonts w:cs="Calibri Light"/>
                <w:b/>
                <w:sz w:val="20"/>
                <w:szCs w:val="20"/>
              </w:rPr>
            </w:pPr>
          </w:p>
        </w:tc>
        <w:tc>
          <w:tcPr>
            <w:tcW w:w="236" w:type="dxa"/>
            <w:gridSpan w:val="3"/>
            <w:vAlign w:val="bottom"/>
          </w:tcPr>
          <w:p w14:paraId="2F562797" w14:textId="77777777" w:rsidR="00763A3F" w:rsidRPr="004005A4" w:rsidRDefault="00763A3F"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1739876D" w14:textId="77777777" w:rsidR="00763A3F" w:rsidRPr="004005A4" w:rsidRDefault="00763A3F" w:rsidP="006F3A86">
            <w:pPr>
              <w:pStyle w:val="levela"/>
              <w:spacing w:before="120" w:after="120" w:line="240" w:lineRule="atLeast"/>
              <w:jc w:val="center"/>
              <w:rPr>
                <w:rFonts w:cs="Calibri Light"/>
                <w:b/>
                <w:sz w:val="20"/>
                <w:szCs w:val="20"/>
              </w:rPr>
            </w:pPr>
          </w:p>
        </w:tc>
      </w:tr>
      <w:tr w:rsidR="00763A3F" w:rsidRPr="004005A4" w14:paraId="5E3AA03B" w14:textId="77777777" w:rsidTr="00CC36C1">
        <w:trPr>
          <w:gridBefore w:val="1"/>
          <w:wBefore w:w="17" w:type="dxa"/>
        </w:trPr>
        <w:tc>
          <w:tcPr>
            <w:tcW w:w="7483" w:type="dxa"/>
            <w:gridSpan w:val="2"/>
          </w:tcPr>
          <w:p w14:paraId="77CF983A" w14:textId="172BA0FD" w:rsidR="00763A3F" w:rsidRPr="004005A4" w:rsidRDefault="00763A3F" w:rsidP="000D1B0C">
            <w:pPr>
              <w:pStyle w:val="level2"/>
              <w:numPr>
                <w:ilvl w:val="0"/>
                <w:numId w:val="58"/>
              </w:numPr>
              <w:spacing w:after="120" w:line="240" w:lineRule="atLeast"/>
              <w:ind w:left="1765" w:hanging="450"/>
              <w:rPr>
                <w:rFonts w:cs="Calibri Light"/>
                <w:sz w:val="20"/>
                <w:szCs w:val="20"/>
              </w:rPr>
            </w:pPr>
            <w:r>
              <w:rPr>
                <w:rFonts w:cs="Calibri Light"/>
                <w:sz w:val="20"/>
                <w:szCs w:val="20"/>
              </w:rPr>
              <w:t>a</w:t>
            </w:r>
            <w:r w:rsidRPr="004005A4">
              <w:rPr>
                <w:rFonts w:cs="Calibri Light"/>
                <w:sz w:val="20"/>
                <w:szCs w:val="20"/>
              </w:rPr>
              <w:t xml:space="preserve"> description of the information that the registrant requires</w:t>
            </w:r>
            <w:r w:rsidRPr="00E16D11">
              <w:rPr>
                <w:rFonts w:cs="Calibri Light"/>
                <w:sz w:val="20"/>
                <w:szCs w:val="20"/>
              </w:rPr>
              <w:t>, including, if material, the uncertainties affecting the pro forma financial information and the possible consequences of their resolution</w:t>
            </w:r>
          </w:p>
        </w:tc>
        <w:tc>
          <w:tcPr>
            <w:tcW w:w="1209" w:type="dxa"/>
            <w:gridSpan w:val="2"/>
            <w:tcBorders>
              <w:bottom w:val="single" w:sz="6" w:space="0" w:color="auto"/>
            </w:tcBorders>
            <w:vAlign w:val="bottom"/>
          </w:tcPr>
          <w:p w14:paraId="720FCE12" w14:textId="77777777" w:rsidR="00763A3F" w:rsidRPr="004005A4" w:rsidRDefault="00763A3F" w:rsidP="006F3A86">
            <w:pPr>
              <w:pStyle w:val="levela"/>
              <w:spacing w:before="120" w:after="120" w:line="240" w:lineRule="atLeast"/>
              <w:jc w:val="center"/>
              <w:rPr>
                <w:rFonts w:cs="Calibri Light"/>
                <w:b/>
                <w:sz w:val="20"/>
                <w:szCs w:val="20"/>
              </w:rPr>
            </w:pPr>
          </w:p>
        </w:tc>
        <w:tc>
          <w:tcPr>
            <w:tcW w:w="236" w:type="dxa"/>
            <w:gridSpan w:val="3"/>
            <w:vAlign w:val="bottom"/>
          </w:tcPr>
          <w:p w14:paraId="6361830C" w14:textId="77777777" w:rsidR="00763A3F" w:rsidRPr="004005A4" w:rsidRDefault="00763A3F"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2EED3C9A" w14:textId="77777777" w:rsidR="00763A3F" w:rsidRPr="004005A4" w:rsidRDefault="00763A3F" w:rsidP="006F3A86">
            <w:pPr>
              <w:pStyle w:val="levela"/>
              <w:spacing w:before="120" w:after="120" w:line="240" w:lineRule="atLeast"/>
              <w:jc w:val="center"/>
              <w:rPr>
                <w:rFonts w:cs="Calibri Light"/>
                <w:b/>
                <w:sz w:val="20"/>
                <w:szCs w:val="20"/>
              </w:rPr>
            </w:pPr>
          </w:p>
        </w:tc>
      </w:tr>
      <w:tr w:rsidR="00763A3F" w:rsidRPr="004005A4" w14:paraId="5EB605B4" w14:textId="77777777" w:rsidTr="00CC36C1">
        <w:trPr>
          <w:gridBefore w:val="1"/>
          <w:wBefore w:w="17" w:type="dxa"/>
        </w:trPr>
        <w:tc>
          <w:tcPr>
            <w:tcW w:w="7483" w:type="dxa"/>
            <w:gridSpan w:val="2"/>
          </w:tcPr>
          <w:p w14:paraId="199070FE" w14:textId="432F52F1" w:rsidR="00763A3F" w:rsidRPr="004005A4" w:rsidRDefault="00763A3F" w:rsidP="000D1B0C">
            <w:pPr>
              <w:pStyle w:val="level2"/>
              <w:numPr>
                <w:ilvl w:val="0"/>
                <w:numId w:val="58"/>
              </w:numPr>
              <w:spacing w:after="120" w:line="240" w:lineRule="atLeast"/>
              <w:ind w:left="1765" w:hanging="450"/>
              <w:rPr>
                <w:rFonts w:cs="Calibri Light"/>
                <w:sz w:val="20"/>
                <w:szCs w:val="20"/>
              </w:rPr>
            </w:pPr>
            <w:r>
              <w:rPr>
                <w:rFonts w:cs="Calibri Light"/>
                <w:sz w:val="20"/>
                <w:szCs w:val="20"/>
              </w:rPr>
              <w:t>a</w:t>
            </w:r>
            <w:r w:rsidRPr="004005A4">
              <w:rPr>
                <w:rFonts w:cs="Calibri Light"/>
                <w:sz w:val="20"/>
                <w:szCs w:val="20"/>
              </w:rPr>
              <w:t>n indication of when the accounting is expected to be finalized</w:t>
            </w:r>
            <w:r>
              <w:rPr>
                <w:rFonts w:cs="Calibri Light"/>
                <w:sz w:val="20"/>
                <w:szCs w:val="20"/>
              </w:rPr>
              <w:t>; and</w:t>
            </w:r>
          </w:p>
        </w:tc>
        <w:tc>
          <w:tcPr>
            <w:tcW w:w="1209" w:type="dxa"/>
            <w:gridSpan w:val="2"/>
            <w:tcBorders>
              <w:bottom w:val="single" w:sz="6" w:space="0" w:color="auto"/>
            </w:tcBorders>
            <w:vAlign w:val="bottom"/>
          </w:tcPr>
          <w:p w14:paraId="554B8834" w14:textId="77777777" w:rsidR="00763A3F" w:rsidRPr="004005A4" w:rsidRDefault="00763A3F" w:rsidP="006F3A86">
            <w:pPr>
              <w:pStyle w:val="levela"/>
              <w:spacing w:before="120" w:after="120" w:line="240" w:lineRule="atLeast"/>
              <w:jc w:val="center"/>
              <w:rPr>
                <w:rFonts w:cs="Calibri Light"/>
                <w:b/>
                <w:sz w:val="20"/>
                <w:szCs w:val="20"/>
              </w:rPr>
            </w:pPr>
          </w:p>
        </w:tc>
        <w:tc>
          <w:tcPr>
            <w:tcW w:w="236" w:type="dxa"/>
            <w:gridSpan w:val="3"/>
            <w:vAlign w:val="bottom"/>
          </w:tcPr>
          <w:p w14:paraId="4DB51B1E" w14:textId="77777777" w:rsidR="00763A3F" w:rsidRPr="004005A4" w:rsidRDefault="00763A3F"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37DE1AC7" w14:textId="77777777" w:rsidR="00763A3F" w:rsidRPr="004005A4" w:rsidRDefault="00763A3F" w:rsidP="006F3A86">
            <w:pPr>
              <w:pStyle w:val="levela"/>
              <w:spacing w:before="120" w:after="120" w:line="240" w:lineRule="atLeast"/>
              <w:jc w:val="center"/>
              <w:rPr>
                <w:rFonts w:cs="Calibri Light"/>
                <w:b/>
                <w:sz w:val="20"/>
                <w:szCs w:val="20"/>
              </w:rPr>
            </w:pPr>
          </w:p>
        </w:tc>
      </w:tr>
      <w:tr w:rsidR="00763A3F" w:rsidRPr="004005A4" w14:paraId="5BFED84B" w14:textId="77777777" w:rsidTr="00CC36C1">
        <w:trPr>
          <w:gridBefore w:val="1"/>
          <w:wBefore w:w="17" w:type="dxa"/>
        </w:trPr>
        <w:tc>
          <w:tcPr>
            <w:tcW w:w="7483" w:type="dxa"/>
            <w:gridSpan w:val="2"/>
          </w:tcPr>
          <w:p w14:paraId="34F99EFC" w14:textId="18E3BA1A" w:rsidR="00763A3F" w:rsidRPr="004005A4" w:rsidRDefault="000D1B0C" w:rsidP="000D1B0C">
            <w:pPr>
              <w:pStyle w:val="level2"/>
              <w:numPr>
                <w:ilvl w:val="0"/>
                <w:numId w:val="58"/>
              </w:numPr>
              <w:spacing w:after="120" w:line="240" w:lineRule="atLeast"/>
              <w:ind w:left="1765" w:hanging="450"/>
              <w:rPr>
                <w:rFonts w:cs="Calibri Light"/>
                <w:sz w:val="20"/>
                <w:szCs w:val="20"/>
              </w:rPr>
            </w:pPr>
            <w:r>
              <w:rPr>
                <w:rFonts w:cs="Calibri Light"/>
                <w:sz w:val="20"/>
                <w:szCs w:val="20"/>
              </w:rPr>
              <w:t>o</w:t>
            </w:r>
            <w:r w:rsidRPr="004005A4">
              <w:rPr>
                <w:rFonts w:cs="Calibri Light"/>
                <w:sz w:val="20"/>
                <w:szCs w:val="20"/>
              </w:rPr>
              <w:t>ther available information that will enable a reader to understand the magnitude of any potential adjustments to the measurements depicted</w:t>
            </w:r>
          </w:p>
        </w:tc>
        <w:tc>
          <w:tcPr>
            <w:tcW w:w="1209" w:type="dxa"/>
            <w:gridSpan w:val="2"/>
            <w:tcBorders>
              <w:bottom w:val="single" w:sz="6" w:space="0" w:color="auto"/>
            </w:tcBorders>
            <w:vAlign w:val="bottom"/>
          </w:tcPr>
          <w:p w14:paraId="6754E736" w14:textId="77777777" w:rsidR="00763A3F" w:rsidRPr="004005A4" w:rsidRDefault="00763A3F" w:rsidP="006F3A86">
            <w:pPr>
              <w:pStyle w:val="levela"/>
              <w:spacing w:before="120" w:after="120" w:line="240" w:lineRule="atLeast"/>
              <w:jc w:val="center"/>
              <w:rPr>
                <w:rFonts w:cs="Calibri Light"/>
                <w:b/>
                <w:sz w:val="20"/>
                <w:szCs w:val="20"/>
              </w:rPr>
            </w:pPr>
          </w:p>
        </w:tc>
        <w:tc>
          <w:tcPr>
            <w:tcW w:w="236" w:type="dxa"/>
            <w:gridSpan w:val="3"/>
            <w:vAlign w:val="bottom"/>
          </w:tcPr>
          <w:p w14:paraId="3F36EF43" w14:textId="77777777" w:rsidR="00763A3F" w:rsidRPr="004005A4" w:rsidRDefault="00763A3F"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3985C5B7" w14:textId="77777777" w:rsidR="00763A3F" w:rsidRPr="004005A4" w:rsidRDefault="00763A3F" w:rsidP="006F3A86">
            <w:pPr>
              <w:pStyle w:val="levela"/>
              <w:spacing w:before="120" w:after="120" w:line="240" w:lineRule="atLeast"/>
              <w:jc w:val="center"/>
              <w:rPr>
                <w:rFonts w:cs="Calibri Light"/>
                <w:b/>
                <w:sz w:val="20"/>
                <w:szCs w:val="20"/>
              </w:rPr>
            </w:pPr>
          </w:p>
        </w:tc>
      </w:tr>
      <w:tr w:rsidR="006F3A86" w:rsidRPr="004005A4" w14:paraId="2CC32445" w14:textId="77777777" w:rsidTr="00CC36C1">
        <w:trPr>
          <w:gridBefore w:val="1"/>
          <w:wBefore w:w="17" w:type="dxa"/>
        </w:trPr>
        <w:tc>
          <w:tcPr>
            <w:tcW w:w="7483" w:type="dxa"/>
            <w:gridSpan w:val="2"/>
          </w:tcPr>
          <w:p w14:paraId="72665715" w14:textId="1325B58F" w:rsidR="006F3A86" w:rsidRPr="004005A4" w:rsidRDefault="000D1B0C" w:rsidP="000D1B0C">
            <w:pPr>
              <w:pStyle w:val="level2"/>
              <w:numPr>
                <w:ilvl w:val="0"/>
                <w:numId w:val="133"/>
              </w:numPr>
              <w:tabs>
                <w:tab w:val="clear" w:pos="576"/>
                <w:tab w:val="clear" w:pos="1152"/>
                <w:tab w:val="left" w:pos="957"/>
              </w:tabs>
              <w:spacing w:after="120" w:line="240" w:lineRule="atLeast"/>
              <w:ind w:left="867" w:hanging="264"/>
              <w:rPr>
                <w:rFonts w:cs="Calibri Light"/>
                <w:sz w:val="20"/>
                <w:szCs w:val="20"/>
              </w:rPr>
            </w:pPr>
            <w:r>
              <w:rPr>
                <w:rFonts w:cs="Calibri Light"/>
                <w:sz w:val="20"/>
                <w:szCs w:val="20"/>
              </w:rPr>
              <w:tab/>
            </w:r>
            <w:r w:rsidR="006F3A86" w:rsidRPr="004005A4">
              <w:rPr>
                <w:rFonts w:cs="Calibri Light"/>
                <w:sz w:val="20"/>
                <w:szCs w:val="20"/>
              </w:rPr>
              <w:t>For each Autonomous Entity Adjustment, a description of the adjustment (including material uncertainties), the material assumptions, the calculation of the adjustment, and additional qualitative information about Autonomous Entity Adjustments, if any, necessary to give a fair and balanced presentation of the pro forma financial information.</w:t>
            </w:r>
          </w:p>
        </w:tc>
        <w:tc>
          <w:tcPr>
            <w:tcW w:w="1209" w:type="dxa"/>
            <w:gridSpan w:val="2"/>
            <w:tcBorders>
              <w:bottom w:val="single" w:sz="6" w:space="0" w:color="auto"/>
            </w:tcBorders>
            <w:vAlign w:val="bottom"/>
          </w:tcPr>
          <w:p w14:paraId="5B27BBE2"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E5FC5AA"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5B2EC83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601F95D" w14:textId="77777777" w:rsidTr="00CC36C1">
        <w:trPr>
          <w:gridBefore w:val="1"/>
          <w:wBefore w:w="17" w:type="dxa"/>
        </w:trPr>
        <w:tc>
          <w:tcPr>
            <w:tcW w:w="7483" w:type="dxa"/>
            <w:gridSpan w:val="2"/>
          </w:tcPr>
          <w:p w14:paraId="31BEAFBF" w14:textId="77777777" w:rsidR="006F3A86" w:rsidRPr="004005A4" w:rsidRDefault="006F3A86" w:rsidP="006F3A86">
            <w:pPr>
              <w:pStyle w:val="level2"/>
              <w:tabs>
                <w:tab w:val="clear" w:pos="576"/>
                <w:tab w:val="clear" w:pos="1152"/>
              </w:tabs>
              <w:spacing w:after="120" w:line="240" w:lineRule="atLeast"/>
              <w:ind w:left="592" w:hanging="360"/>
              <w:rPr>
                <w:rFonts w:cs="Calibri Light"/>
                <w:sz w:val="20"/>
                <w:szCs w:val="20"/>
              </w:rPr>
            </w:pPr>
            <w:r w:rsidRPr="004005A4">
              <w:rPr>
                <w:rFonts w:cs="Calibri Light"/>
                <w:sz w:val="20"/>
                <w:szCs w:val="20"/>
              </w:rPr>
              <w:lastRenderedPageBreak/>
              <w:t>(12)</w:t>
            </w:r>
            <w:r w:rsidRPr="004005A4">
              <w:rPr>
                <w:rFonts w:cs="Calibri Light"/>
                <w:sz w:val="20"/>
                <w:szCs w:val="20"/>
              </w:rPr>
              <w:tab/>
              <w:t>A registrant must not:</w:t>
            </w:r>
          </w:p>
          <w:p w14:paraId="40C5140D" w14:textId="6DFA328F" w:rsidR="006F3A86" w:rsidRPr="004005A4" w:rsidRDefault="006F3A86" w:rsidP="007F74B8">
            <w:pPr>
              <w:pStyle w:val="level2"/>
              <w:tabs>
                <w:tab w:val="clear" w:pos="576"/>
                <w:tab w:val="clear" w:pos="1152"/>
              </w:tabs>
              <w:spacing w:after="120" w:line="240" w:lineRule="atLeast"/>
              <w:ind w:left="952" w:hanging="376"/>
              <w:rPr>
                <w:rFonts w:cs="Calibri Light"/>
                <w:sz w:val="20"/>
                <w:szCs w:val="20"/>
              </w:rPr>
            </w:pPr>
            <w:r>
              <w:rPr>
                <w:rFonts w:cs="Calibri Light"/>
                <w:sz w:val="20"/>
                <w:szCs w:val="20"/>
              </w:rPr>
              <w:t>(i</w:t>
            </w:r>
            <w:r w:rsidRPr="004005A4">
              <w:rPr>
                <w:rFonts w:cs="Calibri Light"/>
                <w:sz w:val="20"/>
                <w:szCs w:val="20"/>
              </w:rPr>
              <w:t>)</w:t>
            </w:r>
            <w:r>
              <w:rPr>
                <w:rFonts w:cs="Calibri Light"/>
                <w:sz w:val="20"/>
                <w:szCs w:val="20"/>
              </w:rPr>
              <w:tab/>
              <w:t>P</w:t>
            </w:r>
            <w:r w:rsidRPr="004005A4">
              <w:rPr>
                <w:rFonts w:cs="Calibri Light"/>
                <w:sz w:val="20"/>
                <w:szCs w:val="20"/>
              </w:rPr>
              <w:t>resent pro forma financial information on the face of the registrant’s historical financial statements or in the accompanying notes, except where such presentation is required by GAAP or IFRS</w:t>
            </w:r>
            <w:r>
              <w:rPr>
                <w:rFonts w:cs="Calibri Light"/>
                <w:sz w:val="20"/>
                <w:szCs w:val="20"/>
              </w:rPr>
              <w:t>-IASB</w:t>
            </w:r>
            <w:r w:rsidRPr="004005A4">
              <w:rPr>
                <w:rFonts w:cs="Calibri Light"/>
                <w:sz w:val="20"/>
                <w:szCs w:val="20"/>
              </w:rPr>
              <w:t>, as applicable</w:t>
            </w:r>
            <w:r>
              <w:rPr>
                <w:rFonts w:cs="Calibri Light"/>
                <w:sz w:val="20"/>
                <w:szCs w:val="20"/>
              </w:rPr>
              <w:t>.</w:t>
            </w:r>
          </w:p>
        </w:tc>
        <w:tc>
          <w:tcPr>
            <w:tcW w:w="1209" w:type="dxa"/>
            <w:gridSpan w:val="2"/>
            <w:tcBorders>
              <w:bottom w:val="single" w:sz="6" w:space="0" w:color="auto"/>
            </w:tcBorders>
            <w:vAlign w:val="bottom"/>
          </w:tcPr>
          <w:p w14:paraId="639F149B"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68E66F00"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6B3D3408" w14:textId="77777777" w:rsidR="006F3A86" w:rsidRPr="004005A4" w:rsidRDefault="006F3A86" w:rsidP="006F3A86">
            <w:pPr>
              <w:pStyle w:val="levela"/>
              <w:spacing w:before="120" w:after="120" w:line="240" w:lineRule="atLeast"/>
              <w:jc w:val="center"/>
              <w:rPr>
                <w:rFonts w:cs="Calibri Light"/>
                <w:b/>
                <w:sz w:val="20"/>
                <w:szCs w:val="20"/>
              </w:rPr>
            </w:pPr>
          </w:p>
        </w:tc>
      </w:tr>
      <w:tr w:rsidR="007F74B8" w:rsidRPr="004005A4" w14:paraId="04EC97F8" w14:textId="77777777" w:rsidTr="00CC36C1">
        <w:trPr>
          <w:gridBefore w:val="1"/>
          <w:wBefore w:w="17" w:type="dxa"/>
        </w:trPr>
        <w:tc>
          <w:tcPr>
            <w:tcW w:w="7483" w:type="dxa"/>
            <w:gridSpan w:val="2"/>
          </w:tcPr>
          <w:p w14:paraId="300D6E9C" w14:textId="00A26D21" w:rsidR="007F74B8" w:rsidRPr="007F74B8" w:rsidRDefault="007F74B8" w:rsidP="00130BB0">
            <w:pPr>
              <w:pStyle w:val="level2"/>
              <w:numPr>
                <w:ilvl w:val="0"/>
                <w:numId w:val="133"/>
              </w:numPr>
              <w:tabs>
                <w:tab w:val="clear" w:pos="576"/>
                <w:tab w:val="clear" w:pos="1152"/>
              </w:tabs>
              <w:spacing w:after="120" w:line="240" w:lineRule="atLeast"/>
              <w:ind w:left="955"/>
              <w:rPr>
                <w:rFonts w:cs="Calibri Light"/>
                <w:sz w:val="20"/>
                <w:szCs w:val="20"/>
              </w:rPr>
            </w:pPr>
            <w:r>
              <w:rPr>
                <w:rFonts w:cs="Calibri Light"/>
                <w:sz w:val="20"/>
                <w:szCs w:val="20"/>
              </w:rPr>
              <w:t>P</w:t>
            </w:r>
            <w:r w:rsidRPr="004005A4">
              <w:rPr>
                <w:rFonts w:cs="Calibri Light"/>
                <w:sz w:val="20"/>
                <w:szCs w:val="20"/>
              </w:rPr>
              <w:t>resent pro forma financial information, or summaries of such information, elsewhere in a filing that excludes material transactions for which pro forma effect is required to be given.</w:t>
            </w:r>
          </w:p>
        </w:tc>
        <w:tc>
          <w:tcPr>
            <w:tcW w:w="1209" w:type="dxa"/>
            <w:gridSpan w:val="2"/>
            <w:tcBorders>
              <w:top w:val="single" w:sz="6" w:space="0" w:color="auto"/>
            </w:tcBorders>
            <w:vAlign w:val="bottom"/>
          </w:tcPr>
          <w:p w14:paraId="0E592B45" w14:textId="77777777" w:rsidR="007F74B8" w:rsidRPr="007F74B8" w:rsidRDefault="007F74B8" w:rsidP="006F3A86">
            <w:pPr>
              <w:pStyle w:val="levela"/>
              <w:spacing w:before="120" w:after="120" w:line="240" w:lineRule="atLeast"/>
              <w:jc w:val="center"/>
              <w:rPr>
                <w:rFonts w:cs="Calibri Light"/>
                <w:sz w:val="20"/>
                <w:szCs w:val="20"/>
              </w:rPr>
            </w:pPr>
          </w:p>
        </w:tc>
        <w:tc>
          <w:tcPr>
            <w:tcW w:w="236" w:type="dxa"/>
            <w:gridSpan w:val="3"/>
            <w:vAlign w:val="bottom"/>
          </w:tcPr>
          <w:p w14:paraId="0DDDAC51" w14:textId="77777777" w:rsidR="007F74B8" w:rsidRPr="007F74B8" w:rsidRDefault="007F74B8" w:rsidP="006F3A86">
            <w:pPr>
              <w:pStyle w:val="levela"/>
              <w:spacing w:before="120" w:after="120" w:line="240" w:lineRule="atLeast"/>
              <w:jc w:val="center"/>
              <w:rPr>
                <w:rFonts w:cs="Calibri Light"/>
                <w:sz w:val="20"/>
                <w:szCs w:val="20"/>
              </w:rPr>
            </w:pPr>
          </w:p>
        </w:tc>
        <w:tc>
          <w:tcPr>
            <w:tcW w:w="1181" w:type="dxa"/>
            <w:gridSpan w:val="2"/>
            <w:tcBorders>
              <w:top w:val="single" w:sz="6" w:space="0" w:color="auto"/>
            </w:tcBorders>
            <w:vAlign w:val="bottom"/>
          </w:tcPr>
          <w:p w14:paraId="0C286663" w14:textId="77777777" w:rsidR="007F74B8" w:rsidRPr="007F74B8" w:rsidRDefault="007F74B8" w:rsidP="006F3A86">
            <w:pPr>
              <w:pStyle w:val="levela"/>
              <w:spacing w:before="120" w:after="120" w:line="240" w:lineRule="atLeast"/>
              <w:jc w:val="center"/>
              <w:rPr>
                <w:rFonts w:cs="Calibri Light"/>
                <w:sz w:val="20"/>
                <w:szCs w:val="20"/>
              </w:rPr>
            </w:pPr>
          </w:p>
        </w:tc>
      </w:tr>
      <w:tr w:rsidR="007F74B8" w:rsidRPr="004005A4" w14:paraId="242B62DE" w14:textId="77777777" w:rsidTr="00CC36C1">
        <w:trPr>
          <w:gridBefore w:val="1"/>
          <w:wBefore w:w="17" w:type="dxa"/>
        </w:trPr>
        <w:tc>
          <w:tcPr>
            <w:tcW w:w="7483" w:type="dxa"/>
            <w:gridSpan w:val="2"/>
          </w:tcPr>
          <w:p w14:paraId="21644D44" w14:textId="32728EB6" w:rsidR="007F74B8" w:rsidRPr="007F74B8" w:rsidRDefault="000465E2" w:rsidP="000465E2">
            <w:pPr>
              <w:pStyle w:val="level2"/>
              <w:tabs>
                <w:tab w:val="clear" w:pos="576"/>
                <w:tab w:val="clear" w:pos="1152"/>
              </w:tabs>
              <w:spacing w:after="120" w:line="240" w:lineRule="atLeast"/>
              <w:ind w:left="952" w:hanging="376"/>
              <w:rPr>
                <w:rFonts w:cs="Calibri Light"/>
                <w:sz w:val="20"/>
                <w:szCs w:val="20"/>
              </w:rPr>
            </w:pPr>
            <w:r>
              <w:rPr>
                <w:rFonts w:cs="Calibri Light"/>
                <w:sz w:val="20"/>
                <w:szCs w:val="20"/>
              </w:rPr>
              <w:t>(iii</w:t>
            </w:r>
            <w:r w:rsidRPr="004005A4">
              <w:rPr>
                <w:rFonts w:cs="Calibri Light"/>
                <w:sz w:val="20"/>
                <w:szCs w:val="20"/>
              </w:rPr>
              <w:t>)</w:t>
            </w:r>
            <w:r>
              <w:rPr>
                <w:rFonts w:cs="Calibri Light"/>
                <w:sz w:val="20"/>
                <w:szCs w:val="20"/>
              </w:rPr>
              <w:tab/>
              <w:t>P</w:t>
            </w:r>
            <w:r w:rsidRPr="004005A4">
              <w:rPr>
                <w:rFonts w:cs="Calibri Light"/>
                <w:sz w:val="20"/>
                <w:szCs w:val="20"/>
              </w:rPr>
              <w:t>resent pro forma amounts in paragraph (a)(7) of this section elsewhere in a filing without also presenting with equal or greater prominence the amounts specified in paragraph (a)(7) of this section to which they are required to be reconciled and a cross-reference to that reconciliation.</w:t>
            </w:r>
          </w:p>
        </w:tc>
        <w:tc>
          <w:tcPr>
            <w:tcW w:w="1209" w:type="dxa"/>
            <w:gridSpan w:val="2"/>
            <w:tcBorders>
              <w:top w:val="single" w:sz="6" w:space="0" w:color="auto"/>
            </w:tcBorders>
            <w:vAlign w:val="bottom"/>
          </w:tcPr>
          <w:p w14:paraId="1FF4FCBA" w14:textId="77777777" w:rsidR="007F74B8" w:rsidRPr="007F74B8" w:rsidRDefault="007F74B8" w:rsidP="006F3A86">
            <w:pPr>
              <w:pStyle w:val="levela"/>
              <w:spacing w:before="120" w:after="120" w:line="240" w:lineRule="atLeast"/>
              <w:jc w:val="center"/>
              <w:rPr>
                <w:rFonts w:cs="Calibri Light"/>
                <w:sz w:val="20"/>
                <w:szCs w:val="20"/>
              </w:rPr>
            </w:pPr>
          </w:p>
        </w:tc>
        <w:tc>
          <w:tcPr>
            <w:tcW w:w="236" w:type="dxa"/>
            <w:gridSpan w:val="3"/>
            <w:vAlign w:val="bottom"/>
          </w:tcPr>
          <w:p w14:paraId="149028F1" w14:textId="77777777" w:rsidR="007F74B8" w:rsidRPr="007F74B8" w:rsidRDefault="007F74B8" w:rsidP="006F3A86">
            <w:pPr>
              <w:pStyle w:val="levela"/>
              <w:spacing w:before="120" w:after="120" w:line="240" w:lineRule="atLeast"/>
              <w:jc w:val="center"/>
              <w:rPr>
                <w:rFonts w:cs="Calibri Light"/>
                <w:sz w:val="20"/>
                <w:szCs w:val="20"/>
              </w:rPr>
            </w:pPr>
          </w:p>
        </w:tc>
        <w:tc>
          <w:tcPr>
            <w:tcW w:w="1181" w:type="dxa"/>
            <w:gridSpan w:val="2"/>
            <w:tcBorders>
              <w:top w:val="single" w:sz="6" w:space="0" w:color="auto"/>
            </w:tcBorders>
            <w:vAlign w:val="bottom"/>
          </w:tcPr>
          <w:p w14:paraId="797F4FF5" w14:textId="77777777" w:rsidR="007F74B8" w:rsidRPr="007F74B8" w:rsidRDefault="007F74B8" w:rsidP="006F3A86">
            <w:pPr>
              <w:pStyle w:val="levela"/>
              <w:spacing w:before="120" w:after="120" w:line="240" w:lineRule="atLeast"/>
              <w:jc w:val="center"/>
              <w:rPr>
                <w:rFonts w:cs="Calibri Light"/>
                <w:sz w:val="20"/>
                <w:szCs w:val="20"/>
              </w:rPr>
            </w:pPr>
          </w:p>
        </w:tc>
      </w:tr>
      <w:tr w:rsidR="007F74B8" w:rsidRPr="004005A4" w14:paraId="270B0D1B" w14:textId="77777777" w:rsidTr="00CC36C1">
        <w:trPr>
          <w:gridBefore w:val="1"/>
          <w:wBefore w:w="17" w:type="dxa"/>
        </w:trPr>
        <w:tc>
          <w:tcPr>
            <w:tcW w:w="7483" w:type="dxa"/>
            <w:gridSpan w:val="2"/>
          </w:tcPr>
          <w:p w14:paraId="0A9DEBDD" w14:textId="6FD9B235" w:rsidR="007F74B8" w:rsidRPr="000465E2" w:rsidRDefault="000465E2" w:rsidP="000465E2">
            <w:pPr>
              <w:pStyle w:val="level2"/>
              <w:tabs>
                <w:tab w:val="clear" w:pos="576"/>
                <w:tab w:val="clear" w:pos="1152"/>
              </w:tabs>
              <w:spacing w:after="120" w:line="240" w:lineRule="atLeast"/>
              <w:ind w:left="952" w:hanging="376"/>
              <w:rPr>
                <w:rFonts w:cs="Calibri Light"/>
                <w:sz w:val="20"/>
                <w:szCs w:val="20"/>
              </w:rPr>
            </w:pPr>
            <w:r w:rsidRPr="000465E2">
              <w:rPr>
                <w:rFonts w:cs="Calibri Light"/>
                <w:sz w:val="20"/>
                <w:szCs w:val="20"/>
              </w:rPr>
              <w:t>(iv)</w:t>
            </w:r>
            <w:r w:rsidRPr="000465E2">
              <w:rPr>
                <w:rFonts w:cs="Calibri Light"/>
                <w:sz w:val="20"/>
                <w:szCs w:val="20"/>
              </w:rPr>
              <w:tab/>
              <w:t>Give pro forma effect to the registrant's adoption of an accounting standard in pro forma financial information required by Rule 11-01 through 11-03.</w:t>
            </w:r>
          </w:p>
        </w:tc>
        <w:tc>
          <w:tcPr>
            <w:tcW w:w="1209" w:type="dxa"/>
            <w:gridSpan w:val="2"/>
            <w:tcBorders>
              <w:top w:val="single" w:sz="6" w:space="0" w:color="auto"/>
            </w:tcBorders>
            <w:vAlign w:val="bottom"/>
          </w:tcPr>
          <w:p w14:paraId="676E38C7" w14:textId="77777777" w:rsidR="007F74B8" w:rsidRPr="007F74B8" w:rsidRDefault="007F74B8" w:rsidP="006F3A86">
            <w:pPr>
              <w:pStyle w:val="levela"/>
              <w:spacing w:before="120" w:after="120" w:line="240" w:lineRule="atLeast"/>
              <w:jc w:val="center"/>
              <w:rPr>
                <w:rFonts w:cs="Calibri Light"/>
                <w:sz w:val="20"/>
                <w:szCs w:val="20"/>
              </w:rPr>
            </w:pPr>
          </w:p>
        </w:tc>
        <w:tc>
          <w:tcPr>
            <w:tcW w:w="236" w:type="dxa"/>
            <w:gridSpan w:val="3"/>
            <w:vAlign w:val="bottom"/>
          </w:tcPr>
          <w:p w14:paraId="0A850CAD" w14:textId="77777777" w:rsidR="007F74B8" w:rsidRPr="007F74B8" w:rsidRDefault="007F74B8" w:rsidP="006F3A86">
            <w:pPr>
              <w:pStyle w:val="levela"/>
              <w:spacing w:before="120" w:after="120" w:line="240" w:lineRule="atLeast"/>
              <w:jc w:val="center"/>
              <w:rPr>
                <w:rFonts w:cs="Calibri Light"/>
                <w:sz w:val="20"/>
                <w:szCs w:val="20"/>
              </w:rPr>
            </w:pPr>
          </w:p>
        </w:tc>
        <w:tc>
          <w:tcPr>
            <w:tcW w:w="1181" w:type="dxa"/>
            <w:gridSpan w:val="2"/>
            <w:tcBorders>
              <w:top w:val="single" w:sz="6" w:space="0" w:color="auto"/>
            </w:tcBorders>
            <w:vAlign w:val="bottom"/>
          </w:tcPr>
          <w:p w14:paraId="2D440F48" w14:textId="77777777" w:rsidR="007F74B8" w:rsidRPr="007F74B8" w:rsidRDefault="007F74B8" w:rsidP="006F3A86">
            <w:pPr>
              <w:pStyle w:val="levela"/>
              <w:spacing w:before="120" w:after="120" w:line="240" w:lineRule="atLeast"/>
              <w:jc w:val="center"/>
              <w:rPr>
                <w:rFonts w:cs="Calibri Light"/>
                <w:sz w:val="20"/>
                <w:szCs w:val="20"/>
              </w:rPr>
            </w:pPr>
          </w:p>
        </w:tc>
      </w:tr>
      <w:tr w:rsidR="006F3A86" w:rsidRPr="004005A4" w14:paraId="7FFDC234" w14:textId="77777777" w:rsidTr="00CC36C1">
        <w:trPr>
          <w:gridBefore w:val="1"/>
          <w:wBefore w:w="17" w:type="dxa"/>
        </w:trPr>
        <w:tc>
          <w:tcPr>
            <w:tcW w:w="7483" w:type="dxa"/>
            <w:gridSpan w:val="2"/>
          </w:tcPr>
          <w:p w14:paraId="3B0EEAAA" w14:textId="1CF8407C" w:rsidR="006F3A86" w:rsidRPr="004005A4" w:rsidRDefault="006F3A86" w:rsidP="006F3A86">
            <w:pPr>
              <w:pStyle w:val="FormTableHeaderRow"/>
              <w:keepNext/>
              <w:ind w:left="144"/>
              <w:rPr>
                <w:rFonts w:cs="Calibri Light"/>
                <w:sz w:val="20"/>
                <w:szCs w:val="20"/>
              </w:rPr>
            </w:pPr>
            <w:r>
              <w:rPr>
                <w:rFonts w:cs="Calibri Light"/>
                <w:sz w:val="20"/>
                <w:szCs w:val="20"/>
              </w:rPr>
              <w:t>(b) Implementation Guidance</w:t>
            </w:r>
            <w:r w:rsidRPr="004005A4">
              <w:rPr>
                <w:rFonts w:cs="Calibri Light"/>
                <w:sz w:val="20"/>
                <w:szCs w:val="20"/>
              </w:rPr>
              <w:t>:</w:t>
            </w:r>
          </w:p>
        </w:tc>
        <w:tc>
          <w:tcPr>
            <w:tcW w:w="1209" w:type="dxa"/>
            <w:gridSpan w:val="2"/>
            <w:tcBorders>
              <w:top w:val="single" w:sz="6" w:space="0" w:color="auto"/>
            </w:tcBorders>
            <w:vAlign w:val="bottom"/>
          </w:tcPr>
          <w:p w14:paraId="464D50A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F1BE8CB"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0CBE6A39"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6970C331" w14:textId="77777777" w:rsidTr="00CC36C1">
        <w:trPr>
          <w:gridBefore w:val="1"/>
          <w:wBefore w:w="17" w:type="dxa"/>
        </w:trPr>
        <w:tc>
          <w:tcPr>
            <w:tcW w:w="7483" w:type="dxa"/>
            <w:gridSpan w:val="2"/>
          </w:tcPr>
          <w:p w14:paraId="45103941" w14:textId="3151348A" w:rsidR="006F3A86" w:rsidRPr="004005A4" w:rsidRDefault="006F3A86" w:rsidP="006F3A86">
            <w:pPr>
              <w:pStyle w:val="levela"/>
              <w:tabs>
                <w:tab w:val="clear" w:pos="576"/>
              </w:tabs>
              <w:spacing w:before="120" w:after="120" w:line="240" w:lineRule="atLeast"/>
              <w:ind w:left="412" w:hanging="232"/>
              <w:rPr>
                <w:rFonts w:cs="Calibri Light"/>
                <w:sz w:val="20"/>
                <w:szCs w:val="20"/>
              </w:rPr>
            </w:pPr>
            <w:r w:rsidRPr="004005A4">
              <w:rPr>
                <w:rFonts w:cs="Calibri Light"/>
                <w:sz w:val="20"/>
                <w:szCs w:val="20"/>
              </w:rPr>
              <w:t>1.</w:t>
            </w:r>
            <w:r w:rsidRPr="004005A4">
              <w:rPr>
                <w:rFonts w:cs="Calibri Light"/>
                <w:sz w:val="20"/>
                <w:szCs w:val="20"/>
              </w:rPr>
              <w:tab/>
            </w:r>
            <w:r>
              <w:rPr>
                <w:rFonts w:cs="Calibri Light"/>
                <w:i/>
                <w:iCs/>
                <w:sz w:val="20"/>
                <w:szCs w:val="20"/>
              </w:rPr>
              <w:t xml:space="preserve">Historical statement of comprehensive income. </w:t>
            </w:r>
            <w:r w:rsidRPr="004005A4">
              <w:rPr>
                <w:rFonts w:cs="Calibri Light"/>
                <w:sz w:val="20"/>
                <w:szCs w:val="20"/>
              </w:rPr>
              <w:t xml:space="preserve">The historical statements of comprehensive income used in the pro forma information must </w:t>
            </w:r>
            <w:r>
              <w:rPr>
                <w:rFonts w:cs="Calibri Light"/>
                <w:sz w:val="20"/>
                <w:szCs w:val="20"/>
              </w:rPr>
              <w:t>only</w:t>
            </w:r>
            <w:r w:rsidRPr="004005A4">
              <w:rPr>
                <w:rFonts w:cs="Calibri Light"/>
                <w:sz w:val="20"/>
                <w:szCs w:val="20"/>
              </w:rPr>
              <w:t xml:space="preserve"> </w:t>
            </w:r>
            <w:r>
              <w:rPr>
                <w:rFonts w:cs="Calibri Light"/>
                <w:sz w:val="20"/>
                <w:szCs w:val="20"/>
              </w:rPr>
              <w:t xml:space="preserve">be presented through income from continuing operations (or appropriate modification thereof). </w:t>
            </w:r>
          </w:p>
        </w:tc>
        <w:tc>
          <w:tcPr>
            <w:tcW w:w="1209" w:type="dxa"/>
            <w:gridSpan w:val="2"/>
            <w:tcBorders>
              <w:bottom w:val="single" w:sz="6" w:space="0" w:color="auto"/>
            </w:tcBorders>
            <w:vAlign w:val="bottom"/>
          </w:tcPr>
          <w:p w14:paraId="1A714FE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81309DE"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5D6E3EEC"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8D5E3F3" w14:textId="77777777" w:rsidTr="00CC36C1">
        <w:trPr>
          <w:gridBefore w:val="1"/>
          <w:wBefore w:w="17" w:type="dxa"/>
        </w:trPr>
        <w:tc>
          <w:tcPr>
            <w:tcW w:w="7483" w:type="dxa"/>
            <w:gridSpan w:val="2"/>
          </w:tcPr>
          <w:p w14:paraId="25FD1860" w14:textId="2CEA9979" w:rsidR="006F3A86" w:rsidRPr="004005A4" w:rsidRDefault="006F3A86" w:rsidP="006F3A86">
            <w:pPr>
              <w:pStyle w:val="levela"/>
              <w:tabs>
                <w:tab w:val="clear" w:pos="576"/>
              </w:tabs>
              <w:spacing w:before="120" w:after="120" w:line="240" w:lineRule="atLeast"/>
              <w:ind w:left="412" w:hanging="232"/>
              <w:rPr>
                <w:rFonts w:cs="Calibri Light"/>
                <w:sz w:val="20"/>
                <w:szCs w:val="20"/>
              </w:rPr>
            </w:pPr>
            <w:r w:rsidRPr="004005A4">
              <w:rPr>
                <w:rFonts w:cs="Calibri Light"/>
                <w:sz w:val="20"/>
                <w:szCs w:val="20"/>
              </w:rPr>
              <w:t>2.</w:t>
            </w:r>
            <w:r w:rsidRPr="004005A4">
              <w:rPr>
                <w:rFonts w:cs="Calibri Light"/>
                <w:sz w:val="20"/>
                <w:szCs w:val="20"/>
              </w:rPr>
              <w:tab/>
            </w:r>
            <w:r>
              <w:rPr>
                <w:rFonts w:cs="Calibri Light"/>
                <w:i/>
                <w:iCs/>
                <w:sz w:val="20"/>
                <w:szCs w:val="20"/>
              </w:rPr>
              <w:t xml:space="preserve">Business acquisitions. </w:t>
            </w:r>
            <w:r w:rsidR="00A5209D">
              <w:rPr>
                <w:rFonts w:cs="Calibri Light"/>
                <w:sz w:val="20"/>
                <w:szCs w:val="20"/>
              </w:rPr>
              <w:t xml:space="preserve">In </w:t>
            </w:r>
            <w:r w:rsidRPr="004005A4">
              <w:rPr>
                <w:rFonts w:cs="Calibri Light"/>
                <w:sz w:val="20"/>
                <w:szCs w:val="20"/>
              </w:rPr>
              <w:t>some transactions, such as in financial institution acquisitions,</w:t>
            </w:r>
            <w:r>
              <w:rPr>
                <w:rFonts w:cs="Calibri Light"/>
                <w:sz w:val="20"/>
                <w:szCs w:val="20"/>
              </w:rPr>
              <w:t xml:space="preserve"> measuring the acquired assets at their acquisition date fair value</w:t>
            </w:r>
            <w:r w:rsidRPr="004005A4">
              <w:rPr>
                <w:rFonts w:cs="Calibri Light"/>
                <w:sz w:val="20"/>
                <w:szCs w:val="20"/>
              </w:rPr>
              <w:t xml:space="preserve"> may </w:t>
            </w:r>
            <w:r>
              <w:rPr>
                <w:rFonts w:cs="Calibri Light"/>
                <w:sz w:val="20"/>
                <w:szCs w:val="20"/>
              </w:rPr>
              <w:t>result in</w:t>
            </w:r>
            <w:r w:rsidRPr="004005A4">
              <w:rPr>
                <w:rFonts w:cs="Calibri Light"/>
                <w:sz w:val="20"/>
                <w:szCs w:val="20"/>
              </w:rPr>
              <w:t xml:space="preserve"> significant discounts </w:t>
            </w:r>
            <w:r>
              <w:rPr>
                <w:rFonts w:cs="Calibri Light"/>
                <w:sz w:val="20"/>
                <w:szCs w:val="20"/>
              </w:rPr>
              <w:t xml:space="preserve">relative to the acquired business’s </w:t>
            </w:r>
            <w:r w:rsidRPr="004005A4">
              <w:rPr>
                <w:rFonts w:cs="Calibri Light"/>
                <w:sz w:val="20"/>
                <w:szCs w:val="20"/>
              </w:rPr>
              <w:t xml:space="preserve">historical cost of the acquired assets. When such </w:t>
            </w:r>
            <w:r>
              <w:rPr>
                <w:rFonts w:cs="Calibri Light"/>
                <w:sz w:val="20"/>
                <w:szCs w:val="20"/>
              </w:rPr>
              <w:t>discounts</w:t>
            </w:r>
            <w:r w:rsidRPr="004005A4">
              <w:rPr>
                <w:rFonts w:cs="Calibri Light"/>
                <w:sz w:val="20"/>
                <w:szCs w:val="20"/>
              </w:rPr>
              <w:t xml:space="preserve"> </w:t>
            </w:r>
            <w:r>
              <w:rPr>
                <w:rFonts w:cs="Calibri Light"/>
                <w:sz w:val="20"/>
                <w:szCs w:val="20"/>
              </w:rPr>
              <w:t>can</w:t>
            </w:r>
            <w:r w:rsidRPr="004005A4">
              <w:rPr>
                <w:rFonts w:cs="Calibri Light"/>
                <w:sz w:val="20"/>
                <w:szCs w:val="20"/>
              </w:rPr>
              <w:t xml:space="preserve"> result in a significant effect on earnings (losses) in periods immediately subsequent to the acquisition </w:t>
            </w:r>
            <w:r>
              <w:rPr>
                <w:rFonts w:cs="Calibri Light"/>
                <w:sz w:val="20"/>
                <w:szCs w:val="20"/>
              </w:rPr>
              <w:t>that</w:t>
            </w:r>
            <w:r w:rsidRPr="004005A4">
              <w:rPr>
                <w:rFonts w:cs="Calibri Light"/>
                <w:sz w:val="20"/>
                <w:szCs w:val="20"/>
              </w:rPr>
              <w:t xml:space="preserve"> will be progressively eliminated over a relatively short period, the effect of the </w:t>
            </w:r>
            <w:r>
              <w:rPr>
                <w:rFonts w:cs="Calibri Light"/>
                <w:sz w:val="20"/>
                <w:szCs w:val="20"/>
              </w:rPr>
              <w:t>discounts</w:t>
            </w:r>
            <w:r w:rsidRPr="004005A4">
              <w:rPr>
                <w:rFonts w:cs="Calibri Light"/>
                <w:sz w:val="20"/>
                <w:szCs w:val="20"/>
              </w:rPr>
              <w:t xml:space="preserve"> on reported results of operations for each of the next five years </w:t>
            </w:r>
            <w:r>
              <w:rPr>
                <w:rFonts w:cs="Calibri Light"/>
                <w:sz w:val="20"/>
                <w:szCs w:val="20"/>
              </w:rPr>
              <w:t>must</w:t>
            </w:r>
            <w:r w:rsidRPr="004005A4">
              <w:rPr>
                <w:rFonts w:cs="Calibri Light"/>
                <w:sz w:val="20"/>
                <w:szCs w:val="20"/>
              </w:rPr>
              <w:t xml:space="preserve"> be disclosed in a note.</w:t>
            </w:r>
          </w:p>
        </w:tc>
        <w:tc>
          <w:tcPr>
            <w:tcW w:w="1209" w:type="dxa"/>
            <w:gridSpan w:val="2"/>
            <w:tcBorders>
              <w:top w:val="single" w:sz="6" w:space="0" w:color="auto"/>
              <w:bottom w:val="single" w:sz="4" w:space="0" w:color="auto"/>
            </w:tcBorders>
            <w:vAlign w:val="bottom"/>
          </w:tcPr>
          <w:p w14:paraId="799CF21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50046A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46A45176"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B3B68BF" w14:textId="77777777" w:rsidTr="00CC36C1">
        <w:trPr>
          <w:gridBefore w:val="1"/>
          <w:wBefore w:w="17" w:type="dxa"/>
        </w:trPr>
        <w:tc>
          <w:tcPr>
            <w:tcW w:w="7483" w:type="dxa"/>
            <w:gridSpan w:val="2"/>
          </w:tcPr>
          <w:p w14:paraId="3096B114" w14:textId="03CB7879" w:rsidR="006F3A86" w:rsidRPr="004005A4" w:rsidRDefault="006F3A86" w:rsidP="006F3A86">
            <w:pPr>
              <w:pStyle w:val="levela"/>
              <w:tabs>
                <w:tab w:val="clear" w:pos="576"/>
              </w:tabs>
              <w:spacing w:before="120" w:after="120" w:line="240" w:lineRule="atLeast"/>
              <w:ind w:left="412" w:hanging="232"/>
              <w:rPr>
                <w:rFonts w:cs="Calibri Light"/>
                <w:sz w:val="20"/>
                <w:szCs w:val="20"/>
              </w:rPr>
            </w:pPr>
            <w:r w:rsidRPr="004005A4">
              <w:rPr>
                <w:rFonts w:cs="Calibri Light"/>
                <w:sz w:val="20"/>
                <w:szCs w:val="20"/>
              </w:rPr>
              <w:t>3.</w:t>
            </w:r>
            <w:r w:rsidRPr="004005A4">
              <w:rPr>
                <w:rFonts w:cs="Calibri Light"/>
                <w:sz w:val="20"/>
                <w:szCs w:val="20"/>
              </w:rPr>
              <w:tab/>
            </w:r>
            <w:r>
              <w:rPr>
                <w:rFonts w:cs="Calibri Light"/>
                <w:i/>
                <w:iCs/>
                <w:sz w:val="20"/>
                <w:szCs w:val="20"/>
              </w:rPr>
              <w:t xml:space="preserve">Business dispositions. </w:t>
            </w:r>
            <w:r>
              <w:rPr>
                <w:rFonts w:cs="Calibri Light"/>
                <w:sz w:val="20"/>
                <w:szCs w:val="20"/>
              </w:rPr>
              <w:t>T</w:t>
            </w:r>
            <w:r w:rsidRPr="00AD1B35">
              <w:rPr>
                <w:rFonts w:cs="Calibri Light"/>
                <w:sz w:val="20"/>
                <w:szCs w:val="20"/>
              </w:rPr>
              <w:t>ransaction Accounting Adjustments giving effect to the disposition of a business must not decrease historically incurred compensation expense for employees who were not, or will not be, transferred or terminated as of the disposition date</w:t>
            </w:r>
            <w:r w:rsidRPr="004005A4">
              <w:rPr>
                <w:rFonts w:cs="Calibri Light"/>
                <w:sz w:val="20"/>
                <w:szCs w:val="20"/>
              </w:rPr>
              <w:t>.</w:t>
            </w:r>
          </w:p>
        </w:tc>
        <w:tc>
          <w:tcPr>
            <w:tcW w:w="1209" w:type="dxa"/>
            <w:gridSpan w:val="2"/>
            <w:tcBorders>
              <w:top w:val="single" w:sz="4" w:space="0" w:color="auto"/>
            </w:tcBorders>
            <w:vAlign w:val="bottom"/>
          </w:tcPr>
          <w:p w14:paraId="201410E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CD93015"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316580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57B456D" w14:textId="77777777" w:rsidTr="00CC36C1">
        <w:trPr>
          <w:gridBefore w:val="1"/>
          <w:wBefore w:w="17" w:type="dxa"/>
        </w:trPr>
        <w:tc>
          <w:tcPr>
            <w:tcW w:w="7483" w:type="dxa"/>
            <w:gridSpan w:val="2"/>
          </w:tcPr>
          <w:p w14:paraId="315080DE" w14:textId="161C7EA6" w:rsidR="006F3A86" w:rsidRPr="00E05955" w:rsidRDefault="006F3A86" w:rsidP="006F3A86">
            <w:pPr>
              <w:pStyle w:val="levela"/>
              <w:tabs>
                <w:tab w:val="clear" w:pos="576"/>
              </w:tabs>
              <w:spacing w:before="120" w:after="120" w:line="240" w:lineRule="atLeast"/>
              <w:ind w:left="412" w:hanging="232"/>
              <w:rPr>
                <w:rFonts w:cs="Calibri Light"/>
                <w:i/>
                <w:iCs/>
                <w:sz w:val="20"/>
                <w:szCs w:val="20"/>
              </w:rPr>
            </w:pPr>
            <w:r>
              <w:rPr>
                <w:rFonts w:cs="Calibri Light"/>
                <w:sz w:val="20"/>
                <w:szCs w:val="20"/>
              </w:rPr>
              <w:t xml:space="preserve">4. </w:t>
            </w:r>
            <w:r>
              <w:rPr>
                <w:rFonts w:cs="Calibri Light"/>
                <w:i/>
                <w:iCs/>
                <w:sz w:val="20"/>
                <w:szCs w:val="20"/>
              </w:rPr>
              <w:t>Multiple transactions.</w:t>
            </w:r>
          </w:p>
          <w:p w14:paraId="712D9FF1" w14:textId="7687FAC0" w:rsidR="006F3A86" w:rsidRDefault="006F3A86" w:rsidP="00130BB0">
            <w:pPr>
              <w:pStyle w:val="levela"/>
              <w:tabs>
                <w:tab w:val="clear" w:pos="576"/>
              </w:tabs>
              <w:spacing w:before="120" w:after="120" w:line="240" w:lineRule="atLeast"/>
              <w:ind w:left="808" w:hanging="393"/>
            </w:pPr>
            <w:r>
              <w:rPr>
                <w:rFonts w:cs="Calibri Light"/>
                <w:sz w:val="20"/>
                <w:szCs w:val="20"/>
              </w:rPr>
              <w:t xml:space="preserve">(i)  </w:t>
            </w:r>
            <w:r w:rsidR="006E5584">
              <w:rPr>
                <w:rFonts w:cs="Calibri Light"/>
                <w:sz w:val="20"/>
                <w:szCs w:val="20"/>
              </w:rPr>
              <w:tab/>
            </w:r>
            <w:r>
              <w:rPr>
                <w:rFonts w:cs="Calibri Light"/>
                <w:sz w:val="20"/>
                <w:szCs w:val="20"/>
              </w:rPr>
              <w:t>W</w:t>
            </w:r>
            <w:r w:rsidRPr="00AD1B35">
              <w:rPr>
                <w:rFonts w:cs="Calibri Light"/>
                <w:sz w:val="20"/>
                <w:szCs w:val="20"/>
              </w:rPr>
              <w:t>hen consummation of more than one transaction has occurred, or is probable, the pro forma financial information must present in separate columns each transaction for which pro forma presentation is required</w:t>
            </w:r>
            <w:r>
              <w:rPr>
                <w:rFonts w:cs="Calibri Light"/>
                <w:sz w:val="20"/>
                <w:szCs w:val="20"/>
              </w:rPr>
              <w:t xml:space="preserve"> by Rule 11-01.</w:t>
            </w:r>
            <w:r>
              <w:t xml:space="preserve"> </w:t>
            </w:r>
          </w:p>
          <w:p w14:paraId="7252B376" w14:textId="59AB91F5" w:rsidR="006F3A86" w:rsidRPr="004005A4" w:rsidRDefault="006F3A86" w:rsidP="00130BB0">
            <w:pPr>
              <w:pStyle w:val="levela"/>
              <w:tabs>
                <w:tab w:val="clear" w:pos="576"/>
              </w:tabs>
              <w:spacing w:before="120" w:after="120" w:line="240" w:lineRule="atLeast"/>
              <w:ind w:left="808" w:hanging="393"/>
              <w:rPr>
                <w:rFonts w:cs="Calibri Light"/>
                <w:sz w:val="20"/>
                <w:szCs w:val="20"/>
              </w:rPr>
            </w:pPr>
            <w:r>
              <w:rPr>
                <w:rFonts w:cs="Calibri Light"/>
                <w:sz w:val="20"/>
                <w:szCs w:val="20"/>
              </w:rPr>
              <w:t xml:space="preserve">(ii) </w:t>
            </w:r>
            <w:r w:rsidR="006E5584">
              <w:rPr>
                <w:rFonts w:cs="Calibri Light"/>
                <w:sz w:val="20"/>
                <w:szCs w:val="20"/>
              </w:rPr>
              <w:tab/>
            </w:r>
            <w:r w:rsidRPr="00AD1B35">
              <w:rPr>
                <w:rFonts w:cs="Calibri Light"/>
                <w:sz w:val="20"/>
                <w:szCs w:val="20"/>
              </w:rPr>
              <w:t>If the pro forma financial information is presented in a proxy or information statement for purposes of obtaining shareholder approval of one of the transactions, the effects of that transaction must be clearly set forth.</w:t>
            </w:r>
          </w:p>
        </w:tc>
        <w:tc>
          <w:tcPr>
            <w:tcW w:w="1209" w:type="dxa"/>
            <w:gridSpan w:val="2"/>
            <w:tcBorders>
              <w:top w:val="single" w:sz="4" w:space="0" w:color="auto"/>
            </w:tcBorders>
            <w:vAlign w:val="bottom"/>
          </w:tcPr>
          <w:p w14:paraId="69BBAAD4"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F9575A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3D09F48"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97ADCCC" w14:textId="77777777" w:rsidTr="00CC36C1">
        <w:trPr>
          <w:gridBefore w:val="1"/>
          <w:wBefore w:w="17" w:type="dxa"/>
        </w:trPr>
        <w:tc>
          <w:tcPr>
            <w:tcW w:w="7483" w:type="dxa"/>
            <w:gridSpan w:val="2"/>
          </w:tcPr>
          <w:p w14:paraId="6714C6D2" w14:textId="417D8D6D" w:rsidR="006F3A86" w:rsidRPr="002318AC" w:rsidRDefault="006F3A86" w:rsidP="006F3A86">
            <w:pPr>
              <w:pStyle w:val="levela"/>
              <w:spacing w:before="120" w:after="120" w:line="240" w:lineRule="atLeast"/>
              <w:ind w:left="412" w:hanging="232"/>
              <w:rPr>
                <w:rFonts w:cs="Calibri Light"/>
                <w:i/>
                <w:iCs/>
                <w:sz w:val="20"/>
                <w:szCs w:val="20"/>
              </w:rPr>
            </w:pPr>
            <w:r>
              <w:rPr>
                <w:rFonts w:cs="Calibri Light"/>
                <w:sz w:val="20"/>
                <w:szCs w:val="20"/>
              </w:rPr>
              <w:lastRenderedPageBreak/>
              <w:t xml:space="preserve">5.  </w:t>
            </w:r>
            <w:r>
              <w:rPr>
                <w:rFonts w:cs="Calibri Light"/>
                <w:i/>
                <w:iCs/>
                <w:sz w:val="20"/>
                <w:szCs w:val="20"/>
              </w:rPr>
              <w:t>Tax effects.</w:t>
            </w:r>
          </w:p>
          <w:p w14:paraId="75AA1785" w14:textId="5A595A42" w:rsidR="006F3A86" w:rsidRPr="004005A4" w:rsidRDefault="006F3A86" w:rsidP="00130BB0">
            <w:pPr>
              <w:pStyle w:val="levela"/>
              <w:spacing w:before="120" w:after="120" w:line="240" w:lineRule="atLeast"/>
              <w:ind w:left="865" w:hanging="450"/>
              <w:rPr>
                <w:rFonts w:cs="Calibri Light"/>
                <w:sz w:val="20"/>
                <w:szCs w:val="20"/>
              </w:rPr>
            </w:pPr>
            <w:r>
              <w:rPr>
                <w:rFonts w:cs="Calibri Light"/>
                <w:sz w:val="20"/>
                <w:szCs w:val="20"/>
              </w:rPr>
              <w:t xml:space="preserve">(i) </w:t>
            </w:r>
            <w:r w:rsidR="00827760">
              <w:rPr>
                <w:rFonts w:cs="Calibri Light"/>
                <w:sz w:val="20"/>
                <w:szCs w:val="20"/>
              </w:rPr>
              <w:tab/>
            </w:r>
            <w:r w:rsidRPr="00AD1B35">
              <w:rPr>
                <w:rFonts w:cs="Calibri Light"/>
                <w:sz w:val="20"/>
                <w:szCs w:val="20"/>
              </w:rPr>
              <w:t xml:space="preserve">Tax effects, if any, of pro forma adjustments normally should be calculated at the statutory rate in effect during the periods for which pro forma condensed statements of comprehensive income are presented and should be reflected as a separate pro forma adjustment. </w:t>
            </w:r>
          </w:p>
        </w:tc>
        <w:tc>
          <w:tcPr>
            <w:tcW w:w="1209" w:type="dxa"/>
            <w:gridSpan w:val="2"/>
            <w:tcBorders>
              <w:top w:val="single" w:sz="4" w:space="0" w:color="auto"/>
              <w:bottom w:val="single" w:sz="6" w:space="0" w:color="auto"/>
            </w:tcBorders>
            <w:vAlign w:val="bottom"/>
          </w:tcPr>
          <w:p w14:paraId="19553D88"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236" w:type="dxa"/>
            <w:gridSpan w:val="3"/>
            <w:vAlign w:val="bottom"/>
          </w:tcPr>
          <w:p w14:paraId="762659C1"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384E28AA"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0465E2" w:rsidRPr="004005A4" w14:paraId="6CAFB643" w14:textId="77777777" w:rsidTr="00CC36C1">
        <w:trPr>
          <w:gridBefore w:val="1"/>
          <w:wBefore w:w="17" w:type="dxa"/>
        </w:trPr>
        <w:tc>
          <w:tcPr>
            <w:tcW w:w="7483" w:type="dxa"/>
            <w:gridSpan w:val="2"/>
          </w:tcPr>
          <w:p w14:paraId="4F58D1E5" w14:textId="7B57B74B" w:rsidR="000465E2" w:rsidRDefault="000465E2" w:rsidP="00130BB0">
            <w:pPr>
              <w:pStyle w:val="levela"/>
              <w:spacing w:before="120" w:after="120" w:line="240" w:lineRule="atLeast"/>
              <w:ind w:left="808" w:hanging="393"/>
              <w:rPr>
                <w:rFonts w:cs="Calibri Light"/>
                <w:sz w:val="20"/>
                <w:szCs w:val="20"/>
              </w:rPr>
            </w:pPr>
            <w:r>
              <w:rPr>
                <w:rFonts w:cs="Calibri Light"/>
                <w:sz w:val="20"/>
                <w:szCs w:val="20"/>
              </w:rPr>
              <w:t xml:space="preserve">(ii) </w:t>
            </w:r>
            <w:r w:rsidR="00827760">
              <w:rPr>
                <w:rFonts w:cs="Calibri Light"/>
                <w:sz w:val="20"/>
                <w:szCs w:val="20"/>
              </w:rPr>
              <w:tab/>
            </w:r>
            <w:r w:rsidRPr="00AD1B35">
              <w:rPr>
                <w:rFonts w:cs="Calibri Light"/>
                <w:sz w:val="20"/>
                <w:szCs w:val="20"/>
              </w:rPr>
              <w:t>When the registrant's historical statements of comprehensive income do not reflect the tax provision on the separate return basis, pro forma statements of comprehensive income adjustments must reflect a tax provision calculated on the separate return basis.</w:t>
            </w:r>
          </w:p>
        </w:tc>
        <w:tc>
          <w:tcPr>
            <w:tcW w:w="1209" w:type="dxa"/>
            <w:gridSpan w:val="2"/>
            <w:tcBorders>
              <w:top w:val="single" w:sz="4" w:space="0" w:color="auto"/>
              <w:bottom w:val="single" w:sz="6" w:space="0" w:color="auto"/>
            </w:tcBorders>
            <w:vAlign w:val="bottom"/>
          </w:tcPr>
          <w:p w14:paraId="1D79309C" w14:textId="77777777" w:rsidR="000465E2" w:rsidRPr="004005A4" w:rsidRDefault="000465E2" w:rsidP="006F3A86">
            <w:pPr>
              <w:pStyle w:val="levela"/>
              <w:keepNext/>
              <w:spacing w:before="120" w:after="120" w:line="240" w:lineRule="atLeast"/>
              <w:jc w:val="center"/>
              <w:rPr>
                <w:rFonts w:cs="Calibri Light"/>
                <w:b/>
                <w:sz w:val="20"/>
                <w:szCs w:val="20"/>
              </w:rPr>
            </w:pPr>
          </w:p>
        </w:tc>
        <w:tc>
          <w:tcPr>
            <w:tcW w:w="236" w:type="dxa"/>
            <w:gridSpan w:val="3"/>
            <w:vAlign w:val="bottom"/>
          </w:tcPr>
          <w:p w14:paraId="4D4A9229" w14:textId="77777777" w:rsidR="000465E2" w:rsidRPr="004005A4" w:rsidRDefault="000465E2"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40D5FF4B" w14:textId="77777777" w:rsidR="000465E2" w:rsidRPr="004005A4" w:rsidRDefault="000465E2" w:rsidP="006F3A86">
            <w:pPr>
              <w:pStyle w:val="levela"/>
              <w:keepNext/>
              <w:spacing w:before="120" w:after="120" w:line="240" w:lineRule="atLeast"/>
              <w:jc w:val="center"/>
              <w:rPr>
                <w:rFonts w:cs="Calibri Light"/>
                <w:b/>
                <w:sz w:val="20"/>
                <w:szCs w:val="20"/>
              </w:rPr>
            </w:pPr>
          </w:p>
        </w:tc>
      </w:tr>
      <w:tr w:rsidR="006F3A86" w:rsidRPr="004005A4" w14:paraId="0D29C47A" w14:textId="77777777" w:rsidTr="00CC36C1">
        <w:trPr>
          <w:gridBefore w:val="1"/>
          <w:wBefore w:w="17" w:type="dxa"/>
        </w:trPr>
        <w:tc>
          <w:tcPr>
            <w:tcW w:w="7483" w:type="dxa"/>
            <w:gridSpan w:val="2"/>
          </w:tcPr>
          <w:p w14:paraId="164DE06C" w14:textId="77777777" w:rsidR="006F3A86" w:rsidRPr="004005A4" w:rsidRDefault="006F3A86" w:rsidP="006F3A86">
            <w:pPr>
              <w:pStyle w:val="levela"/>
              <w:keepNext/>
              <w:tabs>
                <w:tab w:val="clear" w:pos="576"/>
              </w:tabs>
              <w:spacing w:before="120" w:after="120" w:line="240" w:lineRule="atLeast"/>
              <w:ind w:left="232" w:hanging="232"/>
              <w:rPr>
                <w:rFonts w:cs="Calibri Light"/>
                <w:sz w:val="20"/>
                <w:szCs w:val="20"/>
              </w:rPr>
            </w:pPr>
            <w:r w:rsidRPr="004005A4">
              <w:rPr>
                <w:rFonts w:cs="Calibri Light"/>
                <w:sz w:val="20"/>
                <w:szCs w:val="20"/>
              </w:rPr>
              <w:t>c.</w:t>
            </w:r>
            <w:r w:rsidRPr="004005A4">
              <w:rPr>
                <w:rFonts w:cs="Calibri Light"/>
                <w:sz w:val="20"/>
                <w:szCs w:val="20"/>
              </w:rPr>
              <w:tab/>
            </w:r>
            <w:r w:rsidRPr="004005A4">
              <w:rPr>
                <w:rFonts w:cs="Calibri Light"/>
                <w:b/>
                <w:sz w:val="20"/>
                <w:szCs w:val="20"/>
              </w:rPr>
              <w:t>Periods to be presented.</w:t>
            </w:r>
          </w:p>
        </w:tc>
        <w:tc>
          <w:tcPr>
            <w:tcW w:w="1209" w:type="dxa"/>
            <w:gridSpan w:val="2"/>
            <w:tcBorders>
              <w:top w:val="single" w:sz="6" w:space="0" w:color="auto"/>
            </w:tcBorders>
            <w:vAlign w:val="bottom"/>
          </w:tcPr>
          <w:p w14:paraId="44A73B11"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E91DEFB"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1D241AED"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1CA9974" w14:textId="77777777" w:rsidTr="00CC36C1">
        <w:trPr>
          <w:gridBefore w:val="1"/>
          <w:wBefore w:w="17" w:type="dxa"/>
        </w:trPr>
        <w:tc>
          <w:tcPr>
            <w:tcW w:w="7483" w:type="dxa"/>
            <w:gridSpan w:val="2"/>
          </w:tcPr>
          <w:p w14:paraId="16632FA6" w14:textId="707353B8"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(1)</w:t>
            </w:r>
            <w:r w:rsidRPr="004005A4">
              <w:rPr>
                <w:rFonts w:cs="Calibri Light"/>
                <w:sz w:val="20"/>
                <w:szCs w:val="20"/>
              </w:rPr>
              <w:tab/>
              <w:t xml:space="preserve">A pro forma condensed balance sheet </w:t>
            </w:r>
            <w:r>
              <w:rPr>
                <w:rFonts w:cs="Calibri Light"/>
                <w:sz w:val="20"/>
                <w:szCs w:val="20"/>
              </w:rPr>
              <w:t>as of</w:t>
            </w:r>
            <w:r w:rsidRPr="004005A4">
              <w:rPr>
                <w:rFonts w:cs="Calibri Light"/>
                <w:sz w:val="20"/>
                <w:szCs w:val="20"/>
              </w:rPr>
              <w:t xml:space="preserve"> the end of the most recent period for which a consolidated balance sheet of the registrant is required by Rule 3-01 </w:t>
            </w:r>
            <w:r>
              <w:rPr>
                <w:rFonts w:cs="Calibri Light"/>
                <w:sz w:val="20"/>
                <w:szCs w:val="20"/>
              </w:rPr>
              <w:t>must</w:t>
            </w:r>
            <w:r w:rsidRPr="004005A4">
              <w:rPr>
                <w:rFonts w:cs="Calibri Light"/>
                <w:sz w:val="20"/>
                <w:szCs w:val="20"/>
              </w:rPr>
              <w:t xml:space="preserve"> be filed, unless the transaction is already reflected in such balance sheet.</w:t>
            </w:r>
          </w:p>
        </w:tc>
        <w:tc>
          <w:tcPr>
            <w:tcW w:w="1209" w:type="dxa"/>
            <w:gridSpan w:val="2"/>
            <w:vAlign w:val="bottom"/>
          </w:tcPr>
          <w:p w14:paraId="7627B709"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6CA5DC43"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31FFEA41" w14:textId="77777777" w:rsidR="006F3A86" w:rsidRPr="004005A4" w:rsidRDefault="006F3A86" w:rsidP="006F3A86">
            <w:pPr>
              <w:pStyle w:val="levela"/>
              <w:spacing w:before="120" w:after="120" w:line="240" w:lineRule="atLeast"/>
              <w:jc w:val="center"/>
              <w:rPr>
                <w:rFonts w:cs="Calibri Light"/>
                <w:b/>
                <w:sz w:val="20"/>
                <w:szCs w:val="20"/>
              </w:rPr>
            </w:pPr>
          </w:p>
        </w:tc>
      </w:tr>
      <w:tr w:rsidR="000465E2" w:rsidRPr="004005A4" w14:paraId="61030910" w14:textId="77777777" w:rsidTr="00CC36C1">
        <w:trPr>
          <w:gridBefore w:val="1"/>
          <w:wBefore w:w="17" w:type="dxa"/>
        </w:trPr>
        <w:tc>
          <w:tcPr>
            <w:tcW w:w="7483" w:type="dxa"/>
            <w:gridSpan w:val="2"/>
          </w:tcPr>
          <w:p w14:paraId="441ABE77" w14:textId="77777777" w:rsidR="000465E2" w:rsidRDefault="000465E2" w:rsidP="000465E2">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(2)</w:t>
            </w:r>
            <w:r w:rsidRPr="004005A4">
              <w:rPr>
                <w:rFonts w:cs="Calibri Light"/>
                <w:sz w:val="20"/>
                <w:szCs w:val="20"/>
              </w:rPr>
              <w:tab/>
            </w:r>
          </w:p>
          <w:p w14:paraId="220313A7" w14:textId="59070066" w:rsidR="000465E2" w:rsidRPr="004005A4" w:rsidRDefault="000465E2" w:rsidP="000465E2">
            <w:pPr>
              <w:pStyle w:val="level2"/>
              <w:tabs>
                <w:tab w:val="clear" w:pos="576"/>
                <w:tab w:val="clear" w:pos="1152"/>
              </w:tabs>
              <w:spacing w:after="120" w:line="240" w:lineRule="atLeast"/>
              <w:ind w:left="864" w:hanging="360"/>
              <w:rPr>
                <w:rFonts w:cs="Calibri Light"/>
                <w:sz w:val="20"/>
                <w:szCs w:val="20"/>
              </w:rPr>
            </w:pPr>
            <w:r>
              <w:rPr>
                <w:rFonts w:cs="Calibri Light"/>
                <w:sz w:val="20"/>
                <w:szCs w:val="20"/>
              </w:rPr>
              <w:t xml:space="preserve">(i)   </w:t>
            </w:r>
            <w:r w:rsidRPr="004005A4">
              <w:rPr>
                <w:rFonts w:cs="Calibri Light"/>
                <w:sz w:val="20"/>
                <w:szCs w:val="20"/>
              </w:rPr>
              <w:t xml:space="preserve">Pro forma condensed statements of comprehensive income </w:t>
            </w:r>
            <w:r>
              <w:rPr>
                <w:rFonts w:cs="Calibri Light"/>
                <w:sz w:val="20"/>
                <w:szCs w:val="20"/>
              </w:rPr>
              <w:t>must</w:t>
            </w:r>
            <w:r w:rsidRPr="004005A4">
              <w:rPr>
                <w:rFonts w:cs="Calibri Light"/>
                <w:sz w:val="20"/>
                <w:szCs w:val="20"/>
              </w:rPr>
              <w:t xml:space="preserve"> be filed for only the </w:t>
            </w:r>
            <w:r>
              <w:rPr>
                <w:rFonts w:cs="Calibri Light"/>
                <w:sz w:val="20"/>
                <w:szCs w:val="20"/>
              </w:rPr>
              <w:t>most recent fiscal</w:t>
            </w:r>
            <w:r w:rsidRPr="004005A4">
              <w:rPr>
                <w:rFonts w:cs="Calibri Light"/>
                <w:sz w:val="20"/>
                <w:szCs w:val="20"/>
              </w:rPr>
              <w:t xml:space="preserve"> year</w:t>
            </w:r>
            <w:r>
              <w:rPr>
                <w:rFonts w:cs="Calibri Light"/>
                <w:sz w:val="20"/>
                <w:szCs w:val="20"/>
              </w:rPr>
              <w:t>, except as noted in C(2)(ii) below,</w:t>
            </w:r>
            <w:r w:rsidRPr="004005A4">
              <w:rPr>
                <w:rFonts w:cs="Calibri Light"/>
                <w:sz w:val="20"/>
                <w:szCs w:val="20"/>
              </w:rPr>
              <w:t xml:space="preserve"> and for </w:t>
            </w:r>
            <w:r w:rsidRPr="00B13C1F">
              <w:rPr>
                <w:rFonts w:cs="Calibri Light"/>
                <w:sz w:val="20"/>
                <w:szCs w:val="20"/>
              </w:rPr>
              <w:t>the period from the most recent fiscal year end to the most recent interim date for which a balance sheet is required</w:t>
            </w:r>
            <w:r w:rsidRPr="004005A4">
              <w:rPr>
                <w:rFonts w:cs="Calibri Light"/>
                <w:sz w:val="20"/>
                <w:szCs w:val="20"/>
              </w:rPr>
              <w:t xml:space="preserve">.  A pro forma condensed statement of comprehensive income may be filed for the corresponding interim period of the preceding </w:t>
            </w:r>
            <w:r>
              <w:rPr>
                <w:rFonts w:cs="Calibri Light"/>
                <w:sz w:val="20"/>
                <w:szCs w:val="20"/>
              </w:rPr>
              <w:t xml:space="preserve">fiscal </w:t>
            </w:r>
            <w:r w:rsidRPr="004005A4">
              <w:rPr>
                <w:rFonts w:cs="Calibri Light"/>
                <w:sz w:val="20"/>
                <w:szCs w:val="20"/>
              </w:rPr>
              <w:t xml:space="preserve">year.  A pro forma condensed statement of comprehensive income </w:t>
            </w:r>
            <w:r>
              <w:rPr>
                <w:rFonts w:cs="Calibri Light"/>
                <w:sz w:val="20"/>
                <w:szCs w:val="20"/>
              </w:rPr>
              <w:t>must</w:t>
            </w:r>
            <w:r w:rsidRPr="004005A4">
              <w:rPr>
                <w:rFonts w:cs="Calibri Light"/>
                <w:sz w:val="20"/>
                <w:szCs w:val="20"/>
              </w:rPr>
              <w:t xml:space="preserve"> not be filed if the historical statement of comprehensive income reflects the transaction for the entire period.</w:t>
            </w:r>
            <w:r>
              <w:rPr>
                <w:rFonts w:cs="Calibri Light"/>
                <w:sz w:val="20"/>
                <w:szCs w:val="20"/>
              </w:rPr>
              <w:t xml:space="preserve"> </w:t>
            </w:r>
          </w:p>
        </w:tc>
        <w:tc>
          <w:tcPr>
            <w:tcW w:w="1209" w:type="dxa"/>
            <w:gridSpan w:val="2"/>
            <w:vAlign w:val="bottom"/>
          </w:tcPr>
          <w:p w14:paraId="6B15A124" w14:textId="77777777" w:rsidR="000465E2" w:rsidRPr="004005A4" w:rsidRDefault="000465E2" w:rsidP="006F3A86">
            <w:pPr>
              <w:pStyle w:val="levela"/>
              <w:spacing w:before="120" w:after="120" w:line="240" w:lineRule="atLeast"/>
              <w:jc w:val="center"/>
              <w:rPr>
                <w:rFonts w:cs="Calibri Light"/>
                <w:b/>
                <w:sz w:val="20"/>
                <w:szCs w:val="20"/>
              </w:rPr>
            </w:pPr>
          </w:p>
        </w:tc>
        <w:tc>
          <w:tcPr>
            <w:tcW w:w="236" w:type="dxa"/>
            <w:gridSpan w:val="3"/>
            <w:vAlign w:val="bottom"/>
          </w:tcPr>
          <w:p w14:paraId="37D3DA1D" w14:textId="77777777" w:rsidR="000465E2" w:rsidRPr="004005A4" w:rsidRDefault="000465E2" w:rsidP="006F3A86">
            <w:pPr>
              <w:pStyle w:val="levela"/>
              <w:spacing w:before="120" w:after="120" w:line="240" w:lineRule="atLeast"/>
              <w:jc w:val="center"/>
              <w:rPr>
                <w:rFonts w:cs="Calibri Light"/>
                <w:b/>
                <w:sz w:val="20"/>
                <w:szCs w:val="20"/>
              </w:rPr>
            </w:pPr>
          </w:p>
        </w:tc>
        <w:tc>
          <w:tcPr>
            <w:tcW w:w="1181" w:type="dxa"/>
            <w:gridSpan w:val="2"/>
            <w:vAlign w:val="bottom"/>
          </w:tcPr>
          <w:p w14:paraId="55636413" w14:textId="77777777" w:rsidR="000465E2" w:rsidRPr="004005A4" w:rsidRDefault="000465E2" w:rsidP="006F3A86">
            <w:pPr>
              <w:pStyle w:val="levela"/>
              <w:spacing w:before="120" w:after="120" w:line="240" w:lineRule="atLeast"/>
              <w:jc w:val="center"/>
              <w:rPr>
                <w:rFonts w:cs="Calibri Light"/>
                <w:b/>
                <w:sz w:val="20"/>
                <w:szCs w:val="20"/>
              </w:rPr>
            </w:pPr>
          </w:p>
        </w:tc>
      </w:tr>
      <w:tr w:rsidR="006F3A86" w:rsidRPr="004005A4" w14:paraId="4F753565" w14:textId="77777777" w:rsidTr="00CC36C1">
        <w:trPr>
          <w:gridBefore w:val="1"/>
          <w:wBefore w:w="17" w:type="dxa"/>
        </w:trPr>
        <w:tc>
          <w:tcPr>
            <w:tcW w:w="7483" w:type="dxa"/>
            <w:gridSpan w:val="2"/>
          </w:tcPr>
          <w:p w14:paraId="146DC8D1" w14:textId="60D8727B" w:rsidR="006F3A86" w:rsidRPr="004005A4" w:rsidRDefault="006F3A86" w:rsidP="002318AC">
            <w:pPr>
              <w:pStyle w:val="level2"/>
              <w:tabs>
                <w:tab w:val="clear" w:pos="576"/>
                <w:tab w:val="clear" w:pos="1152"/>
              </w:tabs>
              <w:spacing w:after="120" w:line="240" w:lineRule="atLeast"/>
              <w:ind w:left="864" w:hanging="360"/>
              <w:rPr>
                <w:rFonts w:cs="Calibri Light"/>
                <w:sz w:val="20"/>
                <w:szCs w:val="20"/>
              </w:rPr>
            </w:pPr>
            <w:r>
              <w:rPr>
                <w:rFonts w:cs="Calibri Light"/>
                <w:sz w:val="20"/>
                <w:szCs w:val="20"/>
              </w:rPr>
              <w:t xml:space="preserve">(ii) </w:t>
            </w:r>
            <w:r w:rsidR="00A26EF4">
              <w:rPr>
                <w:rFonts w:cs="Calibri Light"/>
                <w:sz w:val="20"/>
                <w:szCs w:val="20"/>
              </w:rPr>
              <w:tab/>
            </w:r>
            <w:r w:rsidRPr="004F7A24">
              <w:rPr>
                <w:rFonts w:cs="Calibri Light"/>
                <w:sz w:val="20"/>
                <w:szCs w:val="20"/>
              </w:rPr>
              <w:t>For transactions required to be accounted for under U.S. GAAP or, as applicable, IFRS-IASB by retrospectively revising the historical statements of comprehensive income (e.g., combination of entities under common control and discontinued operations), pro forma statements of comprehensive income must be filed for all periods for which historical financial statements of the registrant are required. Retrospective revisions stemming from the registrant's adoption of a new accounting principle must not be reflected in pro forma statements of comprehensive income until they are depicted in the registrant's historical financial statements.</w:t>
            </w:r>
          </w:p>
        </w:tc>
        <w:tc>
          <w:tcPr>
            <w:tcW w:w="1209" w:type="dxa"/>
            <w:gridSpan w:val="2"/>
            <w:tcBorders>
              <w:top w:val="single" w:sz="4" w:space="0" w:color="auto"/>
              <w:bottom w:val="single" w:sz="4" w:space="0" w:color="auto"/>
            </w:tcBorders>
            <w:vAlign w:val="bottom"/>
          </w:tcPr>
          <w:p w14:paraId="52BDACF3"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1A0DAD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2F94267"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145576A" w14:textId="77777777" w:rsidTr="00CC36C1">
        <w:trPr>
          <w:gridBefore w:val="1"/>
          <w:wBefore w:w="17" w:type="dxa"/>
        </w:trPr>
        <w:tc>
          <w:tcPr>
            <w:tcW w:w="7483" w:type="dxa"/>
            <w:gridSpan w:val="2"/>
          </w:tcPr>
          <w:p w14:paraId="5E8E4492" w14:textId="78F40F0C" w:rsidR="006F3A86" w:rsidRPr="004005A4" w:rsidRDefault="006F3A86" w:rsidP="00D54205">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(3)</w:t>
            </w:r>
            <w:r w:rsidRPr="004005A4">
              <w:rPr>
                <w:rFonts w:cs="Calibri Light"/>
                <w:sz w:val="20"/>
                <w:szCs w:val="20"/>
              </w:rPr>
              <w:tab/>
            </w:r>
            <w:r w:rsidRPr="00B13C1F">
              <w:rPr>
                <w:rFonts w:cs="Calibri Light"/>
                <w:sz w:val="20"/>
                <w:szCs w:val="20"/>
              </w:rPr>
              <w:t xml:space="preserve">Pro forma condensed statements of comprehensive income must be presented using the registrant's fiscal year end. If the most recent fiscal year end of any other entity involved in the transaction differs from the registrant's most recent fiscal year end by more than one fiscal quarter, the other entity's statement of comprehensive income must be brought up to within one fiscal quarter of the registrant's most recent fiscal year end, if practicable. This updating could be accomplished by adding subsequent interim period results to the most recent fiscal year end information and deducting the comparable preceding year interim period results. Disclosure must be made of the periods combined and of the sales or revenues and income for </w:t>
            </w:r>
            <w:r w:rsidRPr="00B13C1F">
              <w:rPr>
                <w:rFonts w:cs="Calibri Light"/>
                <w:sz w:val="20"/>
                <w:szCs w:val="20"/>
              </w:rPr>
              <w:lastRenderedPageBreak/>
              <w:t>any periods which were excluded from or included more than once in the condensed pro forma statement of comprehensive income (e.g., an interim period that is included both as part of the fiscal year and the subsequent interim period).</w:t>
            </w:r>
          </w:p>
        </w:tc>
        <w:tc>
          <w:tcPr>
            <w:tcW w:w="1209" w:type="dxa"/>
            <w:gridSpan w:val="2"/>
            <w:tcBorders>
              <w:top w:val="single" w:sz="4" w:space="0" w:color="auto"/>
            </w:tcBorders>
            <w:vAlign w:val="bottom"/>
          </w:tcPr>
          <w:p w14:paraId="12E98FED"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5432661"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C242252" w14:textId="77777777" w:rsidR="006F3A86" w:rsidRPr="004005A4" w:rsidRDefault="006F3A86" w:rsidP="006F3A86">
            <w:pPr>
              <w:pStyle w:val="levela"/>
              <w:spacing w:before="120" w:after="120" w:line="240" w:lineRule="atLeast"/>
              <w:jc w:val="center"/>
              <w:rPr>
                <w:rFonts w:cs="Calibri Light"/>
                <w:b/>
                <w:sz w:val="20"/>
                <w:szCs w:val="20"/>
              </w:rPr>
            </w:pPr>
          </w:p>
        </w:tc>
      </w:tr>
      <w:tr w:rsidR="00D54205" w:rsidRPr="004005A4" w14:paraId="6BDE3B3D" w14:textId="77777777" w:rsidTr="00CC36C1">
        <w:trPr>
          <w:gridBefore w:val="1"/>
          <w:wBefore w:w="17" w:type="dxa"/>
        </w:trPr>
        <w:tc>
          <w:tcPr>
            <w:tcW w:w="7483" w:type="dxa"/>
            <w:gridSpan w:val="2"/>
          </w:tcPr>
          <w:p w14:paraId="0D3B6F78" w14:textId="750EAC38" w:rsidR="00D54205" w:rsidRPr="004005A4" w:rsidRDefault="00D54205" w:rsidP="002318AC">
            <w:pPr>
              <w:pStyle w:val="level2"/>
              <w:tabs>
                <w:tab w:val="clear" w:pos="576"/>
                <w:tab w:val="clear" w:pos="1152"/>
              </w:tabs>
              <w:spacing w:after="120" w:line="240" w:lineRule="atLeast"/>
              <w:ind w:left="502" w:firstLine="1"/>
              <w:rPr>
                <w:rFonts w:cs="Calibri Light"/>
                <w:sz w:val="20"/>
                <w:szCs w:val="20"/>
              </w:rPr>
            </w:pPr>
            <w:r w:rsidRPr="00B13C1F">
              <w:rPr>
                <w:rFonts w:cs="Calibri Light"/>
                <w:sz w:val="20"/>
                <w:szCs w:val="20"/>
              </w:rPr>
              <w:t xml:space="preserve">In circumstances </w:t>
            </w:r>
            <w:r>
              <w:rPr>
                <w:rFonts w:cs="Calibri Light"/>
                <w:sz w:val="20"/>
                <w:szCs w:val="20"/>
              </w:rPr>
              <w:t>in which</w:t>
            </w:r>
            <w:r w:rsidRPr="00B13C1F">
              <w:rPr>
                <w:rFonts w:cs="Calibri Light"/>
                <w:sz w:val="20"/>
                <w:szCs w:val="20"/>
              </w:rPr>
              <w:t xml:space="preserve"> different fiscal year ends exist, </w:t>
            </w:r>
            <w:r>
              <w:rPr>
                <w:rFonts w:cs="Calibri Light"/>
                <w:sz w:val="20"/>
                <w:szCs w:val="20"/>
              </w:rPr>
              <w:t xml:space="preserve">Rule </w:t>
            </w:r>
            <w:r w:rsidRPr="00B13C1F">
              <w:rPr>
                <w:rFonts w:cs="Calibri Light"/>
                <w:sz w:val="20"/>
                <w:szCs w:val="20"/>
              </w:rPr>
              <w:t>3-12 may require a registrant to include in the pro forma financial information an acquired or to be acquired foreign business historical period that would be more current than the periods included in the required historical financial statements of the foreign business.</w:t>
            </w:r>
          </w:p>
        </w:tc>
        <w:tc>
          <w:tcPr>
            <w:tcW w:w="1209" w:type="dxa"/>
            <w:gridSpan w:val="2"/>
            <w:tcBorders>
              <w:top w:val="single" w:sz="4" w:space="0" w:color="auto"/>
            </w:tcBorders>
            <w:vAlign w:val="bottom"/>
          </w:tcPr>
          <w:p w14:paraId="3C3009F0" w14:textId="77777777" w:rsidR="00D54205" w:rsidRPr="004005A4" w:rsidRDefault="00D54205" w:rsidP="006F3A86">
            <w:pPr>
              <w:pStyle w:val="levela"/>
              <w:spacing w:before="120" w:after="120" w:line="240" w:lineRule="atLeast"/>
              <w:jc w:val="center"/>
              <w:rPr>
                <w:rFonts w:cs="Calibri Light"/>
                <w:b/>
                <w:sz w:val="20"/>
                <w:szCs w:val="20"/>
              </w:rPr>
            </w:pPr>
          </w:p>
        </w:tc>
        <w:tc>
          <w:tcPr>
            <w:tcW w:w="236" w:type="dxa"/>
            <w:gridSpan w:val="3"/>
            <w:vAlign w:val="bottom"/>
          </w:tcPr>
          <w:p w14:paraId="19FA10A2" w14:textId="77777777" w:rsidR="00D54205" w:rsidRPr="004005A4" w:rsidRDefault="00D54205"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95CE587" w14:textId="77777777" w:rsidR="00D54205" w:rsidRPr="004005A4" w:rsidRDefault="00D54205" w:rsidP="006F3A86">
            <w:pPr>
              <w:pStyle w:val="levela"/>
              <w:spacing w:before="120" w:after="120" w:line="240" w:lineRule="atLeast"/>
              <w:jc w:val="center"/>
              <w:rPr>
                <w:rFonts w:cs="Calibri Light"/>
                <w:b/>
                <w:sz w:val="20"/>
                <w:szCs w:val="20"/>
              </w:rPr>
            </w:pPr>
          </w:p>
        </w:tc>
      </w:tr>
      <w:tr w:rsidR="006F3A86" w:rsidRPr="004005A4" w14:paraId="0BA84BC7" w14:textId="77777777" w:rsidTr="00CC36C1">
        <w:trPr>
          <w:gridBefore w:val="1"/>
          <w:wBefore w:w="17" w:type="dxa"/>
        </w:trPr>
        <w:tc>
          <w:tcPr>
            <w:tcW w:w="7483" w:type="dxa"/>
            <w:gridSpan w:val="2"/>
          </w:tcPr>
          <w:p w14:paraId="4C375D1E" w14:textId="2F2303F1"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(4)</w:t>
            </w:r>
            <w:r w:rsidRPr="004005A4">
              <w:rPr>
                <w:rFonts w:cs="Calibri Light"/>
                <w:sz w:val="20"/>
                <w:szCs w:val="20"/>
              </w:rPr>
              <w:tab/>
              <w:t xml:space="preserve">Whenever unusual events enter into the results shown for the latest year, the effect of such unusual events should be disclosed and consideration should be given to presenting a pro forma condensed statement of comprehensive income for the most recent 12-month period in addition to those required in </w:t>
            </w:r>
            <w:r>
              <w:rPr>
                <w:rFonts w:cs="Calibri Light"/>
                <w:sz w:val="20"/>
                <w:szCs w:val="20"/>
              </w:rPr>
              <w:t>Rule 11-02(</w:t>
            </w:r>
            <w:r w:rsidRPr="004005A4">
              <w:rPr>
                <w:rFonts w:cs="Calibri Light"/>
                <w:sz w:val="20"/>
                <w:szCs w:val="20"/>
              </w:rPr>
              <w:t>c</w:t>
            </w:r>
            <w:r>
              <w:rPr>
                <w:rFonts w:cs="Calibri Light"/>
                <w:sz w:val="20"/>
                <w:szCs w:val="20"/>
              </w:rPr>
              <w:t>)</w:t>
            </w:r>
            <w:r w:rsidRPr="004005A4">
              <w:rPr>
                <w:rFonts w:cs="Calibri Light"/>
                <w:sz w:val="20"/>
                <w:szCs w:val="20"/>
              </w:rPr>
              <w:t>(2)(i), if the most recent 12-month period is more representative of normal operations.</w:t>
            </w:r>
          </w:p>
        </w:tc>
        <w:tc>
          <w:tcPr>
            <w:tcW w:w="1209" w:type="dxa"/>
            <w:gridSpan w:val="2"/>
            <w:tcBorders>
              <w:top w:val="single" w:sz="4" w:space="0" w:color="auto"/>
              <w:bottom w:val="single" w:sz="4" w:space="0" w:color="auto"/>
            </w:tcBorders>
            <w:vAlign w:val="bottom"/>
          </w:tcPr>
          <w:p w14:paraId="02FC190D"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C59B056"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7CE97F4"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FE5A4A9" w14:textId="77777777" w:rsidTr="00CC36C1">
        <w:trPr>
          <w:gridBefore w:val="1"/>
          <w:wBefore w:w="17" w:type="dxa"/>
        </w:trPr>
        <w:tc>
          <w:tcPr>
            <w:tcW w:w="7483" w:type="dxa"/>
            <w:gridSpan w:val="2"/>
          </w:tcPr>
          <w:p w14:paraId="09445AF7" w14:textId="77777777" w:rsidR="006F3A86" w:rsidRPr="004005A4" w:rsidRDefault="006F3A86" w:rsidP="006F3A86">
            <w:pPr>
              <w:pStyle w:val="levela"/>
              <w:spacing w:before="120" w:after="120" w:line="240" w:lineRule="atLeast"/>
              <w:ind w:left="0" w:firstLine="0"/>
              <w:rPr>
                <w:rFonts w:cs="Calibri Light"/>
                <w:sz w:val="20"/>
                <w:szCs w:val="20"/>
              </w:rPr>
            </w:pPr>
            <w:r w:rsidRPr="004005A4">
              <w:rPr>
                <w:rFonts w:cs="Calibri Light"/>
                <w:b/>
                <w:sz w:val="20"/>
                <w:szCs w:val="20"/>
              </w:rPr>
              <w:t xml:space="preserve">Rule 11-03 </w:t>
            </w:r>
            <w:r w:rsidRPr="004005A4">
              <w:rPr>
                <w:rFonts w:cs="Calibri Light"/>
                <w:sz w:val="20"/>
                <w:szCs w:val="20"/>
              </w:rPr>
              <w:t xml:space="preserve">— </w:t>
            </w:r>
            <w:r w:rsidRPr="004005A4">
              <w:rPr>
                <w:rFonts w:cs="Calibri Light"/>
                <w:b/>
                <w:sz w:val="20"/>
                <w:szCs w:val="20"/>
              </w:rPr>
              <w:t xml:space="preserve">Presentation of financial forecast.  </w:t>
            </w:r>
          </w:p>
        </w:tc>
        <w:tc>
          <w:tcPr>
            <w:tcW w:w="1209" w:type="dxa"/>
            <w:gridSpan w:val="2"/>
            <w:vAlign w:val="bottom"/>
          </w:tcPr>
          <w:p w14:paraId="1E62646A"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FB2F034"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4EB5CF7C"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9E733B1" w14:textId="77777777" w:rsidTr="00CC36C1">
        <w:trPr>
          <w:gridBefore w:val="1"/>
          <w:wBefore w:w="17" w:type="dxa"/>
        </w:trPr>
        <w:tc>
          <w:tcPr>
            <w:tcW w:w="7483" w:type="dxa"/>
            <w:gridSpan w:val="2"/>
          </w:tcPr>
          <w:p w14:paraId="17EAAE5B" w14:textId="4BD3BE80" w:rsidR="006F3A86" w:rsidRPr="004005A4" w:rsidRDefault="006F3A86" w:rsidP="006F3A86">
            <w:pPr>
              <w:pStyle w:val="level1"/>
              <w:tabs>
                <w:tab w:val="clear" w:pos="576"/>
              </w:tabs>
              <w:spacing w:after="120" w:line="240" w:lineRule="atLeast"/>
              <w:ind w:left="232" w:hanging="232"/>
              <w:rPr>
                <w:rFonts w:cs="Calibri Light"/>
                <w:sz w:val="20"/>
                <w:szCs w:val="20"/>
              </w:rPr>
            </w:pPr>
            <w:r w:rsidRPr="004005A4">
              <w:rPr>
                <w:rFonts w:cs="Calibri Light"/>
                <w:sz w:val="20"/>
                <w:szCs w:val="20"/>
              </w:rPr>
              <w:t>a.</w:t>
            </w:r>
            <w:r w:rsidRPr="004005A4">
              <w:rPr>
                <w:rFonts w:cs="Calibri Light"/>
                <w:sz w:val="20"/>
                <w:szCs w:val="20"/>
              </w:rPr>
              <w:tab/>
              <w:t>A financial forecast may be filed in lieu of the pro forma condensed statements of comprehensive income required by Rule 11-02(</w:t>
            </w:r>
            <w:r>
              <w:rPr>
                <w:rFonts w:cs="Calibri Light"/>
                <w:sz w:val="20"/>
                <w:szCs w:val="20"/>
              </w:rPr>
              <w:t>a</w:t>
            </w:r>
            <w:r w:rsidRPr="004005A4">
              <w:rPr>
                <w:rFonts w:cs="Calibri Light"/>
                <w:sz w:val="20"/>
                <w:szCs w:val="20"/>
              </w:rPr>
              <w:t>)(1).</w:t>
            </w:r>
          </w:p>
        </w:tc>
        <w:tc>
          <w:tcPr>
            <w:tcW w:w="1209" w:type="dxa"/>
            <w:gridSpan w:val="2"/>
            <w:vAlign w:val="bottom"/>
          </w:tcPr>
          <w:p w14:paraId="212F8D10"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8435489"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0A0EEEA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F49A794" w14:textId="77777777" w:rsidTr="00CC36C1">
        <w:trPr>
          <w:gridBefore w:val="1"/>
          <w:wBefore w:w="17" w:type="dxa"/>
        </w:trPr>
        <w:tc>
          <w:tcPr>
            <w:tcW w:w="7483" w:type="dxa"/>
            <w:gridSpan w:val="2"/>
          </w:tcPr>
          <w:p w14:paraId="35B70D21" w14:textId="583BD134"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(1)</w:t>
            </w:r>
            <w:r w:rsidRPr="004005A4">
              <w:rPr>
                <w:rFonts w:cs="Calibri Light"/>
                <w:sz w:val="20"/>
                <w:szCs w:val="20"/>
              </w:rPr>
              <w:tab/>
              <w:t>The financial forecast should cover a period of at least 12 months from the latest of (</w:t>
            </w:r>
            <w:r>
              <w:rPr>
                <w:rFonts w:cs="Calibri Light"/>
                <w:sz w:val="20"/>
                <w:szCs w:val="20"/>
              </w:rPr>
              <w:t>i</w:t>
            </w:r>
            <w:r w:rsidRPr="004005A4">
              <w:rPr>
                <w:rFonts w:cs="Calibri Light"/>
                <w:sz w:val="20"/>
                <w:szCs w:val="20"/>
              </w:rPr>
              <w:t>) the most recent balance sheet included in the filing, or (</w:t>
            </w:r>
            <w:r>
              <w:rPr>
                <w:rFonts w:cs="Calibri Light"/>
                <w:sz w:val="20"/>
                <w:szCs w:val="20"/>
              </w:rPr>
              <w:t>ii</w:t>
            </w:r>
            <w:r w:rsidRPr="004005A4">
              <w:rPr>
                <w:rFonts w:cs="Calibri Light"/>
                <w:sz w:val="20"/>
                <w:szCs w:val="20"/>
              </w:rPr>
              <w:t>) the consummation date or estimated consummation date of the transaction.</w:t>
            </w:r>
          </w:p>
        </w:tc>
        <w:tc>
          <w:tcPr>
            <w:tcW w:w="1209" w:type="dxa"/>
            <w:gridSpan w:val="2"/>
            <w:tcBorders>
              <w:bottom w:val="single" w:sz="6" w:space="0" w:color="auto"/>
            </w:tcBorders>
            <w:vAlign w:val="bottom"/>
          </w:tcPr>
          <w:p w14:paraId="4A7F8055"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86B1273"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5EAF89E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43E51E3" w14:textId="77777777" w:rsidTr="00CC36C1">
        <w:trPr>
          <w:gridBefore w:val="1"/>
          <w:wBefore w:w="17" w:type="dxa"/>
        </w:trPr>
        <w:tc>
          <w:tcPr>
            <w:tcW w:w="7483" w:type="dxa"/>
            <w:gridSpan w:val="2"/>
          </w:tcPr>
          <w:p w14:paraId="17AE91A4" w14:textId="63442D95"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(2)</w:t>
            </w:r>
            <w:r w:rsidRPr="004005A4">
              <w:rPr>
                <w:rFonts w:cs="Calibri Light"/>
                <w:sz w:val="20"/>
                <w:szCs w:val="20"/>
              </w:rPr>
              <w:tab/>
              <w:t>The forecasted statement of comprehensive income should be presented in the same degree of detail as the pro forma condensed statement of comprehensive income required by Rule 11-02(</w:t>
            </w:r>
            <w:r>
              <w:rPr>
                <w:rFonts w:cs="Calibri Light"/>
                <w:sz w:val="20"/>
                <w:szCs w:val="20"/>
              </w:rPr>
              <w:t>a</w:t>
            </w:r>
            <w:r w:rsidRPr="004005A4">
              <w:rPr>
                <w:rFonts w:cs="Calibri Light"/>
                <w:sz w:val="20"/>
                <w:szCs w:val="20"/>
              </w:rPr>
              <w:t>)(3).</w:t>
            </w:r>
          </w:p>
        </w:tc>
        <w:tc>
          <w:tcPr>
            <w:tcW w:w="1209" w:type="dxa"/>
            <w:gridSpan w:val="2"/>
            <w:tcBorders>
              <w:top w:val="single" w:sz="6" w:space="0" w:color="auto"/>
            </w:tcBorders>
            <w:vAlign w:val="bottom"/>
          </w:tcPr>
          <w:p w14:paraId="1F15EEE3"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77A37A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16B6F76A"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A99212D" w14:textId="77777777" w:rsidTr="00CC36C1">
        <w:trPr>
          <w:gridBefore w:val="1"/>
          <w:wBefore w:w="17" w:type="dxa"/>
        </w:trPr>
        <w:tc>
          <w:tcPr>
            <w:tcW w:w="7483" w:type="dxa"/>
            <w:gridSpan w:val="2"/>
          </w:tcPr>
          <w:p w14:paraId="65D823AA" w14:textId="77777777"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(3)</w:t>
            </w:r>
            <w:r w:rsidRPr="004005A4">
              <w:rPr>
                <w:rFonts w:cs="Calibri Light"/>
                <w:sz w:val="20"/>
                <w:szCs w:val="20"/>
              </w:rPr>
              <w:tab/>
              <w:t>Assumptions particularly relevant to the transaction and their effects should be clearly stated.</w:t>
            </w:r>
          </w:p>
        </w:tc>
        <w:tc>
          <w:tcPr>
            <w:tcW w:w="1209" w:type="dxa"/>
            <w:gridSpan w:val="2"/>
            <w:tcBorders>
              <w:top w:val="single" w:sz="4" w:space="0" w:color="auto"/>
            </w:tcBorders>
            <w:vAlign w:val="bottom"/>
          </w:tcPr>
          <w:p w14:paraId="2FDD256C"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1F172F4"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6D3E8DC"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5466328C" w14:textId="77777777" w:rsidTr="00CC36C1">
        <w:trPr>
          <w:gridBefore w:val="1"/>
          <w:wBefore w:w="17" w:type="dxa"/>
        </w:trPr>
        <w:tc>
          <w:tcPr>
            <w:tcW w:w="7483" w:type="dxa"/>
            <w:gridSpan w:val="2"/>
          </w:tcPr>
          <w:p w14:paraId="5F9AB2B5" w14:textId="77777777" w:rsidR="006F3A86" w:rsidRPr="004005A4" w:rsidRDefault="006F3A86" w:rsidP="006F3A86">
            <w:pPr>
              <w:pStyle w:val="level2"/>
              <w:tabs>
                <w:tab w:val="clear" w:pos="576"/>
                <w:tab w:val="clear" w:pos="1152"/>
              </w:tabs>
              <w:spacing w:after="120" w:line="240" w:lineRule="atLeast"/>
              <w:ind w:left="502" w:hanging="270"/>
              <w:rPr>
                <w:rFonts w:cs="Calibri Light"/>
                <w:sz w:val="20"/>
                <w:szCs w:val="20"/>
              </w:rPr>
            </w:pPr>
            <w:r w:rsidRPr="004005A4">
              <w:rPr>
                <w:rFonts w:cs="Calibri Light"/>
                <w:sz w:val="20"/>
                <w:szCs w:val="20"/>
              </w:rPr>
              <w:t>(4)</w:t>
            </w:r>
            <w:r w:rsidRPr="004005A4">
              <w:rPr>
                <w:rFonts w:cs="Calibri Light"/>
                <w:sz w:val="20"/>
                <w:szCs w:val="20"/>
              </w:rPr>
              <w:tab/>
              <w:t>Historical condensed financial information of the registrant and the business acquired or to be acquired, if any, should be presented for at least a recent 12-month period in parallel columns with the financial forecast.</w:t>
            </w:r>
          </w:p>
        </w:tc>
        <w:tc>
          <w:tcPr>
            <w:tcW w:w="1209" w:type="dxa"/>
            <w:gridSpan w:val="2"/>
            <w:tcBorders>
              <w:top w:val="single" w:sz="6" w:space="0" w:color="auto"/>
              <w:bottom w:val="single" w:sz="6" w:space="0" w:color="auto"/>
            </w:tcBorders>
            <w:vAlign w:val="bottom"/>
          </w:tcPr>
          <w:p w14:paraId="4CC6B13B"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D89F85A"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6" w:space="0" w:color="auto"/>
            </w:tcBorders>
            <w:vAlign w:val="bottom"/>
          </w:tcPr>
          <w:p w14:paraId="31097F52"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1900A06" w14:textId="77777777" w:rsidTr="00CC36C1">
        <w:trPr>
          <w:gridBefore w:val="1"/>
          <w:wBefore w:w="17" w:type="dxa"/>
        </w:trPr>
        <w:tc>
          <w:tcPr>
            <w:tcW w:w="7483" w:type="dxa"/>
            <w:gridSpan w:val="2"/>
          </w:tcPr>
          <w:p w14:paraId="6FAE02D1" w14:textId="12CE5A1F" w:rsidR="006F3A86" w:rsidRPr="004005A4" w:rsidRDefault="006F3A86" w:rsidP="006F3A86">
            <w:pPr>
              <w:pStyle w:val="level1"/>
              <w:tabs>
                <w:tab w:val="clear" w:pos="576"/>
              </w:tabs>
              <w:spacing w:after="120" w:line="240" w:lineRule="atLeast"/>
              <w:ind w:left="232" w:hanging="232"/>
              <w:rPr>
                <w:rFonts w:cs="Calibri Light"/>
                <w:sz w:val="20"/>
                <w:szCs w:val="20"/>
              </w:rPr>
            </w:pPr>
            <w:r w:rsidRPr="004005A4">
              <w:rPr>
                <w:rFonts w:cs="Calibri Light"/>
                <w:sz w:val="20"/>
                <w:szCs w:val="20"/>
              </w:rPr>
              <w:t>b.</w:t>
            </w:r>
            <w:r w:rsidRPr="004005A4">
              <w:rPr>
                <w:rFonts w:cs="Calibri Light"/>
                <w:sz w:val="20"/>
                <w:szCs w:val="20"/>
              </w:rPr>
              <w:tab/>
            </w:r>
            <w:r>
              <w:rPr>
                <w:rFonts w:cs="Calibri Light"/>
                <w:sz w:val="20"/>
                <w:szCs w:val="20"/>
              </w:rPr>
              <w:t>Such</w:t>
            </w:r>
            <w:r w:rsidRPr="004005A4">
              <w:rPr>
                <w:rFonts w:cs="Calibri Light"/>
                <w:sz w:val="20"/>
                <w:szCs w:val="20"/>
              </w:rPr>
              <w:t xml:space="preserve"> financial forecast should be presented in accordance with the guidelines established by the AICPA.</w:t>
            </w:r>
          </w:p>
        </w:tc>
        <w:tc>
          <w:tcPr>
            <w:tcW w:w="1209" w:type="dxa"/>
            <w:gridSpan w:val="2"/>
            <w:tcBorders>
              <w:top w:val="single" w:sz="6" w:space="0" w:color="auto"/>
              <w:bottom w:val="single" w:sz="4" w:space="0" w:color="auto"/>
            </w:tcBorders>
            <w:vAlign w:val="bottom"/>
          </w:tcPr>
          <w:p w14:paraId="01AF039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2296E7B"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7A80281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76B802A" w14:textId="77777777" w:rsidTr="00CC36C1">
        <w:trPr>
          <w:gridBefore w:val="1"/>
          <w:wBefore w:w="17" w:type="dxa"/>
        </w:trPr>
        <w:tc>
          <w:tcPr>
            <w:tcW w:w="7483" w:type="dxa"/>
            <w:gridSpan w:val="2"/>
          </w:tcPr>
          <w:p w14:paraId="2DDD5D3A" w14:textId="77777777" w:rsidR="006F3A86" w:rsidRPr="004005A4" w:rsidRDefault="006F3A86" w:rsidP="006F3A86">
            <w:pPr>
              <w:pStyle w:val="level1"/>
              <w:tabs>
                <w:tab w:val="clear" w:pos="576"/>
              </w:tabs>
              <w:spacing w:after="120" w:line="240" w:lineRule="atLeast"/>
              <w:ind w:left="232" w:hanging="232"/>
              <w:rPr>
                <w:rFonts w:cs="Calibri Light"/>
                <w:sz w:val="20"/>
                <w:szCs w:val="20"/>
              </w:rPr>
            </w:pPr>
            <w:r w:rsidRPr="004005A4">
              <w:rPr>
                <w:rFonts w:cs="Calibri Light"/>
                <w:sz w:val="20"/>
                <w:szCs w:val="20"/>
              </w:rPr>
              <w:t>c.</w:t>
            </w:r>
            <w:r w:rsidRPr="004005A4">
              <w:rPr>
                <w:rFonts w:cs="Calibri Light"/>
                <w:sz w:val="20"/>
                <w:szCs w:val="20"/>
              </w:rPr>
              <w:tab/>
              <w:t>Forecasted EPS data should be substituted for pro forma EPS data.</w:t>
            </w:r>
          </w:p>
        </w:tc>
        <w:tc>
          <w:tcPr>
            <w:tcW w:w="1209" w:type="dxa"/>
            <w:gridSpan w:val="2"/>
            <w:tcBorders>
              <w:top w:val="single" w:sz="4" w:space="0" w:color="auto"/>
              <w:bottom w:val="single" w:sz="4" w:space="0" w:color="auto"/>
            </w:tcBorders>
            <w:vAlign w:val="bottom"/>
          </w:tcPr>
          <w:p w14:paraId="204E33C4"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324BACB"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31F00B8"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74FA000" w14:textId="77777777" w:rsidTr="00130BB0">
        <w:trPr>
          <w:gridBefore w:val="1"/>
          <w:wBefore w:w="17" w:type="dxa"/>
        </w:trPr>
        <w:tc>
          <w:tcPr>
            <w:tcW w:w="7483" w:type="dxa"/>
            <w:gridSpan w:val="2"/>
          </w:tcPr>
          <w:p w14:paraId="7E76A58E" w14:textId="28C6D7C0" w:rsidR="006F3A86" w:rsidRPr="00A14B03" w:rsidRDefault="006F3A86" w:rsidP="006F3A86">
            <w:pPr>
              <w:pStyle w:val="level1"/>
              <w:tabs>
                <w:tab w:val="clear" w:pos="576"/>
              </w:tabs>
              <w:spacing w:after="120" w:line="240" w:lineRule="atLeast"/>
              <w:ind w:left="232" w:hanging="232"/>
              <w:rPr>
                <w:rFonts w:cs="Calibri Light"/>
                <w:sz w:val="20"/>
                <w:szCs w:val="20"/>
              </w:rPr>
            </w:pPr>
            <w:r>
              <w:rPr>
                <w:rFonts w:cs="Calibri Light"/>
                <w:sz w:val="20"/>
                <w:szCs w:val="20"/>
              </w:rPr>
              <w:t>d.</w:t>
            </w:r>
            <w:r>
              <w:rPr>
                <w:rFonts w:cs="Calibri Light"/>
                <w:sz w:val="20"/>
                <w:szCs w:val="20"/>
              </w:rPr>
              <w:tab/>
            </w:r>
            <w:r w:rsidRPr="00A14B03">
              <w:rPr>
                <w:rFonts w:cs="Calibri Light"/>
                <w:sz w:val="20"/>
                <w:szCs w:val="20"/>
              </w:rPr>
              <w:t>Rule 11-03 does not permit the filing of a financial forecast in lieu of any pro forma information required by GAAP</w:t>
            </w:r>
            <w:r>
              <w:rPr>
                <w:rFonts w:cs="Calibri Light"/>
                <w:sz w:val="20"/>
                <w:szCs w:val="20"/>
              </w:rPr>
              <w:t xml:space="preserve"> or IFRS-IASB</w:t>
            </w:r>
            <w:r w:rsidRPr="00A14B03">
              <w:rPr>
                <w:rFonts w:cs="Calibri Light"/>
                <w:sz w:val="20"/>
                <w:szCs w:val="20"/>
              </w:rPr>
              <w:t>.</w:t>
            </w:r>
          </w:p>
        </w:tc>
        <w:tc>
          <w:tcPr>
            <w:tcW w:w="1209" w:type="dxa"/>
            <w:gridSpan w:val="2"/>
            <w:tcBorders>
              <w:top w:val="single" w:sz="4" w:space="0" w:color="auto"/>
              <w:bottom w:val="single" w:sz="4" w:space="0" w:color="auto"/>
            </w:tcBorders>
            <w:vAlign w:val="bottom"/>
          </w:tcPr>
          <w:p w14:paraId="28BA3259"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0A2A3A41"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10992C1"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C4447D" w:rsidRPr="004005A4" w14:paraId="068D0D57" w14:textId="77777777" w:rsidTr="00130BB0">
        <w:trPr>
          <w:gridBefore w:val="1"/>
          <w:wBefore w:w="17" w:type="dxa"/>
        </w:trPr>
        <w:tc>
          <w:tcPr>
            <w:tcW w:w="7483" w:type="dxa"/>
            <w:gridSpan w:val="2"/>
          </w:tcPr>
          <w:p w14:paraId="26AAF481" w14:textId="59FA8453" w:rsidR="00C4447D" w:rsidRDefault="00C173AF" w:rsidP="006F3A86">
            <w:pPr>
              <w:pStyle w:val="level1"/>
              <w:spacing w:after="120" w:line="240" w:lineRule="atLeast"/>
              <w:ind w:left="0" w:firstLine="0"/>
              <w:rPr>
                <w:rFonts w:cs="Calibri Light"/>
                <w:b/>
                <w:bCs/>
                <w:sz w:val="20"/>
                <w:szCs w:val="20"/>
              </w:rPr>
            </w:pPr>
            <w:r w:rsidRPr="00E70253">
              <w:rPr>
                <w:rFonts w:cs="Calibri Light"/>
                <w:i/>
                <w:iCs/>
                <w:sz w:val="20"/>
                <w:szCs w:val="20"/>
              </w:rPr>
              <w:t>Note: Preparation and inclusion of financial forecast in SEC filings is rare.</w:t>
            </w:r>
          </w:p>
        </w:tc>
        <w:tc>
          <w:tcPr>
            <w:tcW w:w="1209" w:type="dxa"/>
            <w:gridSpan w:val="2"/>
            <w:tcBorders>
              <w:top w:val="single" w:sz="4" w:space="0" w:color="auto"/>
            </w:tcBorders>
            <w:vAlign w:val="bottom"/>
          </w:tcPr>
          <w:p w14:paraId="0772C871" w14:textId="77777777" w:rsidR="00C4447D" w:rsidRPr="004005A4" w:rsidRDefault="00C4447D"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598046C7" w14:textId="77777777" w:rsidR="00C4447D" w:rsidRPr="004005A4" w:rsidRDefault="00C4447D"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928352F" w14:textId="77777777" w:rsidR="00C4447D" w:rsidRPr="004005A4" w:rsidRDefault="00C4447D" w:rsidP="006F3A86">
            <w:pPr>
              <w:pStyle w:val="levela"/>
              <w:keepNext/>
              <w:spacing w:before="120" w:after="120" w:line="240" w:lineRule="atLeast"/>
              <w:jc w:val="center"/>
              <w:rPr>
                <w:rFonts w:cs="Calibri Light"/>
                <w:b/>
                <w:sz w:val="20"/>
                <w:szCs w:val="20"/>
              </w:rPr>
            </w:pPr>
          </w:p>
        </w:tc>
      </w:tr>
      <w:tr w:rsidR="006F3A86" w:rsidRPr="004005A4" w14:paraId="34B8A519" w14:textId="77777777" w:rsidTr="00130BB0">
        <w:trPr>
          <w:gridBefore w:val="1"/>
          <w:wBefore w:w="17" w:type="dxa"/>
        </w:trPr>
        <w:tc>
          <w:tcPr>
            <w:tcW w:w="7483" w:type="dxa"/>
            <w:gridSpan w:val="2"/>
          </w:tcPr>
          <w:p w14:paraId="62085C4F" w14:textId="21EE762D" w:rsidR="006F3A86" w:rsidRPr="004005A4" w:rsidRDefault="006F3A86" w:rsidP="006F3A86">
            <w:pPr>
              <w:pStyle w:val="level1"/>
              <w:spacing w:after="120" w:line="240" w:lineRule="atLeast"/>
              <w:ind w:left="0" w:firstLine="0"/>
              <w:rPr>
                <w:rFonts w:cs="Calibri Light"/>
                <w:b/>
                <w:bCs/>
                <w:sz w:val="20"/>
                <w:szCs w:val="20"/>
              </w:rPr>
            </w:pPr>
            <w:r>
              <w:rPr>
                <w:rFonts w:cs="Calibri Light"/>
                <w:b/>
                <w:bCs/>
                <w:sz w:val="20"/>
                <w:szCs w:val="20"/>
              </w:rPr>
              <w:t>ARTICLE 12. FORM AND CONTENT OF SCHEDULES (see Rule 5-04)</w:t>
            </w:r>
          </w:p>
        </w:tc>
        <w:tc>
          <w:tcPr>
            <w:tcW w:w="1209" w:type="dxa"/>
            <w:gridSpan w:val="2"/>
            <w:tcBorders>
              <w:bottom w:val="single" w:sz="4" w:space="0" w:color="auto"/>
            </w:tcBorders>
            <w:vAlign w:val="bottom"/>
          </w:tcPr>
          <w:p w14:paraId="75CA1AA9"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656DCF09"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40AC8009"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284C0C73" w14:textId="77777777" w:rsidTr="00CC36C1">
        <w:trPr>
          <w:gridBefore w:val="1"/>
          <w:wBefore w:w="17" w:type="dxa"/>
        </w:trPr>
        <w:tc>
          <w:tcPr>
            <w:tcW w:w="7483" w:type="dxa"/>
            <w:gridSpan w:val="2"/>
          </w:tcPr>
          <w:p w14:paraId="4637766C" w14:textId="54455F0F" w:rsidR="006F3A86" w:rsidRPr="004005A4" w:rsidRDefault="006F3A86" w:rsidP="006F3A86">
            <w:pPr>
              <w:pStyle w:val="level1"/>
              <w:spacing w:after="120" w:line="240" w:lineRule="atLeast"/>
              <w:ind w:left="0" w:firstLine="0"/>
              <w:rPr>
                <w:rFonts w:cs="Calibri Light"/>
                <w:b/>
                <w:bCs/>
                <w:sz w:val="20"/>
                <w:szCs w:val="20"/>
              </w:rPr>
            </w:pPr>
            <w:r>
              <w:rPr>
                <w:rFonts w:cs="Calibri Light"/>
                <w:b/>
                <w:bCs/>
                <w:sz w:val="20"/>
                <w:szCs w:val="20"/>
              </w:rPr>
              <w:lastRenderedPageBreak/>
              <w:t>ARTICLE 13. FINANCIAL AND NON-FINANCIAL DISCLOSURES FOR CERTAIN SECURITIES REGISTERED OR BEING REGISTERED (see Rule 3-10)</w:t>
            </w:r>
          </w:p>
        </w:tc>
        <w:tc>
          <w:tcPr>
            <w:tcW w:w="1209" w:type="dxa"/>
            <w:gridSpan w:val="2"/>
            <w:tcBorders>
              <w:top w:val="single" w:sz="4" w:space="0" w:color="auto"/>
              <w:bottom w:val="single" w:sz="4" w:space="0" w:color="auto"/>
            </w:tcBorders>
            <w:vAlign w:val="bottom"/>
          </w:tcPr>
          <w:p w14:paraId="58C6E918"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61E93215"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A332CD7"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5572EC5C" w14:textId="77777777" w:rsidTr="00CC36C1">
        <w:trPr>
          <w:gridBefore w:val="1"/>
          <w:wBefore w:w="17" w:type="dxa"/>
        </w:trPr>
        <w:tc>
          <w:tcPr>
            <w:tcW w:w="7483" w:type="dxa"/>
            <w:gridSpan w:val="2"/>
          </w:tcPr>
          <w:p w14:paraId="23097B61" w14:textId="0BD9AE9B" w:rsidR="006F3A86" w:rsidRPr="004005A4" w:rsidRDefault="006F3A86" w:rsidP="006F3A86">
            <w:pPr>
              <w:pStyle w:val="level1"/>
              <w:spacing w:after="120" w:line="240" w:lineRule="atLeast"/>
              <w:ind w:left="0" w:firstLine="0"/>
              <w:rPr>
                <w:rFonts w:cs="Calibri Light"/>
                <w:b/>
                <w:bCs/>
                <w:sz w:val="20"/>
                <w:szCs w:val="20"/>
              </w:rPr>
            </w:pPr>
            <w:r w:rsidRPr="004005A4">
              <w:rPr>
                <w:rFonts w:cs="Calibri Light"/>
                <w:b/>
                <w:bCs/>
                <w:sz w:val="20"/>
                <w:szCs w:val="20"/>
              </w:rPr>
              <w:t>Rule 13-01 – Guarantors and issuers of guaranteed securities registered or being registered</w:t>
            </w:r>
          </w:p>
          <w:p w14:paraId="60A02EA8" w14:textId="198B3700" w:rsidR="006F3A86" w:rsidRPr="004005A4" w:rsidRDefault="006F3A86" w:rsidP="006F3A86">
            <w:pPr>
              <w:pStyle w:val="level1"/>
              <w:numPr>
                <w:ilvl w:val="0"/>
                <w:numId w:val="65"/>
              </w:numPr>
              <w:spacing w:after="120" w:line="240" w:lineRule="atLeast"/>
              <w:ind w:left="502"/>
              <w:rPr>
                <w:rFonts w:cs="Calibri Light"/>
                <w:b/>
                <w:bCs/>
                <w:sz w:val="20"/>
                <w:szCs w:val="20"/>
              </w:rPr>
            </w:pPr>
            <w:r w:rsidRPr="004005A4">
              <w:rPr>
                <w:rFonts w:cs="Calibri Light"/>
                <w:sz w:val="20"/>
                <w:szCs w:val="20"/>
              </w:rPr>
              <w:t xml:space="preserve">For each guaranteed security subject to Section 13(a) or 15(d) of the Securities Exchange Act of 1934, and for each guaranteed security the offer and sale of which is being registered under the Securities Act of 1933, for which the registrant is the parent company (as that term is defined in </w:t>
            </w:r>
            <w:r>
              <w:rPr>
                <w:rFonts w:cs="Calibri Light"/>
                <w:sz w:val="20"/>
                <w:szCs w:val="20"/>
              </w:rPr>
              <w:t xml:space="preserve">Rule </w:t>
            </w:r>
            <w:r w:rsidR="00603B75">
              <w:rPr>
                <w:rFonts w:cs="Calibri Light"/>
                <w:sz w:val="20"/>
                <w:szCs w:val="20"/>
              </w:rPr>
              <w:t>3-</w:t>
            </w:r>
            <w:r w:rsidRPr="004005A4">
              <w:rPr>
                <w:rFonts w:cs="Calibri Light"/>
                <w:sz w:val="20"/>
                <w:szCs w:val="20"/>
              </w:rPr>
              <w:t xml:space="preserve">10(b)(1)) of one or more subsidiaries that issue or guarantee the guaranteed security, provide the following disclosures to the extent material: </w:t>
            </w:r>
          </w:p>
        </w:tc>
        <w:tc>
          <w:tcPr>
            <w:tcW w:w="1209" w:type="dxa"/>
            <w:gridSpan w:val="2"/>
            <w:tcBorders>
              <w:top w:val="single" w:sz="4" w:space="0" w:color="auto"/>
            </w:tcBorders>
            <w:vAlign w:val="bottom"/>
          </w:tcPr>
          <w:p w14:paraId="7C2AC5EF"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0FF8590A"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57C87CF"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777F8F89" w14:textId="77777777" w:rsidTr="00CC36C1">
        <w:trPr>
          <w:gridBefore w:val="1"/>
          <w:wBefore w:w="17" w:type="dxa"/>
        </w:trPr>
        <w:tc>
          <w:tcPr>
            <w:tcW w:w="7483" w:type="dxa"/>
            <w:gridSpan w:val="2"/>
          </w:tcPr>
          <w:p w14:paraId="16D2F872" w14:textId="6A892CB9" w:rsidR="006F3A86" w:rsidRPr="004005A4" w:rsidRDefault="006F3A86" w:rsidP="006F3A86">
            <w:pPr>
              <w:pStyle w:val="level2"/>
              <w:numPr>
                <w:ilvl w:val="0"/>
                <w:numId w:val="114"/>
              </w:numPr>
              <w:tabs>
                <w:tab w:val="clear" w:pos="576"/>
                <w:tab w:val="clear" w:pos="1152"/>
              </w:tabs>
              <w:spacing w:after="120" w:line="240" w:lineRule="atLeast"/>
              <w:rPr>
                <w:rFonts w:cs="Calibri Light"/>
                <w:b/>
                <w:bCs/>
                <w:sz w:val="20"/>
                <w:szCs w:val="20"/>
              </w:rPr>
            </w:pPr>
            <w:r w:rsidRPr="004005A4">
              <w:rPr>
                <w:rFonts w:cs="Calibri Light"/>
                <w:sz w:val="20"/>
                <w:szCs w:val="20"/>
              </w:rPr>
              <w:t xml:space="preserve">A description of the issuers and guarantors of the guaranteed security; </w:t>
            </w:r>
          </w:p>
        </w:tc>
        <w:tc>
          <w:tcPr>
            <w:tcW w:w="1209" w:type="dxa"/>
            <w:gridSpan w:val="2"/>
            <w:tcBorders>
              <w:bottom w:val="single" w:sz="4" w:space="0" w:color="auto"/>
            </w:tcBorders>
            <w:vAlign w:val="bottom"/>
          </w:tcPr>
          <w:p w14:paraId="3691FE43"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19D429CF"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7B549907"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36F13CDB" w14:textId="77777777" w:rsidTr="00CC36C1">
        <w:trPr>
          <w:gridBefore w:val="1"/>
          <w:wBefore w:w="17" w:type="dxa"/>
        </w:trPr>
        <w:tc>
          <w:tcPr>
            <w:tcW w:w="7483" w:type="dxa"/>
            <w:gridSpan w:val="2"/>
          </w:tcPr>
          <w:p w14:paraId="0E44DDDF" w14:textId="793556E8" w:rsidR="006F3A86" w:rsidRPr="004005A4" w:rsidRDefault="006F3A86" w:rsidP="006F3A86">
            <w:pPr>
              <w:pStyle w:val="level2"/>
              <w:numPr>
                <w:ilvl w:val="0"/>
                <w:numId w:val="114"/>
              </w:numPr>
              <w:tabs>
                <w:tab w:val="clear" w:pos="576"/>
                <w:tab w:val="clear" w:pos="1152"/>
              </w:tabs>
              <w:spacing w:after="120" w:line="240" w:lineRule="atLeast"/>
              <w:rPr>
                <w:rFonts w:cs="Calibri Light"/>
                <w:sz w:val="20"/>
                <w:szCs w:val="20"/>
              </w:rPr>
            </w:pPr>
            <w:r w:rsidRPr="004005A4">
              <w:rPr>
                <w:rFonts w:cs="Calibri Light"/>
                <w:sz w:val="20"/>
                <w:szCs w:val="20"/>
              </w:rPr>
              <w:t xml:space="preserve"> A description of the terms and conditions of the guarantees, and how payments to holders of the guaranteed security may be affected by the composition of and relationships among the issuers, guarantors, and subsidiaries of the parent company that are not issuers or guarantors of the guaranteed security; </w:t>
            </w:r>
          </w:p>
        </w:tc>
        <w:tc>
          <w:tcPr>
            <w:tcW w:w="1209" w:type="dxa"/>
            <w:gridSpan w:val="2"/>
            <w:tcBorders>
              <w:top w:val="single" w:sz="4" w:space="0" w:color="auto"/>
              <w:bottom w:val="single" w:sz="4" w:space="0" w:color="auto"/>
            </w:tcBorders>
            <w:vAlign w:val="bottom"/>
          </w:tcPr>
          <w:p w14:paraId="0300780D"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440A3B80"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79980DB"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3EF2BC1A" w14:textId="77777777" w:rsidTr="00CC36C1">
        <w:trPr>
          <w:gridBefore w:val="1"/>
          <w:wBefore w:w="17" w:type="dxa"/>
        </w:trPr>
        <w:tc>
          <w:tcPr>
            <w:tcW w:w="7483" w:type="dxa"/>
            <w:gridSpan w:val="2"/>
          </w:tcPr>
          <w:p w14:paraId="6F84F0FB" w14:textId="7A8606BF" w:rsidR="006F3A86" w:rsidRPr="004005A4" w:rsidRDefault="006F3A86" w:rsidP="006F3A86">
            <w:pPr>
              <w:pStyle w:val="level2"/>
              <w:numPr>
                <w:ilvl w:val="0"/>
                <w:numId w:val="114"/>
              </w:numPr>
              <w:tabs>
                <w:tab w:val="clear" w:pos="576"/>
                <w:tab w:val="clear" w:pos="1152"/>
              </w:tabs>
              <w:spacing w:after="120" w:line="240" w:lineRule="atLeast"/>
              <w:rPr>
                <w:rFonts w:cs="Calibri Light"/>
                <w:sz w:val="20"/>
                <w:szCs w:val="20"/>
              </w:rPr>
            </w:pPr>
            <w:r w:rsidRPr="004005A4">
              <w:rPr>
                <w:rFonts w:cs="Calibri Light"/>
                <w:sz w:val="20"/>
                <w:szCs w:val="20"/>
              </w:rPr>
              <w:t xml:space="preserve">A description of other factors that may affect payments to holders of the guaranteed security, such as contractual or statutory restrictions on dividends, guarantee enforceability, or the rights of a noncontrolling interest holder; </w:t>
            </w:r>
          </w:p>
        </w:tc>
        <w:tc>
          <w:tcPr>
            <w:tcW w:w="1209" w:type="dxa"/>
            <w:gridSpan w:val="2"/>
            <w:tcBorders>
              <w:top w:val="single" w:sz="4" w:space="0" w:color="auto"/>
              <w:bottom w:val="single" w:sz="4" w:space="0" w:color="auto"/>
            </w:tcBorders>
            <w:vAlign w:val="bottom"/>
          </w:tcPr>
          <w:p w14:paraId="5A1DC238"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42B0D40E"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4C404A4"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4C291791" w14:textId="77777777" w:rsidTr="00CC36C1">
        <w:trPr>
          <w:gridBefore w:val="1"/>
          <w:wBefore w:w="17" w:type="dxa"/>
        </w:trPr>
        <w:tc>
          <w:tcPr>
            <w:tcW w:w="7483" w:type="dxa"/>
            <w:gridSpan w:val="2"/>
          </w:tcPr>
          <w:p w14:paraId="1C86BCC9" w14:textId="1164208B" w:rsidR="006F3A86" w:rsidRPr="004005A4" w:rsidRDefault="006F3A86" w:rsidP="006F3A86">
            <w:pPr>
              <w:pStyle w:val="level2"/>
              <w:numPr>
                <w:ilvl w:val="0"/>
                <w:numId w:val="114"/>
              </w:numPr>
              <w:tabs>
                <w:tab w:val="clear" w:pos="576"/>
                <w:tab w:val="clear" w:pos="1152"/>
              </w:tabs>
              <w:spacing w:after="120" w:line="240" w:lineRule="atLeast"/>
              <w:rPr>
                <w:rFonts w:cs="Calibri Light"/>
                <w:sz w:val="20"/>
                <w:szCs w:val="20"/>
              </w:rPr>
            </w:pPr>
            <w:r w:rsidRPr="004005A4">
              <w:rPr>
                <w:rFonts w:cs="Calibri Light"/>
                <w:sz w:val="20"/>
                <w:szCs w:val="20"/>
              </w:rPr>
              <w:t xml:space="preserve">Summarized financial information as specified in </w:t>
            </w:r>
            <w:r>
              <w:rPr>
                <w:rFonts w:cs="Calibri Light"/>
                <w:sz w:val="20"/>
                <w:szCs w:val="20"/>
              </w:rPr>
              <w:t xml:space="preserve">Rule </w:t>
            </w:r>
            <w:r w:rsidRPr="004005A4">
              <w:rPr>
                <w:rFonts w:cs="Calibri Light"/>
                <w:sz w:val="20"/>
                <w:szCs w:val="20"/>
              </w:rPr>
              <w:t xml:space="preserve">1-02(bb)(1) of each issuer and guarantor of the guaranteed security as follows, with an accompanying note that briefly describes the basis of presentation: </w:t>
            </w:r>
          </w:p>
        </w:tc>
        <w:tc>
          <w:tcPr>
            <w:tcW w:w="1209" w:type="dxa"/>
            <w:gridSpan w:val="2"/>
            <w:tcBorders>
              <w:top w:val="single" w:sz="4" w:space="0" w:color="auto"/>
              <w:bottom w:val="single" w:sz="4" w:space="0" w:color="auto"/>
            </w:tcBorders>
            <w:vAlign w:val="bottom"/>
          </w:tcPr>
          <w:p w14:paraId="78053190"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7A4B4EE4"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61E86E0"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04F75A8C" w14:textId="77777777" w:rsidTr="00CC36C1">
        <w:trPr>
          <w:gridBefore w:val="1"/>
          <w:wBefore w:w="17" w:type="dxa"/>
        </w:trPr>
        <w:tc>
          <w:tcPr>
            <w:tcW w:w="7483" w:type="dxa"/>
            <w:gridSpan w:val="2"/>
          </w:tcPr>
          <w:p w14:paraId="139DE631" w14:textId="29A45A01" w:rsidR="006F3A86" w:rsidRPr="004005A4" w:rsidRDefault="006F3A86" w:rsidP="006F3A86">
            <w:pPr>
              <w:pStyle w:val="level1"/>
              <w:tabs>
                <w:tab w:val="clear" w:pos="1152"/>
              </w:tabs>
              <w:spacing w:after="120" w:line="240" w:lineRule="atLeast"/>
              <w:ind w:left="1152" w:hanging="380"/>
              <w:rPr>
                <w:rFonts w:cs="Calibri Light"/>
                <w:sz w:val="20"/>
                <w:szCs w:val="20"/>
              </w:rPr>
            </w:pPr>
            <w:r w:rsidRPr="004005A4">
              <w:rPr>
                <w:rFonts w:cs="Calibri Light"/>
                <w:sz w:val="20"/>
                <w:szCs w:val="20"/>
              </w:rPr>
              <w:t>(i)</w:t>
            </w:r>
            <w:r>
              <w:rPr>
                <w:rFonts w:cs="Calibri Light"/>
                <w:sz w:val="20"/>
                <w:szCs w:val="20"/>
              </w:rPr>
              <w:tab/>
            </w:r>
            <w:r w:rsidRPr="004005A4">
              <w:rPr>
                <w:rFonts w:cs="Calibri Light"/>
                <w:sz w:val="20"/>
                <w:szCs w:val="20"/>
              </w:rPr>
              <w:t>The summarized financial information of each such issuer and guarantor consolidated in the parent company’s consolidated financial statements may be presented on a combined basis with the summarized financial information of the parent company;</w:t>
            </w:r>
          </w:p>
        </w:tc>
        <w:tc>
          <w:tcPr>
            <w:tcW w:w="1209" w:type="dxa"/>
            <w:gridSpan w:val="2"/>
            <w:tcBorders>
              <w:top w:val="single" w:sz="4" w:space="0" w:color="auto"/>
              <w:bottom w:val="single" w:sz="4" w:space="0" w:color="auto"/>
            </w:tcBorders>
            <w:vAlign w:val="bottom"/>
          </w:tcPr>
          <w:p w14:paraId="2B94A844"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0107F09B"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8A60AC1"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43CAE257" w14:textId="77777777" w:rsidTr="00CC36C1">
        <w:trPr>
          <w:gridBefore w:val="1"/>
          <w:wBefore w:w="17" w:type="dxa"/>
        </w:trPr>
        <w:tc>
          <w:tcPr>
            <w:tcW w:w="7483" w:type="dxa"/>
            <w:gridSpan w:val="2"/>
          </w:tcPr>
          <w:p w14:paraId="789904A3" w14:textId="0A759023" w:rsidR="006F3A86" w:rsidRPr="004005A4" w:rsidRDefault="006F3A86" w:rsidP="006F3A86">
            <w:pPr>
              <w:pStyle w:val="level1"/>
              <w:tabs>
                <w:tab w:val="clear" w:pos="1152"/>
              </w:tabs>
              <w:spacing w:after="120" w:line="240" w:lineRule="atLeast"/>
              <w:ind w:left="1152" w:hanging="380"/>
              <w:rPr>
                <w:rFonts w:cs="Calibri Light"/>
                <w:sz w:val="20"/>
                <w:szCs w:val="20"/>
              </w:rPr>
            </w:pPr>
            <w:r w:rsidRPr="004005A4">
              <w:rPr>
                <w:rFonts w:cs="Calibri Light"/>
                <w:sz w:val="20"/>
                <w:szCs w:val="20"/>
              </w:rPr>
              <w:t>(ii)</w:t>
            </w:r>
            <w:r>
              <w:rPr>
                <w:rFonts w:cs="Calibri Light"/>
                <w:sz w:val="20"/>
                <w:szCs w:val="20"/>
              </w:rPr>
              <w:tab/>
            </w:r>
            <w:r w:rsidRPr="004005A4">
              <w:rPr>
                <w:rFonts w:cs="Calibri Light"/>
                <w:sz w:val="20"/>
                <w:szCs w:val="20"/>
              </w:rPr>
              <w:t>Intercompany balances and transactions between issuers and guarantors whose summarized financial information is presented on a combined basis shall be eliminated;</w:t>
            </w:r>
          </w:p>
        </w:tc>
        <w:tc>
          <w:tcPr>
            <w:tcW w:w="1209" w:type="dxa"/>
            <w:gridSpan w:val="2"/>
            <w:tcBorders>
              <w:top w:val="single" w:sz="4" w:space="0" w:color="auto"/>
              <w:bottom w:val="single" w:sz="4" w:space="0" w:color="auto"/>
            </w:tcBorders>
            <w:vAlign w:val="bottom"/>
          </w:tcPr>
          <w:p w14:paraId="2153D282"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27BF9148"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B3538A4"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349B57CC" w14:textId="77777777" w:rsidTr="00CC36C1">
        <w:trPr>
          <w:gridBefore w:val="1"/>
          <w:wBefore w:w="17" w:type="dxa"/>
        </w:trPr>
        <w:tc>
          <w:tcPr>
            <w:tcW w:w="7483" w:type="dxa"/>
            <w:gridSpan w:val="2"/>
          </w:tcPr>
          <w:p w14:paraId="71D0FCF9" w14:textId="5B273FCB" w:rsidR="006F3A86" w:rsidRPr="004005A4" w:rsidRDefault="006F3A86" w:rsidP="006F3A86">
            <w:pPr>
              <w:pStyle w:val="level1"/>
              <w:tabs>
                <w:tab w:val="clear" w:pos="1152"/>
              </w:tabs>
              <w:spacing w:after="120" w:line="240" w:lineRule="atLeast"/>
              <w:ind w:left="1152" w:hanging="380"/>
              <w:rPr>
                <w:rFonts w:cs="Calibri Light"/>
                <w:sz w:val="20"/>
                <w:szCs w:val="20"/>
              </w:rPr>
            </w:pPr>
            <w:r w:rsidRPr="004005A4">
              <w:rPr>
                <w:rFonts w:cs="Calibri Light"/>
                <w:sz w:val="20"/>
                <w:szCs w:val="20"/>
              </w:rPr>
              <w:t>(iii)</w:t>
            </w:r>
            <w:r>
              <w:rPr>
                <w:rFonts w:cs="Calibri Light"/>
                <w:sz w:val="20"/>
                <w:szCs w:val="20"/>
              </w:rPr>
              <w:tab/>
            </w:r>
            <w:r w:rsidRPr="004005A4">
              <w:rPr>
                <w:rFonts w:cs="Calibri Light"/>
                <w:sz w:val="20"/>
                <w:szCs w:val="20"/>
              </w:rPr>
              <w:t xml:space="preserve">The summarized financial information shall exclude subsidiaries that are not issuers or guarantors. An issuer’s or guarantor’s investment in a subsidiary that is not an issuer or guarantor shall not be presented. An issuer’s or guarantor’s amounts due from, amounts due to, and transactions with any of the following shall be presented in separate line items: </w:t>
            </w:r>
          </w:p>
        </w:tc>
        <w:tc>
          <w:tcPr>
            <w:tcW w:w="1209" w:type="dxa"/>
            <w:gridSpan w:val="2"/>
            <w:tcBorders>
              <w:top w:val="single" w:sz="4" w:space="0" w:color="auto"/>
              <w:bottom w:val="single" w:sz="4" w:space="0" w:color="auto"/>
            </w:tcBorders>
            <w:vAlign w:val="bottom"/>
          </w:tcPr>
          <w:p w14:paraId="7985DADC"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1F2A143F"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C578523"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6107C606" w14:textId="77777777" w:rsidTr="00CC36C1">
        <w:trPr>
          <w:gridBefore w:val="1"/>
          <w:wBefore w:w="17" w:type="dxa"/>
        </w:trPr>
        <w:tc>
          <w:tcPr>
            <w:tcW w:w="7483" w:type="dxa"/>
            <w:gridSpan w:val="2"/>
          </w:tcPr>
          <w:p w14:paraId="42A3F0EC" w14:textId="724775D8" w:rsidR="006F3A86" w:rsidRPr="004005A4" w:rsidRDefault="006F3A86" w:rsidP="006F3A86">
            <w:pPr>
              <w:pStyle w:val="level1"/>
              <w:tabs>
                <w:tab w:val="clear" w:pos="1152"/>
              </w:tabs>
              <w:spacing w:after="120" w:line="240" w:lineRule="atLeast"/>
              <w:ind w:left="1492" w:hanging="340"/>
              <w:rPr>
                <w:rFonts w:cs="Calibri Light"/>
                <w:sz w:val="20"/>
                <w:szCs w:val="20"/>
              </w:rPr>
            </w:pPr>
            <w:r w:rsidRPr="004005A4">
              <w:rPr>
                <w:rFonts w:cs="Calibri Light"/>
                <w:sz w:val="20"/>
                <w:szCs w:val="20"/>
              </w:rPr>
              <w:t>(A)</w:t>
            </w:r>
            <w:r>
              <w:rPr>
                <w:rFonts w:cs="Calibri Light"/>
                <w:sz w:val="20"/>
                <w:szCs w:val="20"/>
              </w:rPr>
              <w:tab/>
            </w:r>
            <w:r w:rsidRPr="004005A4">
              <w:rPr>
                <w:rFonts w:cs="Calibri Light"/>
                <w:sz w:val="20"/>
                <w:szCs w:val="20"/>
              </w:rPr>
              <w:t>Subsidiaries that are not issuers or guarantors; and</w:t>
            </w:r>
          </w:p>
        </w:tc>
        <w:tc>
          <w:tcPr>
            <w:tcW w:w="1209" w:type="dxa"/>
            <w:gridSpan w:val="2"/>
            <w:tcBorders>
              <w:top w:val="single" w:sz="4" w:space="0" w:color="auto"/>
              <w:bottom w:val="single" w:sz="4" w:space="0" w:color="auto"/>
            </w:tcBorders>
            <w:vAlign w:val="bottom"/>
          </w:tcPr>
          <w:p w14:paraId="265E664D"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0E876647"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B6B5E26"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1D81E835" w14:textId="77777777" w:rsidTr="00CC36C1">
        <w:trPr>
          <w:gridBefore w:val="1"/>
          <w:wBefore w:w="17" w:type="dxa"/>
        </w:trPr>
        <w:tc>
          <w:tcPr>
            <w:tcW w:w="7483" w:type="dxa"/>
            <w:gridSpan w:val="2"/>
          </w:tcPr>
          <w:p w14:paraId="01202EBE" w14:textId="3A80C812" w:rsidR="006F3A86" w:rsidRPr="004005A4" w:rsidRDefault="006F3A86" w:rsidP="006F3A86">
            <w:pPr>
              <w:pStyle w:val="level1"/>
              <w:tabs>
                <w:tab w:val="clear" w:pos="1152"/>
              </w:tabs>
              <w:spacing w:after="120" w:line="240" w:lineRule="atLeast"/>
              <w:ind w:left="1492" w:hanging="340"/>
              <w:rPr>
                <w:rFonts w:cs="Calibri Light"/>
                <w:sz w:val="20"/>
                <w:szCs w:val="20"/>
              </w:rPr>
            </w:pPr>
            <w:r w:rsidRPr="004005A4">
              <w:rPr>
                <w:rFonts w:cs="Calibri Light"/>
                <w:sz w:val="20"/>
                <w:szCs w:val="20"/>
              </w:rPr>
              <w:t>(B)</w:t>
            </w:r>
            <w:r>
              <w:rPr>
                <w:rFonts w:cs="Calibri Light"/>
                <w:sz w:val="20"/>
                <w:szCs w:val="20"/>
              </w:rPr>
              <w:tab/>
            </w:r>
            <w:r w:rsidRPr="004005A4">
              <w:rPr>
                <w:rFonts w:cs="Calibri Light"/>
                <w:sz w:val="20"/>
                <w:szCs w:val="20"/>
              </w:rPr>
              <w:t xml:space="preserve"> Related parties;</w:t>
            </w:r>
          </w:p>
        </w:tc>
        <w:tc>
          <w:tcPr>
            <w:tcW w:w="1209" w:type="dxa"/>
            <w:gridSpan w:val="2"/>
            <w:tcBorders>
              <w:top w:val="single" w:sz="4" w:space="0" w:color="auto"/>
              <w:bottom w:val="single" w:sz="4" w:space="0" w:color="auto"/>
            </w:tcBorders>
            <w:vAlign w:val="bottom"/>
          </w:tcPr>
          <w:p w14:paraId="4AADEFC3"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0DD3E349"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4C3257D"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34C6A2C3" w14:textId="77777777" w:rsidTr="00CC36C1">
        <w:trPr>
          <w:gridBefore w:val="1"/>
          <w:wBefore w:w="17" w:type="dxa"/>
        </w:trPr>
        <w:tc>
          <w:tcPr>
            <w:tcW w:w="7483" w:type="dxa"/>
            <w:gridSpan w:val="2"/>
          </w:tcPr>
          <w:p w14:paraId="53F7FF8B" w14:textId="0125DCB5" w:rsidR="006F3A86" w:rsidRPr="004005A4" w:rsidRDefault="006F3A86" w:rsidP="006F3A86">
            <w:pPr>
              <w:pStyle w:val="level1"/>
              <w:tabs>
                <w:tab w:val="clear" w:pos="1152"/>
              </w:tabs>
              <w:spacing w:after="120" w:line="240" w:lineRule="atLeast"/>
              <w:ind w:left="1152" w:hanging="380"/>
              <w:rPr>
                <w:rFonts w:cs="Calibri Light"/>
                <w:sz w:val="20"/>
                <w:szCs w:val="20"/>
              </w:rPr>
            </w:pPr>
            <w:r w:rsidRPr="004005A4">
              <w:rPr>
                <w:rFonts w:cs="Calibri Light"/>
                <w:sz w:val="20"/>
                <w:szCs w:val="20"/>
              </w:rPr>
              <w:lastRenderedPageBreak/>
              <w:t>(iv)</w:t>
            </w:r>
            <w:r>
              <w:rPr>
                <w:rFonts w:cs="Calibri Light"/>
                <w:sz w:val="20"/>
                <w:szCs w:val="20"/>
              </w:rPr>
              <w:tab/>
            </w:r>
            <w:r w:rsidRPr="004005A4">
              <w:rPr>
                <w:rFonts w:cs="Calibri Light"/>
                <w:sz w:val="20"/>
                <w:szCs w:val="20"/>
              </w:rPr>
              <w:t>If the information provided in response to the requirements of this section (e.g., factors that may affect payments to holders of the guaranteed security) is applicable to one or more, but not all, issuers and/or guarantors, separately disclose the summarized financial information applicable to those issuers and/or guarantors. In limited circumstances (i.e., where the separate financial information applicable to those issuers and/or guarantors can be easily explained and understood), narrative disclosure may be provided in lieu of the separate summarized financial information otherwise required by this paragraph (a)(4)(iv);</w:t>
            </w:r>
          </w:p>
        </w:tc>
        <w:tc>
          <w:tcPr>
            <w:tcW w:w="1209" w:type="dxa"/>
            <w:gridSpan w:val="2"/>
            <w:tcBorders>
              <w:top w:val="single" w:sz="4" w:space="0" w:color="auto"/>
              <w:bottom w:val="single" w:sz="4" w:space="0" w:color="auto"/>
            </w:tcBorders>
            <w:vAlign w:val="bottom"/>
          </w:tcPr>
          <w:p w14:paraId="6C136929"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3FB638CA"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CAD70A1"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41C27356" w14:textId="77777777" w:rsidTr="00CC36C1">
        <w:trPr>
          <w:gridBefore w:val="1"/>
          <w:wBefore w:w="17" w:type="dxa"/>
        </w:trPr>
        <w:tc>
          <w:tcPr>
            <w:tcW w:w="7483" w:type="dxa"/>
            <w:gridSpan w:val="2"/>
          </w:tcPr>
          <w:p w14:paraId="3B783600" w14:textId="6318E659" w:rsidR="006F3A86" w:rsidRPr="004005A4" w:rsidRDefault="006F3A86" w:rsidP="006F3A86">
            <w:pPr>
              <w:pStyle w:val="level1"/>
              <w:numPr>
                <w:ilvl w:val="2"/>
                <w:numId w:val="28"/>
              </w:numPr>
              <w:tabs>
                <w:tab w:val="clear" w:pos="1152"/>
                <w:tab w:val="clear" w:pos="2304"/>
                <w:tab w:val="clear" w:pos="2880"/>
              </w:tabs>
              <w:spacing w:after="120" w:line="240" w:lineRule="atLeast"/>
              <w:ind w:left="1137" w:hanging="528"/>
              <w:rPr>
                <w:rFonts w:cs="Calibri Light"/>
                <w:sz w:val="20"/>
                <w:szCs w:val="20"/>
              </w:rPr>
            </w:pPr>
            <w:r w:rsidRPr="004005A4">
              <w:rPr>
                <w:rFonts w:cs="Calibri Light"/>
                <w:sz w:val="20"/>
                <w:szCs w:val="20"/>
              </w:rPr>
              <w:t xml:space="preserve">Disclose this summarized financial information as of and for the most recently ended fiscal year and year-to-date interim period included in the parent company’s consolidated financial statements; and </w:t>
            </w:r>
          </w:p>
        </w:tc>
        <w:tc>
          <w:tcPr>
            <w:tcW w:w="1209" w:type="dxa"/>
            <w:gridSpan w:val="2"/>
            <w:tcBorders>
              <w:top w:val="single" w:sz="4" w:space="0" w:color="auto"/>
              <w:bottom w:val="single" w:sz="4" w:space="0" w:color="auto"/>
            </w:tcBorders>
            <w:vAlign w:val="bottom"/>
          </w:tcPr>
          <w:p w14:paraId="0DBC80E9"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13AA1522"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EF96C73"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28682278" w14:textId="77777777" w:rsidTr="00CC36C1">
        <w:trPr>
          <w:gridBefore w:val="1"/>
          <w:wBefore w:w="17" w:type="dxa"/>
        </w:trPr>
        <w:tc>
          <w:tcPr>
            <w:tcW w:w="7483" w:type="dxa"/>
            <w:gridSpan w:val="2"/>
          </w:tcPr>
          <w:p w14:paraId="2A75019E" w14:textId="724DE40A" w:rsidR="006F3A86" w:rsidRPr="004005A4" w:rsidRDefault="006F3A86" w:rsidP="006F3A86">
            <w:pPr>
              <w:pStyle w:val="level1"/>
              <w:numPr>
                <w:ilvl w:val="2"/>
                <w:numId w:val="28"/>
              </w:numPr>
              <w:tabs>
                <w:tab w:val="clear" w:pos="1152"/>
                <w:tab w:val="clear" w:pos="2304"/>
                <w:tab w:val="clear" w:pos="2880"/>
              </w:tabs>
              <w:spacing w:after="120" w:line="240" w:lineRule="atLeast"/>
              <w:ind w:left="1137" w:hanging="528"/>
              <w:rPr>
                <w:rFonts w:cs="Calibri Light"/>
                <w:sz w:val="20"/>
                <w:szCs w:val="20"/>
              </w:rPr>
            </w:pPr>
            <w:r w:rsidRPr="004005A4">
              <w:rPr>
                <w:rFonts w:cs="Calibri Light"/>
                <w:sz w:val="20"/>
                <w:szCs w:val="20"/>
              </w:rPr>
              <w:t xml:space="preserve">Notwithstanding that a parent company may omit this summarized financial information if not material, it may also be omitted if one of the following in paragraphs (a)(4)(vi)(A) through (D) of this section is true and disclosed. However, paragraph (a)(4)(vi)(A) does not apply if separate disclosure of summarized financial information applicable to one or more, but not all, issuers and/or guarantors is required by paragraph (a)(4)(iv) of this section. For the purposes of this section, a finance subsidiary is a subsidiary that has no assets or operations other than those related to the issuance, administration and repayment of the security being registered and any other securities guaranteed by its parent company: </w:t>
            </w:r>
          </w:p>
        </w:tc>
        <w:tc>
          <w:tcPr>
            <w:tcW w:w="1209" w:type="dxa"/>
            <w:gridSpan w:val="2"/>
            <w:tcBorders>
              <w:top w:val="single" w:sz="4" w:space="0" w:color="auto"/>
              <w:bottom w:val="single" w:sz="4" w:space="0" w:color="auto"/>
            </w:tcBorders>
            <w:vAlign w:val="bottom"/>
          </w:tcPr>
          <w:p w14:paraId="65CBD613"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57E08246"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AF29C6F"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1F805DDC" w14:textId="77777777" w:rsidTr="00CC36C1">
        <w:trPr>
          <w:gridBefore w:val="1"/>
          <w:wBefore w:w="17" w:type="dxa"/>
        </w:trPr>
        <w:tc>
          <w:tcPr>
            <w:tcW w:w="7483" w:type="dxa"/>
            <w:gridSpan w:val="2"/>
          </w:tcPr>
          <w:p w14:paraId="6EB77D8C" w14:textId="4D3AA95A" w:rsidR="006F3A86" w:rsidRPr="004005A4" w:rsidRDefault="006F3A86" w:rsidP="006F3A86">
            <w:pPr>
              <w:pStyle w:val="level1"/>
              <w:numPr>
                <w:ilvl w:val="3"/>
                <w:numId w:val="28"/>
              </w:numPr>
              <w:tabs>
                <w:tab w:val="clear" w:pos="1152"/>
                <w:tab w:val="clear" w:pos="1728"/>
              </w:tabs>
              <w:spacing w:after="120" w:line="240" w:lineRule="atLeast"/>
              <w:ind w:left="1677" w:hanging="450"/>
              <w:rPr>
                <w:rFonts w:cs="Calibri Light"/>
                <w:sz w:val="20"/>
                <w:szCs w:val="20"/>
              </w:rPr>
            </w:pPr>
            <w:r>
              <w:rPr>
                <w:rFonts w:cs="Calibri Light"/>
                <w:sz w:val="20"/>
                <w:szCs w:val="20"/>
              </w:rPr>
              <w:t>T</w:t>
            </w:r>
            <w:r w:rsidRPr="004005A4">
              <w:rPr>
                <w:rFonts w:cs="Calibri Light"/>
                <w:sz w:val="20"/>
                <w:szCs w:val="20"/>
              </w:rPr>
              <w:t>he assets, liabilities</w:t>
            </w:r>
            <w:r>
              <w:rPr>
                <w:rFonts w:cs="Calibri Light"/>
                <w:sz w:val="20"/>
                <w:szCs w:val="20"/>
              </w:rPr>
              <w:t>,</w:t>
            </w:r>
            <w:r w:rsidRPr="004005A4">
              <w:rPr>
                <w:rFonts w:cs="Calibri Light"/>
                <w:sz w:val="20"/>
                <w:szCs w:val="20"/>
              </w:rPr>
              <w:t xml:space="preserve"> and results of operations of the combined issuers and guarantors of the guaranteed security are not materially different than corresponding amounts presented in the consolidated financial statements of the parent company; </w:t>
            </w:r>
          </w:p>
        </w:tc>
        <w:tc>
          <w:tcPr>
            <w:tcW w:w="1209" w:type="dxa"/>
            <w:gridSpan w:val="2"/>
            <w:tcBorders>
              <w:top w:val="single" w:sz="4" w:space="0" w:color="auto"/>
              <w:bottom w:val="single" w:sz="4" w:space="0" w:color="auto"/>
            </w:tcBorders>
            <w:vAlign w:val="bottom"/>
          </w:tcPr>
          <w:p w14:paraId="10586590"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2A3D08F9"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28E1320"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356CDC1B" w14:textId="77777777" w:rsidTr="00CC36C1">
        <w:trPr>
          <w:gridBefore w:val="1"/>
          <w:wBefore w:w="17" w:type="dxa"/>
        </w:trPr>
        <w:tc>
          <w:tcPr>
            <w:tcW w:w="7483" w:type="dxa"/>
            <w:gridSpan w:val="2"/>
          </w:tcPr>
          <w:p w14:paraId="63B62407" w14:textId="5E7FBE88" w:rsidR="006F3A86" w:rsidRPr="004005A4" w:rsidRDefault="006F3A86" w:rsidP="006F3A86">
            <w:pPr>
              <w:pStyle w:val="level1"/>
              <w:numPr>
                <w:ilvl w:val="3"/>
                <w:numId w:val="28"/>
              </w:numPr>
              <w:tabs>
                <w:tab w:val="clear" w:pos="1152"/>
                <w:tab w:val="clear" w:pos="1728"/>
              </w:tabs>
              <w:spacing w:after="120" w:line="240" w:lineRule="atLeast"/>
              <w:ind w:left="1677" w:hanging="450"/>
              <w:rPr>
                <w:rFonts w:cs="Calibri Light"/>
                <w:sz w:val="20"/>
                <w:szCs w:val="20"/>
              </w:rPr>
            </w:pPr>
            <w:r w:rsidRPr="004005A4">
              <w:rPr>
                <w:rFonts w:cs="Calibri Light"/>
                <w:sz w:val="20"/>
                <w:szCs w:val="20"/>
              </w:rPr>
              <w:t xml:space="preserve">The combined issuers and guarantors, excluding investments in subsidiaries that are not issuers or guarantors, have no material assets, liabilities or results of operations; </w:t>
            </w:r>
          </w:p>
        </w:tc>
        <w:tc>
          <w:tcPr>
            <w:tcW w:w="1209" w:type="dxa"/>
            <w:gridSpan w:val="2"/>
            <w:tcBorders>
              <w:top w:val="single" w:sz="4" w:space="0" w:color="auto"/>
              <w:bottom w:val="single" w:sz="4" w:space="0" w:color="auto"/>
            </w:tcBorders>
            <w:vAlign w:val="bottom"/>
          </w:tcPr>
          <w:p w14:paraId="5D9104F2"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1F77A10A"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B69D067"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4507DDF3" w14:textId="77777777" w:rsidTr="00CC36C1">
        <w:trPr>
          <w:gridBefore w:val="1"/>
          <w:wBefore w:w="17" w:type="dxa"/>
        </w:trPr>
        <w:tc>
          <w:tcPr>
            <w:tcW w:w="7483" w:type="dxa"/>
            <w:gridSpan w:val="2"/>
          </w:tcPr>
          <w:p w14:paraId="71495804" w14:textId="33B37EFD" w:rsidR="006F3A86" w:rsidRPr="004005A4" w:rsidRDefault="006F3A86" w:rsidP="006F3A86">
            <w:pPr>
              <w:pStyle w:val="level1"/>
              <w:numPr>
                <w:ilvl w:val="3"/>
                <w:numId w:val="28"/>
              </w:numPr>
              <w:tabs>
                <w:tab w:val="clear" w:pos="1152"/>
                <w:tab w:val="clear" w:pos="1728"/>
              </w:tabs>
              <w:spacing w:after="120" w:line="240" w:lineRule="atLeast"/>
              <w:ind w:left="1677" w:hanging="450"/>
              <w:rPr>
                <w:rFonts w:cs="Calibri Light"/>
                <w:sz w:val="20"/>
                <w:szCs w:val="20"/>
              </w:rPr>
            </w:pPr>
            <w:r w:rsidRPr="004005A4">
              <w:rPr>
                <w:rFonts w:cs="Calibri Light"/>
                <w:sz w:val="20"/>
                <w:szCs w:val="20"/>
              </w:rPr>
              <w:t xml:space="preserve">The issuer is a finance subsidiary of the parent company, the parent company has fully and unconditionally guaranteed the security, and no other subsidiary of the parent company guarantees the security; or </w:t>
            </w:r>
          </w:p>
        </w:tc>
        <w:tc>
          <w:tcPr>
            <w:tcW w:w="1209" w:type="dxa"/>
            <w:gridSpan w:val="2"/>
            <w:tcBorders>
              <w:top w:val="single" w:sz="4" w:space="0" w:color="auto"/>
              <w:bottom w:val="single" w:sz="4" w:space="0" w:color="auto"/>
            </w:tcBorders>
            <w:vAlign w:val="bottom"/>
          </w:tcPr>
          <w:p w14:paraId="25C293FB"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34B3C7D8"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0068421"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0BFC24EF" w14:textId="77777777" w:rsidTr="00CC36C1">
        <w:trPr>
          <w:gridBefore w:val="1"/>
          <w:wBefore w:w="17" w:type="dxa"/>
        </w:trPr>
        <w:tc>
          <w:tcPr>
            <w:tcW w:w="7483" w:type="dxa"/>
            <w:gridSpan w:val="2"/>
          </w:tcPr>
          <w:p w14:paraId="3544DCE4" w14:textId="57149404" w:rsidR="006F3A86" w:rsidRPr="004005A4" w:rsidRDefault="006F3A86" w:rsidP="006F3A86">
            <w:pPr>
              <w:pStyle w:val="level1"/>
              <w:numPr>
                <w:ilvl w:val="3"/>
                <w:numId w:val="28"/>
              </w:numPr>
              <w:tabs>
                <w:tab w:val="clear" w:pos="1152"/>
                <w:tab w:val="clear" w:pos="1728"/>
              </w:tabs>
              <w:spacing w:after="120" w:line="240" w:lineRule="atLeast"/>
              <w:ind w:left="1677" w:hanging="450"/>
              <w:rPr>
                <w:rFonts w:cs="Calibri Light"/>
                <w:sz w:val="20"/>
                <w:szCs w:val="20"/>
              </w:rPr>
            </w:pPr>
            <w:r w:rsidRPr="004005A4">
              <w:rPr>
                <w:rFonts w:cs="Calibri Light"/>
                <w:sz w:val="20"/>
                <w:szCs w:val="20"/>
              </w:rPr>
              <w:t xml:space="preserve">The issuer is a finance subsidiary that co-issued the security, jointly and severally, with the parent company, and no other subsidiary of the parent company guarantees the security; </w:t>
            </w:r>
          </w:p>
        </w:tc>
        <w:tc>
          <w:tcPr>
            <w:tcW w:w="1209" w:type="dxa"/>
            <w:gridSpan w:val="2"/>
            <w:tcBorders>
              <w:top w:val="single" w:sz="4" w:space="0" w:color="auto"/>
              <w:bottom w:val="single" w:sz="4" w:space="0" w:color="auto"/>
            </w:tcBorders>
            <w:vAlign w:val="bottom"/>
          </w:tcPr>
          <w:p w14:paraId="2DDAF5D7"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4415F8DF"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9F94C98"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5FD4BA0D" w14:textId="77777777" w:rsidTr="00CC36C1">
        <w:trPr>
          <w:gridBefore w:val="1"/>
          <w:wBefore w:w="17" w:type="dxa"/>
        </w:trPr>
        <w:tc>
          <w:tcPr>
            <w:tcW w:w="7483" w:type="dxa"/>
            <w:gridSpan w:val="2"/>
          </w:tcPr>
          <w:p w14:paraId="66D7E225" w14:textId="588A9771" w:rsidR="006F3A86" w:rsidRPr="004005A4" w:rsidRDefault="006F3A86" w:rsidP="006F3A86">
            <w:pPr>
              <w:pStyle w:val="level2"/>
              <w:numPr>
                <w:ilvl w:val="0"/>
                <w:numId w:val="114"/>
              </w:numPr>
              <w:tabs>
                <w:tab w:val="clear" w:pos="576"/>
                <w:tab w:val="clear" w:pos="1152"/>
              </w:tabs>
              <w:spacing w:after="120" w:line="240" w:lineRule="atLeast"/>
              <w:rPr>
                <w:rFonts w:cs="Calibri Light"/>
                <w:sz w:val="20"/>
                <w:szCs w:val="20"/>
              </w:rPr>
            </w:pPr>
            <w:r w:rsidRPr="004005A4">
              <w:rPr>
                <w:rFonts w:cs="Calibri Light"/>
                <w:sz w:val="20"/>
                <w:szCs w:val="20"/>
              </w:rPr>
              <w:t xml:space="preserve">In a Securities Act registration statement filed in connection with the offer and sale of the guaranteed security, if the parent company acquired a significant business after the date of the parent company’s most recent balance sheet included in its consolidated financial statements and the acquired business, one </w:t>
            </w:r>
            <w:r w:rsidRPr="004005A4">
              <w:rPr>
                <w:rFonts w:cs="Calibri Light"/>
                <w:sz w:val="20"/>
                <w:szCs w:val="20"/>
              </w:rPr>
              <w:lastRenderedPageBreak/>
              <w:t xml:space="preserve">or more of the acquired business’s subsidiaries, or the acquired business and one or more of its subsidiaries are issuers or guarantors of the guaranteed securities, disclose pre-acquisition summarized financial information as specified in paragraph (a)(4) of this section for each such issuer or guarantor. The acquired business is significant if it meets any of the conditions specified in the definition of significant subsidiary in </w:t>
            </w:r>
            <w:r>
              <w:rPr>
                <w:rFonts w:cs="Calibri Light"/>
                <w:sz w:val="20"/>
                <w:szCs w:val="20"/>
              </w:rPr>
              <w:t xml:space="preserve">Rule </w:t>
            </w:r>
            <w:r w:rsidRPr="004005A4">
              <w:rPr>
                <w:rFonts w:cs="Calibri Light"/>
                <w:sz w:val="20"/>
                <w:szCs w:val="20"/>
              </w:rPr>
              <w:t xml:space="preserve">1-02(w), substituting 20 percent for 10 percent each place it appears therein, based on a comparison of the most recent annual financial statements of the acquired business and the parent company’s most recent annual consolidated financial statements filed at or prior to the date of acquisition. The determination of whether a business has been acquired shall be made in accordance with the guidance set forth in </w:t>
            </w:r>
            <w:r>
              <w:rPr>
                <w:rFonts w:cs="Calibri Light"/>
                <w:sz w:val="20"/>
                <w:szCs w:val="20"/>
              </w:rPr>
              <w:t xml:space="preserve">Rule </w:t>
            </w:r>
            <w:r w:rsidRPr="004005A4">
              <w:rPr>
                <w:rFonts w:cs="Calibri Light"/>
                <w:sz w:val="20"/>
                <w:szCs w:val="20"/>
              </w:rPr>
              <w:t xml:space="preserve">11-01(d). Acquisitions of a group of related businesses shall be treated as if they are a single business acquisition for purposes of this comparison. The determination of whether a group of businesses are related shall be made in a manner consistent with </w:t>
            </w:r>
            <w:r>
              <w:rPr>
                <w:rFonts w:cs="Calibri Light"/>
                <w:sz w:val="20"/>
                <w:szCs w:val="20"/>
              </w:rPr>
              <w:t xml:space="preserve">Rule </w:t>
            </w:r>
            <w:r w:rsidRPr="004005A4">
              <w:rPr>
                <w:rFonts w:cs="Calibri Light"/>
                <w:sz w:val="20"/>
                <w:szCs w:val="20"/>
              </w:rPr>
              <w:t xml:space="preserve">3-05(a)(3); </w:t>
            </w:r>
          </w:p>
        </w:tc>
        <w:tc>
          <w:tcPr>
            <w:tcW w:w="1209" w:type="dxa"/>
            <w:gridSpan w:val="2"/>
            <w:tcBorders>
              <w:top w:val="single" w:sz="4" w:space="0" w:color="auto"/>
              <w:bottom w:val="single" w:sz="4" w:space="0" w:color="auto"/>
            </w:tcBorders>
            <w:vAlign w:val="bottom"/>
          </w:tcPr>
          <w:p w14:paraId="030B8940"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6C9D0DA0"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020A7DD"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45DB9AC5" w14:textId="77777777" w:rsidTr="00CC36C1">
        <w:trPr>
          <w:gridBefore w:val="1"/>
          <w:wBefore w:w="17" w:type="dxa"/>
        </w:trPr>
        <w:tc>
          <w:tcPr>
            <w:tcW w:w="7483" w:type="dxa"/>
            <w:gridSpan w:val="2"/>
          </w:tcPr>
          <w:p w14:paraId="6046B7FE" w14:textId="3E0C85B3" w:rsidR="006F3A86" w:rsidRPr="004005A4" w:rsidRDefault="006F3A86" w:rsidP="006F3A86">
            <w:pPr>
              <w:pStyle w:val="level2"/>
              <w:numPr>
                <w:ilvl w:val="0"/>
                <w:numId w:val="114"/>
              </w:numPr>
              <w:tabs>
                <w:tab w:val="clear" w:pos="576"/>
                <w:tab w:val="clear" w:pos="1152"/>
              </w:tabs>
              <w:spacing w:after="120" w:line="240" w:lineRule="atLeast"/>
              <w:rPr>
                <w:rFonts w:cs="Calibri Light"/>
                <w:sz w:val="20"/>
                <w:szCs w:val="20"/>
              </w:rPr>
            </w:pPr>
            <w:r w:rsidRPr="004005A4">
              <w:rPr>
                <w:rFonts w:cs="Calibri Light"/>
                <w:sz w:val="20"/>
                <w:szCs w:val="20"/>
              </w:rPr>
              <w:t>Any financial and narrative information about each guarantor if the information would be material for investors to evaluate the sufficiency of the guarantee; and</w:t>
            </w:r>
          </w:p>
        </w:tc>
        <w:tc>
          <w:tcPr>
            <w:tcW w:w="1209" w:type="dxa"/>
            <w:gridSpan w:val="2"/>
            <w:tcBorders>
              <w:top w:val="single" w:sz="4" w:space="0" w:color="auto"/>
              <w:bottom w:val="single" w:sz="4" w:space="0" w:color="auto"/>
            </w:tcBorders>
            <w:vAlign w:val="bottom"/>
          </w:tcPr>
          <w:p w14:paraId="140D700E"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62908853"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DCABDAE"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15809EE8" w14:textId="77777777" w:rsidTr="00CC36C1">
        <w:trPr>
          <w:gridBefore w:val="1"/>
          <w:wBefore w:w="17" w:type="dxa"/>
        </w:trPr>
        <w:tc>
          <w:tcPr>
            <w:tcW w:w="7483" w:type="dxa"/>
            <w:gridSpan w:val="2"/>
          </w:tcPr>
          <w:p w14:paraId="2075EAF1" w14:textId="7CFEA1B2" w:rsidR="006F3A86" w:rsidRPr="004005A4" w:rsidRDefault="006F3A86" w:rsidP="006F3A86">
            <w:pPr>
              <w:pStyle w:val="level2"/>
              <w:numPr>
                <w:ilvl w:val="0"/>
                <w:numId w:val="114"/>
              </w:numPr>
              <w:tabs>
                <w:tab w:val="clear" w:pos="576"/>
                <w:tab w:val="clear" w:pos="1152"/>
              </w:tabs>
              <w:spacing w:after="120" w:line="240" w:lineRule="atLeast"/>
              <w:rPr>
                <w:rFonts w:cs="Calibri Light"/>
                <w:sz w:val="20"/>
                <w:szCs w:val="20"/>
              </w:rPr>
            </w:pPr>
            <w:r w:rsidRPr="004005A4">
              <w:rPr>
                <w:rFonts w:cs="Calibri Light"/>
                <w:sz w:val="20"/>
                <w:szCs w:val="20"/>
              </w:rPr>
              <w:t>Sufficient information so as to make the financial and non-financial information presented not misleading.</w:t>
            </w:r>
          </w:p>
        </w:tc>
        <w:tc>
          <w:tcPr>
            <w:tcW w:w="1209" w:type="dxa"/>
            <w:gridSpan w:val="2"/>
            <w:tcBorders>
              <w:top w:val="single" w:sz="4" w:space="0" w:color="auto"/>
              <w:bottom w:val="single" w:sz="4" w:space="0" w:color="auto"/>
            </w:tcBorders>
            <w:vAlign w:val="bottom"/>
          </w:tcPr>
          <w:p w14:paraId="66C2D785"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5BD2FD74"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85239CF"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05333EEF" w14:textId="77777777" w:rsidTr="00CC36C1">
        <w:trPr>
          <w:gridBefore w:val="1"/>
          <w:wBefore w:w="17" w:type="dxa"/>
        </w:trPr>
        <w:tc>
          <w:tcPr>
            <w:tcW w:w="7483" w:type="dxa"/>
            <w:gridSpan w:val="2"/>
          </w:tcPr>
          <w:p w14:paraId="2EEE5664" w14:textId="591F2F75" w:rsidR="006F3A86" w:rsidRPr="004005A4" w:rsidRDefault="006F3A86" w:rsidP="006F3A86">
            <w:pPr>
              <w:pStyle w:val="level1"/>
              <w:numPr>
                <w:ilvl w:val="0"/>
                <w:numId w:val="65"/>
              </w:numPr>
              <w:spacing w:after="120" w:line="240" w:lineRule="atLeast"/>
              <w:ind w:left="502"/>
              <w:rPr>
                <w:rFonts w:cs="Calibri Light"/>
                <w:sz w:val="20"/>
                <w:szCs w:val="20"/>
              </w:rPr>
            </w:pPr>
            <w:r w:rsidRPr="004005A4">
              <w:rPr>
                <w:rFonts w:cs="Calibri Light"/>
                <w:sz w:val="20"/>
                <w:szCs w:val="20"/>
              </w:rPr>
              <w:t>The parent company may elect to provide the disclosures required by this section in a footnote to its consolidated financial statements or alternatively, in management’s discussion and analysis of financial condition and results of operations described in Item 303 of Regulation S-K. If not otherwise included in the consolidated financial statements or in management’s discussion and analysis of financial condition and results of operations, the parent company must include the disclosures in its prospectus immediately following “Risk Factors,” if any, or otherwise, immediately following pricing information described in Item 105 of Regulation S-K</w:t>
            </w:r>
            <w:r>
              <w:rPr>
                <w:rFonts w:cs="Calibri Light"/>
                <w:sz w:val="20"/>
                <w:szCs w:val="20"/>
              </w:rPr>
              <w:t>.</w:t>
            </w:r>
          </w:p>
        </w:tc>
        <w:tc>
          <w:tcPr>
            <w:tcW w:w="1209" w:type="dxa"/>
            <w:gridSpan w:val="2"/>
            <w:tcBorders>
              <w:top w:val="single" w:sz="4" w:space="0" w:color="auto"/>
              <w:bottom w:val="single" w:sz="4" w:space="0" w:color="auto"/>
            </w:tcBorders>
            <w:vAlign w:val="bottom"/>
          </w:tcPr>
          <w:p w14:paraId="08751692"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0EEF8328"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5875E24"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66D7602D" w14:textId="77777777" w:rsidTr="00CC36C1">
        <w:trPr>
          <w:gridBefore w:val="1"/>
          <w:wBefore w:w="17" w:type="dxa"/>
        </w:trPr>
        <w:tc>
          <w:tcPr>
            <w:tcW w:w="7483" w:type="dxa"/>
            <w:gridSpan w:val="2"/>
          </w:tcPr>
          <w:p w14:paraId="60F15B09" w14:textId="77777777" w:rsidR="006F3A86" w:rsidRPr="004005A4" w:rsidRDefault="006F3A86" w:rsidP="006F3A86">
            <w:pPr>
              <w:pStyle w:val="level1"/>
              <w:spacing w:after="120" w:line="240" w:lineRule="atLeast"/>
              <w:ind w:left="0" w:firstLine="0"/>
              <w:rPr>
                <w:rFonts w:cs="Calibri Light"/>
                <w:b/>
                <w:bCs/>
                <w:sz w:val="20"/>
                <w:szCs w:val="20"/>
              </w:rPr>
            </w:pPr>
            <w:r w:rsidRPr="004005A4">
              <w:rPr>
                <w:rFonts w:cs="Calibri Light"/>
                <w:b/>
                <w:bCs/>
                <w:sz w:val="20"/>
                <w:szCs w:val="20"/>
              </w:rPr>
              <w:t>Rule 13-02 – Affiliates whose securities collateralize securities registered or being registered.</w:t>
            </w:r>
          </w:p>
          <w:p w14:paraId="7777EC5A" w14:textId="292ADC6C" w:rsidR="006F3A86" w:rsidRPr="004005A4" w:rsidRDefault="006F3A86" w:rsidP="006F3A86">
            <w:pPr>
              <w:pStyle w:val="level1"/>
              <w:numPr>
                <w:ilvl w:val="0"/>
                <w:numId w:val="59"/>
              </w:numPr>
              <w:spacing w:after="120" w:line="240" w:lineRule="atLeast"/>
              <w:ind w:left="322" w:hanging="277"/>
              <w:rPr>
                <w:rFonts w:cs="Calibri Light"/>
                <w:b/>
                <w:bCs/>
                <w:sz w:val="20"/>
                <w:szCs w:val="20"/>
              </w:rPr>
            </w:pPr>
            <w:r w:rsidRPr="004005A4">
              <w:rPr>
                <w:rFonts w:cs="Calibri Light"/>
                <w:sz w:val="20"/>
                <w:szCs w:val="20"/>
              </w:rPr>
              <w:t>For each security subject to Section 13(a) or 15(d) of the Securities Exchange Act of 1934, and for each security the offer and sale of which is being registered under the Securities Act of 1933, that is collateralized by a security of the registrant’s affiliate or affiliates, provide the following disclosures to the extent material:</w:t>
            </w:r>
          </w:p>
        </w:tc>
        <w:tc>
          <w:tcPr>
            <w:tcW w:w="1209" w:type="dxa"/>
            <w:gridSpan w:val="2"/>
            <w:tcBorders>
              <w:top w:val="single" w:sz="4" w:space="0" w:color="auto"/>
              <w:bottom w:val="single" w:sz="4" w:space="0" w:color="auto"/>
            </w:tcBorders>
            <w:vAlign w:val="bottom"/>
          </w:tcPr>
          <w:p w14:paraId="4EB33E24"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4D63D840"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A6BDBAE"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36F24777" w14:textId="77777777" w:rsidTr="00CC36C1">
        <w:trPr>
          <w:gridBefore w:val="1"/>
          <w:wBefore w:w="17" w:type="dxa"/>
        </w:trPr>
        <w:tc>
          <w:tcPr>
            <w:tcW w:w="7483" w:type="dxa"/>
            <w:gridSpan w:val="2"/>
          </w:tcPr>
          <w:p w14:paraId="58AA0122" w14:textId="211C0E51" w:rsidR="006F3A86" w:rsidRPr="00660D34" w:rsidRDefault="006F3A86" w:rsidP="006F3A86">
            <w:pPr>
              <w:pStyle w:val="level1"/>
              <w:numPr>
                <w:ilvl w:val="0"/>
                <w:numId w:val="108"/>
              </w:numPr>
              <w:tabs>
                <w:tab w:val="clear" w:pos="576"/>
                <w:tab w:val="clear" w:pos="1152"/>
              </w:tabs>
              <w:spacing w:after="120" w:line="240" w:lineRule="atLeast"/>
              <w:ind w:left="592" w:hanging="270"/>
              <w:rPr>
                <w:rFonts w:cs="Calibri Light"/>
                <w:sz w:val="20"/>
                <w:szCs w:val="20"/>
              </w:rPr>
            </w:pPr>
            <w:r w:rsidRPr="004005A4">
              <w:rPr>
                <w:rFonts w:cs="Calibri Light"/>
                <w:sz w:val="20"/>
                <w:szCs w:val="20"/>
              </w:rPr>
              <w:t>A description of the securities pledged as collateral and the affiliates whose securities are pledged as collateral;</w:t>
            </w:r>
          </w:p>
        </w:tc>
        <w:tc>
          <w:tcPr>
            <w:tcW w:w="1209" w:type="dxa"/>
            <w:gridSpan w:val="2"/>
            <w:tcBorders>
              <w:top w:val="single" w:sz="4" w:space="0" w:color="auto"/>
              <w:bottom w:val="single" w:sz="4" w:space="0" w:color="auto"/>
            </w:tcBorders>
            <w:vAlign w:val="bottom"/>
          </w:tcPr>
          <w:p w14:paraId="0CFA521E" w14:textId="77777777" w:rsidR="006F3A86" w:rsidRPr="00660D34" w:rsidRDefault="006F3A86" w:rsidP="006F3A86">
            <w:pPr>
              <w:pStyle w:val="levela"/>
              <w:keepNext/>
              <w:spacing w:before="120" w:after="120" w:line="240" w:lineRule="atLeast"/>
              <w:ind w:left="0" w:firstLine="0"/>
              <w:rPr>
                <w:rFonts w:cs="Calibri Light"/>
                <w:sz w:val="20"/>
                <w:szCs w:val="20"/>
              </w:rPr>
            </w:pPr>
          </w:p>
        </w:tc>
        <w:tc>
          <w:tcPr>
            <w:tcW w:w="236" w:type="dxa"/>
            <w:gridSpan w:val="3"/>
            <w:vAlign w:val="bottom"/>
          </w:tcPr>
          <w:p w14:paraId="7A2CF76D" w14:textId="77777777" w:rsidR="006F3A86" w:rsidRPr="00660D34" w:rsidRDefault="006F3A86" w:rsidP="006F3A86">
            <w:pPr>
              <w:pStyle w:val="levela"/>
              <w:keepNext/>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2A1D0916" w14:textId="77777777" w:rsidR="006F3A86" w:rsidRPr="00660D34" w:rsidRDefault="006F3A86" w:rsidP="006F3A86">
            <w:pPr>
              <w:pStyle w:val="levela"/>
              <w:keepNext/>
              <w:spacing w:before="120" w:after="120" w:line="240" w:lineRule="atLeast"/>
              <w:jc w:val="center"/>
              <w:rPr>
                <w:rFonts w:cs="Calibri Light"/>
                <w:sz w:val="20"/>
                <w:szCs w:val="20"/>
              </w:rPr>
            </w:pPr>
          </w:p>
        </w:tc>
      </w:tr>
      <w:tr w:rsidR="006F3A86" w:rsidRPr="004005A4" w14:paraId="2216B7ED" w14:textId="77777777" w:rsidTr="00CC36C1">
        <w:trPr>
          <w:gridBefore w:val="1"/>
          <w:wBefore w:w="17" w:type="dxa"/>
        </w:trPr>
        <w:tc>
          <w:tcPr>
            <w:tcW w:w="7483" w:type="dxa"/>
            <w:gridSpan w:val="2"/>
          </w:tcPr>
          <w:p w14:paraId="673A7EF8" w14:textId="22F939DB" w:rsidR="006F3A86" w:rsidRPr="00660D34" w:rsidRDefault="006F3A86" w:rsidP="006F3A86">
            <w:pPr>
              <w:pStyle w:val="level1"/>
              <w:numPr>
                <w:ilvl w:val="0"/>
                <w:numId w:val="108"/>
              </w:numPr>
              <w:tabs>
                <w:tab w:val="clear" w:pos="576"/>
                <w:tab w:val="clear" w:pos="1152"/>
              </w:tabs>
              <w:spacing w:after="120" w:line="240" w:lineRule="atLeast"/>
              <w:ind w:left="592" w:hanging="270"/>
              <w:rPr>
                <w:rFonts w:cs="Calibri Light"/>
                <w:sz w:val="20"/>
                <w:szCs w:val="20"/>
              </w:rPr>
            </w:pPr>
            <w:r w:rsidRPr="004005A4">
              <w:rPr>
                <w:rFonts w:cs="Calibri Light"/>
                <w:sz w:val="20"/>
                <w:szCs w:val="20"/>
              </w:rPr>
              <w:t xml:space="preserve">A </w:t>
            </w:r>
            <w:r>
              <w:rPr>
                <w:rFonts w:cs="Calibri Light"/>
                <w:sz w:val="20"/>
                <w:szCs w:val="20"/>
              </w:rPr>
              <w:t>d</w:t>
            </w:r>
            <w:r w:rsidRPr="004005A4">
              <w:rPr>
                <w:rFonts w:cs="Calibri Light"/>
                <w:sz w:val="20"/>
                <w:szCs w:val="20"/>
              </w:rPr>
              <w:t>escription of the terms and conditions of the collateral arrangement, including the events or circumstances that would require delivery of the collateral;</w:t>
            </w:r>
          </w:p>
        </w:tc>
        <w:tc>
          <w:tcPr>
            <w:tcW w:w="1209" w:type="dxa"/>
            <w:gridSpan w:val="2"/>
            <w:tcBorders>
              <w:top w:val="single" w:sz="4" w:space="0" w:color="auto"/>
              <w:bottom w:val="single" w:sz="4" w:space="0" w:color="auto"/>
            </w:tcBorders>
            <w:vAlign w:val="bottom"/>
          </w:tcPr>
          <w:p w14:paraId="4A25D0D3" w14:textId="77777777" w:rsidR="006F3A86" w:rsidRPr="00660D34" w:rsidRDefault="006F3A86" w:rsidP="006F3A86">
            <w:pPr>
              <w:pStyle w:val="levela"/>
              <w:keepNext/>
              <w:spacing w:before="120" w:after="120" w:line="240" w:lineRule="atLeast"/>
              <w:ind w:left="0" w:firstLine="0"/>
              <w:rPr>
                <w:rFonts w:cs="Calibri Light"/>
                <w:sz w:val="20"/>
                <w:szCs w:val="20"/>
              </w:rPr>
            </w:pPr>
          </w:p>
        </w:tc>
        <w:tc>
          <w:tcPr>
            <w:tcW w:w="236" w:type="dxa"/>
            <w:gridSpan w:val="3"/>
            <w:vAlign w:val="bottom"/>
          </w:tcPr>
          <w:p w14:paraId="27C91B9A" w14:textId="77777777" w:rsidR="006F3A86" w:rsidRPr="00660D34" w:rsidRDefault="006F3A86" w:rsidP="006F3A86">
            <w:pPr>
              <w:pStyle w:val="levela"/>
              <w:keepNext/>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69349A77" w14:textId="77777777" w:rsidR="006F3A86" w:rsidRPr="00660D34" w:rsidRDefault="006F3A86" w:rsidP="006F3A86">
            <w:pPr>
              <w:pStyle w:val="levela"/>
              <w:keepNext/>
              <w:spacing w:before="120" w:after="120" w:line="240" w:lineRule="atLeast"/>
              <w:jc w:val="center"/>
              <w:rPr>
                <w:rFonts w:cs="Calibri Light"/>
                <w:sz w:val="20"/>
                <w:szCs w:val="20"/>
              </w:rPr>
            </w:pPr>
          </w:p>
        </w:tc>
      </w:tr>
      <w:tr w:rsidR="006F3A86" w:rsidRPr="004005A4" w14:paraId="0CEBBFF2" w14:textId="77777777" w:rsidTr="00CC36C1">
        <w:trPr>
          <w:gridBefore w:val="1"/>
          <w:wBefore w:w="17" w:type="dxa"/>
        </w:trPr>
        <w:tc>
          <w:tcPr>
            <w:tcW w:w="7483" w:type="dxa"/>
            <w:gridSpan w:val="2"/>
          </w:tcPr>
          <w:p w14:paraId="0285D742" w14:textId="4B3381A2" w:rsidR="006F3A86" w:rsidRPr="00660D34" w:rsidRDefault="006F3A86" w:rsidP="006F3A86">
            <w:pPr>
              <w:pStyle w:val="level1"/>
              <w:numPr>
                <w:ilvl w:val="0"/>
                <w:numId w:val="108"/>
              </w:numPr>
              <w:tabs>
                <w:tab w:val="clear" w:pos="576"/>
                <w:tab w:val="clear" w:pos="1152"/>
              </w:tabs>
              <w:spacing w:after="120" w:line="240" w:lineRule="atLeast"/>
              <w:ind w:left="592" w:hanging="270"/>
              <w:rPr>
                <w:rFonts w:cs="Calibri Light"/>
                <w:sz w:val="20"/>
                <w:szCs w:val="20"/>
              </w:rPr>
            </w:pPr>
            <w:r w:rsidRPr="004005A4">
              <w:rPr>
                <w:rFonts w:cs="Calibri Light"/>
                <w:sz w:val="20"/>
                <w:szCs w:val="20"/>
              </w:rPr>
              <w:lastRenderedPageBreak/>
              <w:t>A description of the trading market for the affiliate’s security pledged as collateral or a statement that there is no market;</w:t>
            </w:r>
          </w:p>
        </w:tc>
        <w:tc>
          <w:tcPr>
            <w:tcW w:w="1209" w:type="dxa"/>
            <w:gridSpan w:val="2"/>
            <w:tcBorders>
              <w:top w:val="single" w:sz="4" w:space="0" w:color="auto"/>
              <w:bottom w:val="single" w:sz="4" w:space="0" w:color="auto"/>
            </w:tcBorders>
            <w:vAlign w:val="bottom"/>
          </w:tcPr>
          <w:p w14:paraId="639FAC75" w14:textId="77777777" w:rsidR="006F3A86" w:rsidRPr="00660D34" w:rsidRDefault="006F3A86" w:rsidP="006F3A86">
            <w:pPr>
              <w:pStyle w:val="levela"/>
              <w:keepNext/>
              <w:spacing w:before="120" w:after="120" w:line="240" w:lineRule="atLeast"/>
              <w:ind w:left="0" w:firstLine="0"/>
              <w:rPr>
                <w:rFonts w:cs="Calibri Light"/>
                <w:sz w:val="20"/>
                <w:szCs w:val="20"/>
              </w:rPr>
            </w:pPr>
          </w:p>
        </w:tc>
        <w:tc>
          <w:tcPr>
            <w:tcW w:w="236" w:type="dxa"/>
            <w:gridSpan w:val="3"/>
            <w:vAlign w:val="bottom"/>
          </w:tcPr>
          <w:p w14:paraId="7FA7E828" w14:textId="77777777" w:rsidR="006F3A86" w:rsidRPr="00660D34" w:rsidRDefault="006F3A86" w:rsidP="006F3A86">
            <w:pPr>
              <w:pStyle w:val="levela"/>
              <w:keepNext/>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67824DB3" w14:textId="77777777" w:rsidR="006F3A86" w:rsidRPr="00660D34" w:rsidRDefault="006F3A86" w:rsidP="006F3A86">
            <w:pPr>
              <w:pStyle w:val="levela"/>
              <w:keepNext/>
              <w:spacing w:before="120" w:after="120" w:line="240" w:lineRule="atLeast"/>
              <w:jc w:val="center"/>
              <w:rPr>
                <w:rFonts w:cs="Calibri Light"/>
                <w:sz w:val="20"/>
                <w:szCs w:val="20"/>
              </w:rPr>
            </w:pPr>
          </w:p>
        </w:tc>
      </w:tr>
      <w:tr w:rsidR="006F3A86" w:rsidRPr="004005A4" w14:paraId="758FA7A0" w14:textId="77777777" w:rsidTr="00CC36C1">
        <w:trPr>
          <w:gridBefore w:val="1"/>
          <w:wBefore w:w="17" w:type="dxa"/>
        </w:trPr>
        <w:tc>
          <w:tcPr>
            <w:tcW w:w="7483" w:type="dxa"/>
            <w:gridSpan w:val="2"/>
          </w:tcPr>
          <w:p w14:paraId="1EBBA6C6" w14:textId="5B780A40" w:rsidR="006F3A86" w:rsidRPr="004005A4" w:rsidRDefault="006F3A86" w:rsidP="006F3A86">
            <w:pPr>
              <w:pStyle w:val="level1"/>
              <w:numPr>
                <w:ilvl w:val="0"/>
                <w:numId w:val="108"/>
              </w:numPr>
              <w:tabs>
                <w:tab w:val="clear" w:pos="576"/>
                <w:tab w:val="clear" w:pos="1152"/>
              </w:tabs>
              <w:spacing w:after="120" w:line="240" w:lineRule="atLeast"/>
              <w:ind w:left="592" w:hanging="270"/>
              <w:rPr>
                <w:rFonts w:cs="Calibri Light"/>
                <w:sz w:val="20"/>
                <w:szCs w:val="20"/>
              </w:rPr>
            </w:pPr>
            <w:r w:rsidRPr="004005A4">
              <w:rPr>
                <w:rFonts w:cs="Calibri Light"/>
                <w:sz w:val="20"/>
                <w:szCs w:val="20"/>
              </w:rPr>
              <w:t>Summarized financial information as specified in § 210.1-02(bb)(1) of each affiliate whose securities are pledged as collateral as follows, with an accompanying note that briefly describes the basis of presentation:</w:t>
            </w:r>
          </w:p>
        </w:tc>
        <w:tc>
          <w:tcPr>
            <w:tcW w:w="1209" w:type="dxa"/>
            <w:gridSpan w:val="2"/>
            <w:tcBorders>
              <w:top w:val="single" w:sz="4" w:space="0" w:color="auto"/>
              <w:bottom w:val="single" w:sz="4" w:space="0" w:color="auto"/>
            </w:tcBorders>
            <w:vAlign w:val="bottom"/>
          </w:tcPr>
          <w:p w14:paraId="1FF9C862" w14:textId="77777777" w:rsidR="006F3A86" w:rsidRPr="00660D34" w:rsidRDefault="006F3A86" w:rsidP="006F3A86">
            <w:pPr>
              <w:pStyle w:val="levela"/>
              <w:keepNext/>
              <w:spacing w:before="120" w:after="120" w:line="240" w:lineRule="atLeast"/>
              <w:ind w:left="0" w:firstLine="0"/>
              <w:rPr>
                <w:rFonts w:cs="Calibri Light"/>
                <w:sz w:val="20"/>
                <w:szCs w:val="20"/>
              </w:rPr>
            </w:pPr>
          </w:p>
        </w:tc>
        <w:tc>
          <w:tcPr>
            <w:tcW w:w="236" w:type="dxa"/>
            <w:gridSpan w:val="3"/>
            <w:vAlign w:val="bottom"/>
          </w:tcPr>
          <w:p w14:paraId="4C8911E5" w14:textId="77777777" w:rsidR="006F3A86" w:rsidRPr="00660D34" w:rsidRDefault="006F3A86" w:rsidP="006F3A86">
            <w:pPr>
              <w:pStyle w:val="levela"/>
              <w:keepNext/>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4180642B" w14:textId="77777777" w:rsidR="006F3A86" w:rsidRPr="00660D34" w:rsidRDefault="006F3A86" w:rsidP="006F3A86">
            <w:pPr>
              <w:pStyle w:val="levela"/>
              <w:keepNext/>
              <w:spacing w:before="120" w:after="120" w:line="240" w:lineRule="atLeast"/>
              <w:jc w:val="center"/>
              <w:rPr>
                <w:rFonts w:cs="Calibri Light"/>
                <w:sz w:val="20"/>
                <w:szCs w:val="20"/>
              </w:rPr>
            </w:pPr>
          </w:p>
        </w:tc>
      </w:tr>
      <w:tr w:rsidR="006F3A86" w:rsidRPr="004005A4" w14:paraId="6765B08B" w14:textId="77777777" w:rsidTr="00CC36C1">
        <w:trPr>
          <w:gridBefore w:val="1"/>
          <w:wBefore w:w="17" w:type="dxa"/>
        </w:trPr>
        <w:tc>
          <w:tcPr>
            <w:tcW w:w="7483" w:type="dxa"/>
            <w:gridSpan w:val="2"/>
          </w:tcPr>
          <w:p w14:paraId="1FE67BA0" w14:textId="3A327FB4" w:rsidR="006F3A86" w:rsidRPr="004005A4" w:rsidRDefault="006F3A86" w:rsidP="006F3A86">
            <w:pPr>
              <w:pStyle w:val="level1"/>
              <w:numPr>
                <w:ilvl w:val="0"/>
                <w:numId w:val="109"/>
              </w:numPr>
              <w:tabs>
                <w:tab w:val="clear" w:pos="1152"/>
              </w:tabs>
              <w:spacing w:after="120" w:line="240" w:lineRule="atLeast"/>
              <w:ind w:left="1132" w:hanging="360"/>
              <w:rPr>
                <w:rFonts w:cs="Calibri Light"/>
                <w:sz w:val="20"/>
                <w:szCs w:val="20"/>
              </w:rPr>
            </w:pPr>
            <w:r w:rsidRPr="004005A4">
              <w:rPr>
                <w:rFonts w:cs="Calibri Light"/>
                <w:sz w:val="20"/>
                <w:szCs w:val="20"/>
              </w:rPr>
              <w:t>The summarized financial information of each such affiliate consolidated in the registrant’s financial statements may be presented on a combined basis;</w:t>
            </w:r>
          </w:p>
        </w:tc>
        <w:tc>
          <w:tcPr>
            <w:tcW w:w="1209" w:type="dxa"/>
            <w:gridSpan w:val="2"/>
            <w:tcBorders>
              <w:top w:val="single" w:sz="4" w:space="0" w:color="auto"/>
              <w:bottom w:val="single" w:sz="4" w:space="0" w:color="auto"/>
            </w:tcBorders>
            <w:vAlign w:val="bottom"/>
          </w:tcPr>
          <w:p w14:paraId="68217088" w14:textId="77777777" w:rsidR="006F3A86" w:rsidRPr="00660D34" w:rsidRDefault="006F3A86" w:rsidP="006F3A86">
            <w:pPr>
              <w:pStyle w:val="levela"/>
              <w:keepNext/>
              <w:spacing w:before="120" w:after="120" w:line="240" w:lineRule="atLeast"/>
              <w:ind w:left="0" w:firstLine="0"/>
              <w:rPr>
                <w:rFonts w:cs="Calibri Light"/>
                <w:sz w:val="20"/>
                <w:szCs w:val="20"/>
              </w:rPr>
            </w:pPr>
          </w:p>
        </w:tc>
        <w:tc>
          <w:tcPr>
            <w:tcW w:w="236" w:type="dxa"/>
            <w:gridSpan w:val="3"/>
            <w:vAlign w:val="bottom"/>
          </w:tcPr>
          <w:p w14:paraId="65E6EF37" w14:textId="77777777" w:rsidR="006F3A86" w:rsidRPr="00660D34" w:rsidRDefault="006F3A86" w:rsidP="006F3A86">
            <w:pPr>
              <w:pStyle w:val="levela"/>
              <w:keepNext/>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6773FAB4" w14:textId="77777777" w:rsidR="006F3A86" w:rsidRPr="00660D34" w:rsidRDefault="006F3A86" w:rsidP="006F3A86">
            <w:pPr>
              <w:pStyle w:val="levela"/>
              <w:keepNext/>
              <w:spacing w:before="120" w:after="120" w:line="240" w:lineRule="atLeast"/>
              <w:jc w:val="center"/>
              <w:rPr>
                <w:rFonts w:cs="Calibri Light"/>
                <w:sz w:val="20"/>
                <w:szCs w:val="20"/>
              </w:rPr>
            </w:pPr>
          </w:p>
        </w:tc>
      </w:tr>
      <w:tr w:rsidR="006F3A86" w:rsidRPr="004005A4" w14:paraId="0D34F9A4" w14:textId="77777777" w:rsidTr="00CC36C1">
        <w:trPr>
          <w:gridBefore w:val="1"/>
          <w:wBefore w:w="17" w:type="dxa"/>
        </w:trPr>
        <w:tc>
          <w:tcPr>
            <w:tcW w:w="7483" w:type="dxa"/>
            <w:gridSpan w:val="2"/>
          </w:tcPr>
          <w:p w14:paraId="51FAEA47" w14:textId="3E59ED77" w:rsidR="006F3A86" w:rsidRPr="004005A4" w:rsidRDefault="006F3A86" w:rsidP="006F3A86">
            <w:pPr>
              <w:pStyle w:val="level1"/>
              <w:numPr>
                <w:ilvl w:val="0"/>
                <w:numId w:val="109"/>
              </w:numPr>
              <w:tabs>
                <w:tab w:val="clear" w:pos="1152"/>
              </w:tabs>
              <w:spacing w:after="120" w:line="240" w:lineRule="atLeast"/>
              <w:ind w:left="1132" w:hanging="360"/>
              <w:rPr>
                <w:rFonts w:cs="Calibri Light"/>
                <w:sz w:val="20"/>
                <w:szCs w:val="20"/>
              </w:rPr>
            </w:pPr>
            <w:r w:rsidRPr="004005A4">
              <w:rPr>
                <w:rFonts w:cs="Calibri Light"/>
                <w:sz w:val="20"/>
                <w:szCs w:val="20"/>
              </w:rPr>
              <w:t>Intercompany balances and transactions between affiliates whose summarized financial information is presented on a combined basis shall be eliminated;</w:t>
            </w:r>
          </w:p>
        </w:tc>
        <w:tc>
          <w:tcPr>
            <w:tcW w:w="1209" w:type="dxa"/>
            <w:gridSpan w:val="2"/>
            <w:tcBorders>
              <w:top w:val="single" w:sz="4" w:space="0" w:color="auto"/>
              <w:bottom w:val="single" w:sz="4" w:space="0" w:color="auto"/>
            </w:tcBorders>
            <w:vAlign w:val="bottom"/>
          </w:tcPr>
          <w:p w14:paraId="21FA973D" w14:textId="77777777" w:rsidR="006F3A86" w:rsidRPr="00660D34" w:rsidRDefault="006F3A86" w:rsidP="006F3A86">
            <w:pPr>
              <w:pStyle w:val="levela"/>
              <w:keepNext/>
              <w:spacing w:before="120" w:after="120" w:line="240" w:lineRule="atLeast"/>
              <w:ind w:left="0" w:firstLine="0"/>
              <w:rPr>
                <w:rFonts w:cs="Calibri Light"/>
                <w:sz w:val="20"/>
                <w:szCs w:val="20"/>
              </w:rPr>
            </w:pPr>
          </w:p>
        </w:tc>
        <w:tc>
          <w:tcPr>
            <w:tcW w:w="236" w:type="dxa"/>
            <w:gridSpan w:val="3"/>
            <w:vAlign w:val="bottom"/>
          </w:tcPr>
          <w:p w14:paraId="2588B2CA" w14:textId="77777777" w:rsidR="006F3A86" w:rsidRPr="00660D34" w:rsidRDefault="006F3A86" w:rsidP="006F3A86">
            <w:pPr>
              <w:pStyle w:val="levela"/>
              <w:keepNext/>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083FA8A2" w14:textId="77777777" w:rsidR="006F3A86" w:rsidRPr="00660D34" w:rsidRDefault="006F3A86" w:rsidP="006F3A86">
            <w:pPr>
              <w:pStyle w:val="levela"/>
              <w:keepNext/>
              <w:spacing w:before="120" w:after="120" w:line="240" w:lineRule="atLeast"/>
              <w:jc w:val="center"/>
              <w:rPr>
                <w:rFonts w:cs="Calibri Light"/>
                <w:sz w:val="20"/>
                <w:szCs w:val="20"/>
              </w:rPr>
            </w:pPr>
          </w:p>
        </w:tc>
      </w:tr>
      <w:tr w:rsidR="006F3A86" w:rsidRPr="004005A4" w14:paraId="69B61880" w14:textId="77777777" w:rsidTr="00CC36C1">
        <w:trPr>
          <w:gridBefore w:val="1"/>
          <w:wBefore w:w="17" w:type="dxa"/>
        </w:trPr>
        <w:tc>
          <w:tcPr>
            <w:tcW w:w="7483" w:type="dxa"/>
            <w:gridSpan w:val="2"/>
          </w:tcPr>
          <w:p w14:paraId="09794624" w14:textId="1F35A3B2" w:rsidR="006F3A86" w:rsidRPr="004005A4" w:rsidRDefault="006F3A86" w:rsidP="006F3A86">
            <w:pPr>
              <w:pStyle w:val="level1"/>
              <w:numPr>
                <w:ilvl w:val="0"/>
                <w:numId w:val="109"/>
              </w:numPr>
              <w:tabs>
                <w:tab w:val="clear" w:pos="1152"/>
              </w:tabs>
              <w:spacing w:after="120" w:line="240" w:lineRule="atLeast"/>
              <w:ind w:left="1132" w:hanging="360"/>
              <w:rPr>
                <w:rFonts w:cs="Calibri Light"/>
                <w:sz w:val="20"/>
                <w:szCs w:val="20"/>
              </w:rPr>
            </w:pPr>
            <w:r w:rsidRPr="004005A4">
              <w:rPr>
                <w:rFonts w:cs="Calibri Light"/>
                <w:sz w:val="20"/>
                <w:szCs w:val="20"/>
              </w:rPr>
              <w:t xml:space="preserve">An affiliate’s amounts due from, amounts due to, and transactions with any of the following shall be presented in separate line items: </w:t>
            </w:r>
            <w:r>
              <w:rPr>
                <w:rFonts w:cs="Calibri Light"/>
                <w:sz w:val="20"/>
                <w:szCs w:val="20"/>
              </w:rPr>
              <w:t>(</w:t>
            </w:r>
            <w:r w:rsidRPr="004005A4">
              <w:rPr>
                <w:rFonts w:cs="Calibri Light"/>
                <w:sz w:val="20"/>
                <w:szCs w:val="20"/>
              </w:rPr>
              <w:t xml:space="preserve">A) the registrant; </w:t>
            </w:r>
            <w:r>
              <w:rPr>
                <w:rFonts w:cs="Calibri Light"/>
                <w:sz w:val="20"/>
                <w:szCs w:val="20"/>
              </w:rPr>
              <w:t>(</w:t>
            </w:r>
            <w:r w:rsidRPr="004005A4">
              <w:rPr>
                <w:rFonts w:cs="Calibri Light"/>
                <w:sz w:val="20"/>
                <w:szCs w:val="20"/>
              </w:rPr>
              <w:t xml:space="preserve">B) Any of the registrant’s subsidiaries not included in the summarized financial information of the affiliate(s); and </w:t>
            </w:r>
            <w:r>
              <w:rPr>
                <w:rFonts w:cs="Calibri Light"/>
                <w:sz w:val="20"/>
                <w:szCs w:val="20"/>
              </w:rPr>
              <w:t>(</w:t>
            </w:r>
            <w:r w:rsidRPr="004005A4">
              <w:rPr>
                <w:rFonts w:cs="Calibri Light"/>
                <w:sz w:val="20"/>
                <w:szCs w:val="20"/>
              </w:rPr>
              <w:t>C) related parties.</w:t>
            </w:r>
          </w:p>
        </w:tc>
        <w:tc>
          <w:tcPr>
            <w:tcW w:w="1209" w:type="dxa"/>
            <w:gridSpan w:val="2"/>
            <w:tcBorders>
              <w:top w:val="single" w:sz="4" w:space="0" w:color="auto"/>
              <w:bottom w:val="single" w:sz="4" w:space="0" w:color="auto"/>
            </w:tcBorders>
            <w:vAlign w:val="bottom"/>
          </w:tcPr>
          <w:p w14:paraId="0C847F37" w14:textId="77777777" w:rsidR="006F3A86" w:rsidRPr="00660D34" w:rsidRDefault="006F3A86" w:rsidP="006F3A86">
            <w:pPr>
              <w:pStyle w:val="levela"/>
              <w:keepNext/>
              <w:spacing w:before="120" w:after="120" w:line="240" w:lineRule="atLeast"/>
              <w:ind w:left="0" w:firstLine="0"/>
              <w:rPr>
                <w:rFonts w:cs="Calibri Light"/>
                <w:sz w:val="20"/>
                <w:szCs w:val="20"/>
              </w:rPr>
            </w:pPr>
          </w:p>
        </w:tc>
        <w:tc>
          <w:tcPr>
            <w:tcW w:w="236" w:type="dxa"/>
            <w:gridSpan w:val="3"/>
            <w:vAlign w:val="bottom"/>
          </w:tcPr>
          <w:p w14:paraId="521113EE" w14:textId="77777777" w:rsidR="006F3A86" w:rsidRPr="00660D34" w:rsidRDefault="006F3A86" w:rsidP="006F3A86">
            <w:pPr>
              <w:pStyle w:val="levela"/>
              <w:keepNext/>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74367F14" w14:textId="77777777" w:rsidR="006F3A86" w:rsidRPr="00660D34" w:rsidRDefault="006F3A86" w:rsidP="006F3A86">
            <w:pPr>
              <w:pStyle w:val="levela"/>
              <w:keepNext/>
              <w:spacing w:before="120" w:after="120" w:line="240" w:lineRule="atLeast"/>
              <w:jc w:val="center"/>
              <w:rPr>
                <w:rFonts w:cs="Calibri Light"/>
                <w:sz w:val="20"/>
                <w:szCs w:val="20"/>
              </w:rPr>
            </w:pPr>
          </w:p>
        </w:tc>
      </w:tr>
      <w:tr w:rsidR="006F3A86" w:rsidRPr="004005A4" w14:paraId="26E3B314" w14:textId="77777777" w:rsidTr="00CC36C1">
        <w:trPr>
          <w:gridBefore w:val="1"/>
          <w:wBefore w:w="17" w:type="dxa"/>
        </w:trPr>
        <w:tc>
          <w:tcPr>
            <w:tcW w:w="7483" w:type="dxa"/>
            <w:gridSpan w:val="2"/>
          </w:tcPr>
          <w:p w14:paraId="06B0AEE3" w14:textId="0A932404" w:rsidR="006F3A86" w:rsidRPr="004005A4" w:rsidRDefault="006F3A86" w:rsidP="006F3A86">
            <w:pPr>
              <w:pStyle w:val="level1"/>
              <w:numPr>
                <w:ilvl w:val="0"/>
                <w:numId w:val="109"/>
              </w:numPr>
              <w:tabs>
                <w:tab w:val="clear" w:pos="1152"/>
              </w:tabs>
              <w:spacing w:after="120" w:line="240" w:lineRule="atLeast"/>
              <w:ind w:left="1132" w:hanging="360"/>
              <w:rPr>
                <w:rFonts w:cs="Calibri Light"/>
                <w:sz w:val="20"/>
                <w:szCs w:val="20"/>
              </w:rPr>
            </w:pPr>
            <w:r w:rsidRPr="004005A4">
              <w:rPr>
                <w:rFonts w:cs="Calibri Light"/>
                <w:sz w:val="20"/>
                <w:szCs w:val="20"/>
              </w:rPr>
              <w:t>If the information provided in response to the requirements of this section (e.g., the</w:t>
            </w:r>
            <w:r>
              <w:rPr>
                <w:rFonts w:cs="Calibri Light"/>
                <w:sz w:val="20"/>
                <w:szCs w:val="20"/>
              </w:rPr>
              <w:t xml:space="preserve"> </w:t>
            </w:r>
            <w:r w:rsidRPr="004005A4">
              <w:rPr>
                <w:rFonts w:cs="Calibri Light"/>
                <w:sz w:val="20"/>
                <w:szCs w:val="20"/>
              </w:rPr>
              <w:t>trading market for the affiliate’s security pledged as collateral or a statement that there is no market) is applicable to one or more, but not all, affiliates, separately disclose the summarized financial information applicable to those affiliates. In limited circumstances (i.e., where the separate financial information applicable to those affiliates can be easily explained and understood), narrative disclosure may be provided in lieu of the separate summarized financial information otherwise required by this paragraph;</w:t>
            </w:r>
          </w:p>
        </w:tc>
        <w:tc>
          <w:tcPr>
            <w:tcW w:w="1209" w:type="dxa"/>
            <w:gridSpan w:val="2"/>
            <w:tcBorders>
              <w:top w:val="single" w:sz="4" w:space="0" w:color="auto"/>
              <w:bottom w:val="single" w:sz="4" w:space="0" w:color="auto"/>
            </w:tcBorders>
            <w:vAlign w:val="bottom"/>
          </w:tcPr>
          <w:p w14:paraId="4331E5B3" w14:textId="77777777" w:rsidR="006F3A86" w:rsidRPr="00660D34" w:rsidRDefault="006F3A86" w:rsidP="006F3A86">
            <w:pPr>
              <w:pStyle w:val="levela"/>
              <w:keepNext/>
              <w:spacing w:before="120" w:after="120" w:line="240" w:lineRule="atLeast"/>
              <w:ind w:left="0" w:firstLine="0"/>
              <w:rPr>
                <w:rFonts w:cs="Calibri Light"/>
                <w:sz w:val="20"/>
                <w:szCs w:val="20"/>
              </w:rPr>
            </w:pPr>
          </w:p>
        </w:tc>
        <w:tc>
          <w:tcPr>
            <w:tcW w:w="236" w:type="dxa"/>
            <w:gridSpan w:val="3"/>
            <w:vAlign w:val="bottom"/>
          </w:tcPr>
          <w:p w14:paraId="6C45D672" w14:textId="77777777" w:rsidR="006F3A86" w:rsidRPr="00660D34" w:rsidRDefault="006F3A86" w:rsidP="006F3A86">
            <w:pPr>
              <w:pStyle w:val="levela"/>
              <w:keepNext/>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4E40CC1F" w14:textId="77777777" w:rsidR="006F3A86" w:rsidRPr="00660D34" w:rsidRDefault="006F3A86" w:rsidP="006F3A86">
            <w:pPr>
              <w:pStyle w:val="levela"/>
              <w:keepNext/>
              <w:spacing w:before="120" w:after="120" w:line="240" w:lineRule="atLeast"/>
              <w:jc w:val="center"/>
              <w:rPr>
                <w:rFonts w:cs="Calibri Light"/>
                <w:sz w:val="20"/>
                <w:szCs w:val="20"/>
              </w:rPr>
            </w:pPr>
          </w:p>
        </w:tc>
      </w:tr>
      <w:tr w:rsidR="006F3A86" w:rsidRPr="004005A4" w14:paraId="1DDB3D6A" w14:textId="77777777" w:rsidTr="00CC36C1">
        <w:trPr>
          <w:gridBefore w:val="1"/>
          <w:wBefore w:w="17" w:type="dxa"/>
        </w:trPr>
        <w:tc>
          <w:tcPr>
            <w:tcW w:w="7483" w:type="dxa"/>
            <w:gridSpan w:val="2"/>
          </w:tcPr>
          <w:p w14:paraId="54744C9A" w14:textId="49D95C0F" w:rsidR="006F3A86" w:rsidRPr="004005A4" w:rsidRDefault="006F3A86" w:rsidP="006F3A86">
            <w:pPr>
              <w:pStyle w:val="level1"/>
              <w:numPr>
                <w:ilvl w:val="0"/>
                <w:numId w:val="109"/>
              </w:numPr>
              <w:tabs>
                <w:tab w:val="clear" w:pos="1152"/>
              </w:tabs>
              <w:spacing w:after="120" w:line="240" w:lineRule="atLeast"/>
              <w:ind w:left="1132" w:hanging="360"/>
              <w:rPr>
                <w:rFonts w:cs="Calibri Light"/>
                <w:sz w:val="20"/>
                <w:szCs w:val="20"/>
              </w:rPr>
            </w:pPr>
            <w:r w:rsidRPr="004005A4">
              <w:rPr>
                <w:rFonts w:cs="Calibri Light"/>
                <w:sz w:val="20"/>
                <w:szCs w:val="20"/>
              </w:rPr>
              <w:t>Disclose this summarized financial information as of and for the most recently ended fiscal year and year-to-date interim period included in the registrant’s consolidated financial statements; and</w:t>
            </w:r>
          </w:p>
        </w:tc>
        <w:tc>
          <w:tcPr>
            <w:tcW w:w="1209" w:type="dxa"/>
            <w:gridSpan w:val="2"/>
            <w:tcBorders>
              <w:top w:val="single" w:sz="4" w:space="0" w:color="auto"/>
              <w:bottom w:val="single" w:sz="4" w:space="0" w:color="auto"/>
            </w:tcBorders>
            <w:vAlign w:val="bottom"/>
          </w:tcPr>
          <w:p w14:paraId="0CAB813F" w14:textId="77777777" w:rsidR="006F3A86" w:rsidRPr="00660D34" w:rsidRDefault="006F3A86" w:rsidP="006F3A86">
            <w:pPr>
              <w:pStyle w:val="levela"/>
              <w:keepNext/>
              <w:spacing w:before="120" w:after="120" w:line="240" w:lineRule="atLeast"/>
              <w:ind w:left="0" w:firstLine="0"/>
              <w:rPr>
                <w:rFonts w:cs="Calibri Light"/>
                <w:sz w:val="20"/>
                <w:szCs w:val="20"/>
              </w:rPr>
            </w:pPr>
          </w:p>
        </w:tc>
        <w:tc>
          <w:tcPr>
            <w:tcW w:w="236" w:type="dxa"/>
            <w:gridSpan w:val="3"/>
            <w:vAlign w:val="bottom"/>
          </w:tcPr>
          <w:p w14:paraId="2A8A0470" w14:textId="77777777" w:rsidR="006F3A86" w:rsidRPr="00660D34" w:rsidRDefault="006F3A86" w:rsidP="006F3A86">
            <w:pPr>
              <w:pStyle w:val="levela"/>
              <w:keepNext/>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0BD8F928" w14:textId="77777777" w:rsidR="006F3A86" w:rsidRPr="00660D34" w:rsidRDefault="006F3A86" w:rsidP="006F3A86">
            <w:pPr>
              <w:pStyle w:val="levela"/>
              <w:keepNext/>
              <w:spacing w:before="120" w:after="120" w:line="240" w:lineRule="atLeast"/>
              <w:jc w:val="center"/>
              <w:rPr>
                <w:rFonts w:cs="Calibri Light"/>
                <w:sz w:val="20"/>
                <w:szCs w:val="20"/>
              </w:rPr>
            </w:pPr>
          </w:p>
        </w:tc>
      </w:tr>
      <w:tr w:rsidR="006F3A86" w:rsidRPr="004005A4" w14:paraId="29BC33F4" w14:textId="77777777" w:rsidTr="00CC36C1">
        <w:trPr>
          <w:gridBefore w:val="1"/>
          <w:wBefore w:w="17" w:type="dxa"/>
        </w:trPr>
        <w:tc>
          <w:tcPr>
            <w:tcW w:w="7483" w:type="dxa"/>
            <w:gridSpan w:val="2"/>
          </w:tcPr>
          <w:p w14:paraId="1A273449" w14:textId="200078E7" w:rsidR="006F3A86" w:rsidRPr="004005A4" w:rsidRDefault="006F3A86" w:rsidP="006F3A86">
            <w:pPr>
              <w:pStyle w:val="level1"/>
              <w:numPr>
                <w:ilvl w:val="0"/>
                <w:numId w:val="109"/>
              </w:numPr>
              <w:tabs>
                <w:tab w:val="clear" w:pos="1152"/>
              </w:tabs>
              <w:spacing w:after="120" w:line="240" w:lineRule="atLeast"/>
              <w:ind w:left="1132" w:hanging="360"/>
              <w:rPr>
                <w:rFonts w:cs="Calibri Light"/>
                <w:sz w:val="20"/>
                <w:szCs w:val="20"/>
              </w:rPr>
            </w:pPr>
            <w:r w:rsidRPr="004005A4">
              <w:rPr>
                <w:rFonts w:cs="Calibri Light"/>
                <w:sz w:val="20"/>
                <w:szCs w:val="20"/>
              </w:rPr>
              <w:t>Notwithstanding that a registrant may omit this summarized financial information if not material, it may also be omitted if one of the following in paragraph (a)(4)(vi)(A) or (B) of this section is true and disclosed. However, paragraph (a)(4)(vi)(A) does not apply if separate disclosure of summarized financial information applicable to one or more, but not all, affiliates is required by paragraph (a)(4)(iv) of this section</w:t>
            </w:r>
            <w:r>
              <w:rPr>
                <w:rFonts w:cs="Calibri Light"/>
                <w:sz w:val="20"/>
                <w:szCs w:val="20"/>
              </w:rPr>
              <w:t>.</w:t>
            </w:r>
          </w:p>
        </w:tc>
        <w:tc>
          <w:tcPr>
            <w:tcW w:w="1209" w:type="dxa"/>
            <w:gridSpan w:val="2"/>
            <w:tcBorders>
              <w:top w:val="single" w:sz="4" w:space="0" w:color="auto"/>
              <w:bottom w:val="single" w:sz="4" w:space="0" w:color="auto"/>
            </w:tcBorders>
            <w:vAlign w:val="bottom"/>
          </w:tcPr>
          <w:p w14:paraId="6D0D9CD3" w14:textId="77777777" w:rsidR="006F3A86" w:rsidRPr="00660D34" w:rsidRDefault="006F3A86" w:rsidP="006F3A86">
            <w:pPr>
              <w:pStyle w:val="levela"/>
              <w:keepNext/>
              <w:spacing w:before="120" w:after="120" w:line="240" w:lineRule="atLeast"/>
              <w:ind w:left="0" w:firstLine="0"/>
              <w:rPr>
                <w:rFonts w:cs="Calibri Light"/>
                <w:sz w:val="20"/>
                <w:szCs w:val="20"/>
              </w:rPr>
            </w:pPr>
          </w:p>
        </w:tc>
        <w:tc>
          <w:tcPr>
            <w:tcW w:w="236" w:type="dxa"/>
            <w:gridSpan w:val="3"/>
            <w:vAlign w:val="bottom"/>
          </w:tcPr>
          <w:p w14:paraId="3E462F5B" w14:textId="77777777" w:rsidR="006F3A86" w:rsidRPr="00660D34" w:rsidRDefault="006F3A86" w:rsidP="006F3A86">
            <w:pPr>
              <w:pStyle w:val="levela"/>
              <w:keepNext/>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259394B2" w14:textId="77777777" w:rsidR="006F3A86" w:rsidRPr="00660D34" w:rsidRDefault="006F3A86" w:rsidP="006F3A86">
            <w:pPr>
              <w:pStyle w:val="levela"/>
              <w:keepNext/>
              <w:spacing w:before="120" w:after="120" w:line="240" w:lineRule="atLeast"/>
              <w:jc w:val="center"/>
              <w:rPr>
                <w:rFonts w:cs="Calibri Light"/>
                <w:sz w:val="20"/>
                <w:szCs w:val="20"/>
              </w:rPr>
            </w:pPr>
          </w:p>
        </w:tc>
      </w:tr>
      <w:tr w:rsidR="006F3A86" w:rsidRPr="004005A4" w14:paraId="6C6E7461" w14:textId="77777777" w:rsidTr="00CC36C1">
        <w:trPr>
          <w:gridBefore w:val="1"/>
          <w:wBefore w:w="17" w:type="dxa"/>
        </w:trPr>
        <w:tc>
          <w:tcPr>
            <w:tcW w:w="7483" w:type="dxa"/>
            <w:gridSpan w:val="2"/>
          </w:tcPr>
          <w:p w14:paraId="5EEF94A0" w14:textId="71005906" w:rsidR="006F3A86" w:rsidRPr="004005A4" w:rsidRDefault="006F3A86" w:rsidP="006F3A86">
            <w:pPr>
              <w:pStyle w:val="level1"/>
              <w:numPr>
                <w:ilvl w:val="0"/>
                <w:numId w:val="60"/>
              </w:numPr>
              <w:spacing w:after="120" w:line="240" w:lineRule="atLeast"/>
              <w:ind w:left="1497"/>
              <w:rPr>
                <w:rFonts w:cs="Calibri Light"/>
                <w:sz w:val="20"/>
                <w:szCs w:val="20"/>
              </w:rPr>
            </w:pPr>
            <w:r w:rsidRPr="004005A4">
              <w:rPr>
                <w:rFonts w:cs="Calibri Light"/>
                <w:sz w:val="20"/>
                <w:szCs w:val="20"/>
              </w:rPr>
              <w:t>The assets, liabilities</w:t>
            </w:r>
            <w:r>
              <w:rPr>
                <w:rFonts w:cs="Calibri Light"/>
                <w:sz w:val="20"/>
                <w:szCs w:val="20"/>
              </w:rPr>
              <w:t>,</w:t>
            </w:r>
            <w:r w:rsidRPr="004005A4">
              <w:rPr>
                <w:rFonts w:cs="Calibri Light"/>
                <w:sz w:val="20"/>
                <w:szCs w:val="20"/>
              </w:rPr>
              <w:t xml:space="preserve"> and results of operations of the combined affiliates whose securities are pledged as collateral are not materially different than the corresponding amounts presented in the consolidated financial statements of the registrant; or</w:t>
            </w:r>
          </w:p>
        </w:tc>
        <w:tc>
          <w:tcPr>
            <w:tcW w:w="1209" w:type="dxa"/>
            <w:gridSpan w:val="2"/>
            <w:tcBorders>
              <w:top w:val="single" w:sz="4" w:space="0" w:color="auto"/>
              <w:bottom w:val="single" w:sz="4" w:space="0" w:color="auto"/>
            </w:tcBorders>
            <w:vAlign w:val="bottom"/>
          </w:tcPr>
          <w:p w14:paraId="2825A71A"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47885647"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462C6B8"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62CA8842" w14:textId="77777777" w:rsidTr="00CC36C1">
        <w:trPr>
          <w:gridBefore w:val="1"/>
          <w:wBefore w:w="17" w:type="dxa"/>
        </w:trPr>
        <w:tc>
          <w:tcPr>
            <w:tcW w:w="7483" w:type="dxa"/>
            <w:gridSpan w:val="2"/>
          </w:tcPr>
          <w:p w14:paraId="60606220" w14:textId="629802D9" w:rsidR="006F3A86" w:rsidRPr="004005A4" w:rsidRDefault="006F3A86" w:rsidP="006F3A86">
            <w:pPr>
              <w:pStyle w:val="level1"/>
              <w:numPr>
                <w:ilvl w:val="0"/>
                <w:numId w:val="60"/>
              </w:numPr>
              <w:spacing w:after="120" w:line="240" w:lineRule="atLeast"/>
              <w:ind w:left="1497"/>
              <w:rPr>
                <w:rFonts w:cs="Calibri Light"/>
                <w:sz w:val="20"/>
                <w:szCs w:val="20"/>
              </w:rPr>
            </w:pPr>
            <w:r w:rsidRPr="004005A4">
              <w:rPr>
                <w:rFonts w:cs="Calibri Light"/>
                <w:sz w:val="20"/>
                <w:szCs w:val="20"/>
              </w:rPr>
              <w:lastRenderedPageBreak/>
              <w:t>The combined affiliates whose securities are pledged as collateral have no material assets, liabilities or results of operations</w:t>
            </w:r>
            <w:r>
              <w:rPr>
                <w:rFonts w:cs="Calibri Light"/>
                <w:sz w:val="20"/>
                <w:szCs w:val="20"/>
              </w:rPr>
              <w:t>.</w:t>
            </w:r>
          </w:p>
        </w:tc>
        <w:tc>
          <w:tcPr>
            <w:tcW w:w="1209" w:type="dxa"/>
            <w:gridSpan w:val="2"/>
            <w:tcBorders>
              <w:top w:val="single" w:sz="4" w:space="0" w:color="auto"/>
              <w:bottom w:val="single" w:sz="4" w:space="0" w:color="auto"/>
            </w:tcBorders>
            <w:vAlign w:val="bottom"/>
          </w:tcPr>
          <w:p w14:paraId="6CA15FD5"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05E6520A"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FE5ED39"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1810A57D" w14:textId="77777777" w:rsidTr="00CC36C1">
        <w:trPr>
          <w:gridBefore w:val="1"/>
          <w:wBefore w:w="17" w:type="dxa"/>
        </w:trPr>
        <w:tc>
          <w:tcPr>
            <w:tcW w:w="7483" w:type="dxa"/>
            <w:gridSpan w:val="2"/>
          </w:tcPr>
          <w:p w14:paraId="668E0DF9" w14:textId="615EA5AA" w:rsidR="006F3A86" w:rsidRPr="004005A4" w:rsidRDefault="006F3A86" w:rsidP="006F3A86">
            <w:pPr>
              <w:pStyle w:val="level1"/>
              <w:numPr>
                <w:ilvl w:val="0"/>
                <w:numId w:val="108"/>
              </w:numPr>
              <w:tabs>
                <w:tab w:val="clear" w:pos="576"/>
                <w:tab w:val="clear" w:pos="1152"/>
              </w:tabs>
              <w:spacing w:after="120" w:line="240" w:lineRule="atLeast"/>
              <w:ind w:left="592" w:hanging="270"/>
              <w:rPr>
                <w:rFonts w:cs="Calibri Light"/>
                <w:sz w:val="20"/>
                <w:szCs w:val="20"/>
              </w:rPr>
            </w:pPr>
            <w:r>
              <w:rPr>
                <w:rFonts w:cs="Calibri Light"/>
                <w:sz w:val="20"/>
                <w:szCs w:val="20"/>
              </w:rPr>
              <w:t>I</w:t>
            </w:r>
            <w:r w:rsidRPr="004005A4">
              <w:rPr>
                <w:rFonts w:cs="Calibri Light"/>
                <w:sz w:val="20"/>
                <w:szCs w:val="20"/>
              </w:rPr>
              <w:t>n a Securities Act registration statement filed in connection with the offer and sale of the collateralized security, if the registrant acquired a significant business after the date of the registrant’s most recent balance sheet included in its consolidated financial statements and the acquired business, one or more of the acquired business’s subsidiaries, or the acquired business and one or more of its subsidiaries are affiliates whose securities collateralize the registrant’s collateralized security, disclose pre-acquisition summarized financial information as specified in paragraph (a)(4) of this section for each such affiliate. The acquired business is significant if it meets any of the conditions specified in the definition of significant subsidiary in S-X Rule 1-02(w), substituting 20 percent for 10 percent each place it appears therein, based on a comparison of the most recent annual financial statements of the acquired business and the registrant’s most recent annual consolidated financial statements filed at or prior to the date of acquisition. The determination of whether a business has been acquired shall be made in accordance with the guidance set forth in S-X Rule 11-01(d). Acquisitions of a group of related businesses shall be treated as if they are a single business acquisition for purposes of this comparison. The determination of whether a group of businesses are related shall be made in a manner consistent with S-X Rule 3-05(a)(3);</w:t>
            </w:r>
          </w:p>
        </w:tc>
        <w:tc>
          <w:tcPr>
            <w:tcW w:w="1209" w:type="dxa"/>
            <w:gridSpan w:val="2"/>
            <w:tcBorders>
              <w:top w:val="single" w:sz="4" w:space="0" w:color="auto"/>
              <w:bottom w:val="single" w:sz="4" w:space="0" w:color="auto"/>
            </w:tcBorders>
            <w:vAlign w:val="bottom"/>
          </w:tcPr>
          <w:p w14:paraId="72BAE6D1"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0735C635"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501907C"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1B9AA6A1" w14:textId="77777777" w:rsidTr="00CC36C1">
        <w:trPr>
          <w:gridBefore w:val="1"/>
          <w:wBefore w:w="17" w:type="dxa"/>
        </w:trPr>
        <w:tc>
          <w:tcPr>
            <w:tcW w:w="7483" w:type="dxa"/>
            <w:gridSpan w:val="2"/>
          </w:tcPr>
          <w:p w14:paraId="72EDA7D1" w14:textId="60039DEB" w:rsidR="006F3A86" w:rsidRPr="004005A4" w:rsidRDefault="006F3A86" w:rsidP="006F3A86">
            <w:pPr>
              <w:pStyle w:val="level1"/>
              <w:numPr>
                <w:ilvl w:val="0"/>
                <w:numId w:val="108"/>
              </w:numPr>
              <w:tabs>
                <w:tab w:val="clear" w:pos="576"/>
                <w:tab w:val="clear" w:pos="1152"/>
              </w:tabs>
              <w:spacing w:after="120" w:line="240" w:lineRule="atLeast"/>
              <w:ind w:left="592" w:hanging="270"/>
              <w:rPr>
                <w:rFonts w:cs="Calibri Light"/>
                <w:sz w:val="20"/>
                <w:szCs w:val="20"/>
              </w:rPr>
            </w:pPr>
            <w:r w:rsidRPr="004005A4">
              <w:rPr>
                <w:rFonts w:cs="Calibri Light"/>
                <w:sz w:val="20"/>
                <w:szCs w:val="20"/>
              </w:rPr>
              <w:t>Any financial and narrative information about each such affiliate if the information would be material for investors to evaluate the pledge of the affiliate’s securities as collateral; and</w:t>
            </w:r>
          </w:p>
        </w:tc>
        <w:tc>
          <w:tcPr>
            <w:tcW w:w="1209" w:type="dxa"/>
            <w:gridSpan w:val="2"/>
            <w:tcBorders>
              <w:top w:val="single" w:sz="4" w:space="0" w:color="auto"/>
              <w:bottom w:val="single" w:sz="4" w:space="0" w:color="auto"/>
            </w:tcBorders>
            <w:vAlign w:val="bottom"/>
          </w:tcPr>
          <w:p w14:paraId="224BF1D1"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5688A030"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276334B"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36715ADB" w14:textId="77777777" w:rsidTr="00CC36C1">
        <w:trPr>
          <w:gridBefore w:val="1"/>
          <w:wBefore w:w="17" w:type="dxa"/>
        </w:trPr>
        <w:tc>
          <w:tcPr>
            <w:tcW w:w="7483" w:type="dxa"/>
            <w:gridSpan w:val="2"/>
          </w:tcPr>
          <w:p w14:paraId="3E1642C8" w14:textId="4D16224F" w:rsidR="006F3A86" w:rsidRPr="004005A4" w:rsidRDefault="006F3A86" w:rsidP="006F3A86">
            <w:pPr>
              <w:pStyle w:val="level1"/>
              <w:numPr>
                <w:ilvl w:val="0"/>
                <w:numId w:val="108"/>
              </w:numPr>
              <w:tabs>
                <w:tab w:val="clear" w:pos="576"/>
                <w:tab w:val="clear" w:pos="1152"/>
              </w:tabs>
              <w:spacing w:after="120" w:line="240" w:lineRule="atLeast"/>
              <w:ind w:left="592" w:hanging="270"/>
              <w:rPr>
                <w:rFonts w:cs="Calibri Light"/>
                <w:sz w:val="20"/>
                <w:szCs w:val="20"/>
              </w:rPr>
            </w:pPr>
            <w:r w:rsidRPr="004005A4">
              <w:rPr>
                <w:rFonts w:cs="Calibri Light"/>
                <w:sz w:val="20"/>
                <w:szCs w:val="20"/>
              </w:rPr>
              <w:t>Sufficient information so as to make the financial and non-financial information presented not misleading.</w:t>
            </w:r>
          </w:p>
        </w:tc>
        <w:tc>
          <w:tcPr>
            <w:tcW w:w="1209" w:type="dxa"/>
            <w:gridSpan w:val="2"/>
            <w:tcBorders>
              <w:top w:val="single" w:sz="4" w:space="0" w:color="auto"/>
              <w:bottom w:val="single" w:sz="4" w:space="0" w:color="auto"/>
            </w:tcBorders>
            <w:vAlign w:val="bottom"/>
          </w:tcPr>
          <w:p w14:paraId="770CC9DF"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40A95A56"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BFB657E"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2C340F2B" w14:textId="77777777" w:rsidTr="00CC36C1">
        <w:trPr>
          <w:gridBefore w:val="1"/>
          <w:wBefore w:w="17" w:type="dxa"/>
        </w:trPr>
        <w:tc>
          <w:tcPr>
            <w:tcW w:w="7483" w:type="dxa"/>
            <w:gridSpan w:val="2"/>
          </w:tcPr>
          <w:p w14:paraId="16178A2E" w14:textId="280AA84D" w:rsidR="006F3A86" w:rsidRPr="004005A4" w:rsidRDefault="006F3A86" w:rsidP="006F3A86">
            <w:pPr>
              <w:pStyle w:val="level1"/>
              <w:numPr>
                <w:ilvl w:val="0"/>
                <w:numId w:val="59"/>
              </w:numPr>
              <w:spacing w:after="120" w:line="240" w:lineRule="atLeast"/>
              <w:ind w:left="322" w:hanging="277"/>
              <w:rPr>
                <w:rFonts w:cs="Calibri Light"/>
                <w:sz w:val="20"/>
                <w:szCs w:val="20"/>
              </w:rPr>
            </w:pPr>
            <w:r w:rsidRPr="004005A4">
              <w:rPr>
                <w:rFonts w:cs="Calibri Light"/>
                <w:sz w:val="20"/>
                <w:szCs w:val="20"/>
              </w:rPr>
              <w:t>The registrant may elect to provide the disclosures required by this section in a footnote to its consolidated financial statements or alternatively, in management’s discussion and analysis of financial condition and results of operations described in Item 303 of Regulation S-K. If not otherwise included in the consolidated financial statements or in management’s discussion and analysis of financial condition and results of operations, the parent company must include the disclosures in its prospectus immediately following “Risk Factors,” if any, or otherwise, immediately following pricing information described in Item 105 of Regulation S-K.</w:t>
            </w:r>
          </w:p>
        </w:tc>
        <w:tc>
          <w:tcPr>
            <w:tcW w:w="1209" w:type="dxa"/>
            <w:gridSpan w:val="2"/>
            <w:tcBorders>
              <w:top w:val="single" w:sz="4" w:space="0" w:color="auto"/>
              <w:bottom w:val="single" w:sz="4" w:space="0" w:color="auto"/>
            </w:tcBorders>
            <w:vAlign w:val="bottom"/>
          </w:tcPr>
          <w:p w14:paraId="201CC055" w14:textId="77777777" w:rsidR="006F3A86" w:rsidRPr="004005A4" w:rsidRDefault="006F3A86" w:rsidP="006F3A86">
            <w:pPr>
              <w:pStyle w:val="levela"/>
              <w:keepNext/>
              <w:spacing w:before="120" w:after="120" w:line="240" w:lineRule="atLeast"/>
              <w:ind w:left="0" w:firstLine="0"/>
              <w:rPr>
                <w:rFonts w:cs="Calibri Light"/>
                <w:b/>
                <w:sz w:val="20"/>
                <w:szCs w:val="20"/>
              </w:rPr>
            </w:pPr>
          </w:p>
        </w:tc>
        <w:tc>
          <w:tcPr>
            <w:tcW w:w="236" w:type="dxa"/>
            <w:gridSpan w:val="3"/>
            <w:vAlign w:val="bottom"/>
          </w:tcPr>
          <w:p w14:paraId="0A0B4A82" w14:textId="77777777" w:rsidR="006F3A86" w:rsidRPr="004005A4" w:rsidRDefault="006F3A86" w:rsidP="006F3A86">
            <w:pPr>
              <w:pStyle w:val="levela"/>
              <w:keepNext/>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E361798" w14:textId="77777777" w:rsidR="006F3A86" w:rsidRPr="004005A4" w:rsidRDefault="006F3A86" w:rsidP="006F3A86">
            <w:pPr>
              <w:pStyle w:val="levela"/>
              <w:keepNext/>
              <w:spacing w:before="120" w:after="120" w:line="240" w:lineRule="atLeast"/>
              <w:jc w:val="center"/>
              <w:rPr>
                <w:rFonts w:cs="Calibri Light"/>
                <w:b/>
                <w:sz w:val="20"/>
                <w:szCs w:val="20"/>
              </w:rPr>
            </w:pPr>
          </w:p>
        </w:tc>
      </w:tr>
      <w:tr w:rsidR="006F3A86" w:rsidRPr="004005A4" w14:paraId="4951A41E" w14:textId="77777777" w:rsidTr="00CC36C1">
        <w:trPr>
          <w:gridBefore w:val="1"/>
          <w:wBefore w:w="17" w:type="dxa"/>
        </w:trPr>
        <w:tc>
          <w:tcPr>
            <w:tcW w:w="7483" w:type="dxa"/>
            <w:gridSpan w:val="2"/>
          </w:tcPr>
          <w:p w14:paraId="499FDD5D" w14:textId="772E7F6B" w:rsidR="006F3A86" w:rsidRPr="004005A4" w:rsidRDefault="006F3A86" w:rsidP="006F3A86">
            <w:pPr>
              <w:pStyle w:val="FormTableHeaderRow"/>
              <w:rPr>
                <w:rFonts w:cs="Calibri Light"/>
                <w:sz w:val="20"/>
                <w:szCs w:val="20"/>
              </w:rPr>
            </w:pPr>
            <w:r w:rsidRPr="004005A4">
              <w:rPr>
                <w:rFonts w:cs="Calibri Light"/>
                <w:sz w:val="20"/>
                <w:szCs w:val="20"/>
              </w:rPr>
              <w:t>PART II.</w:t>
            </w:r>
            <w:r w:rsidRPr="004005A4">
              <w:rPr>
                <w:rFonts w:cs="Calibri Light"/>
                <w:sz w:val="20"/>
                <w:szCs w:val="20"/>
              </w:rPr>
              <w:tab/>
              <w:t>REGULATION S-K</w:t>
            </w:r>
          </w:p>
        </w:tc>
        <w:tc>
          <w:tcPr>
            <w:tcW w:w="1209" w:type="dxa"/>
            <w:gridSpan w:val="2"/>
            <w:tcBorders>
              <w:top w:val="single" w:sz="4" w:space="0" w:color="auto"/>
            </w:tcBorders>
            <w:vAlign w:val="bottom"/>
          </w:tcPr>
          <w:p w14:paraId="14FC22A9"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7CA7A1F"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DBBD11A"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79193CA" w14:textId="77777777" w:rsidTr="00CC36C1">
        <w:trPr>
          <w:gridBefore w:val="1"/>
          <w:wBefore w:w="17" w:type="dxa"/>
        </w:trPr>
        <w:tc>
          <w:tcPr>
            <w:tcW w:w="7483" w:type="dxa"/>
            <w:gridSpan w:val="2"/>
          </w:tcPr>
          <w:p w14:paraId="5C11EC49" w14:textId="77777777" w:rsidR="006F3A86" w:rsidRPr="004005A4" w:rsidRDefault="006F3A86" w:rsidP="006F3A86">
            <w:pPr>
              <w:pStyle w:val="levela"/>
              <w:spacing w:before="120" w:after="120" w:line="240" w:lineRule="atLeast"/>
              <w:ind w:left="0" w:firstLine="0"/>
              <w:rPr>
                <w:rFonts w:cs="Calibri Light"/>
                <w:b/>
                <w:sz w:val="20"/>
                <w:szCs w:val="20"/>
              </w:rPr>
            </w:pPr>
            <w:r w:rsidRPr="004005A4">
              <w:rPr>
                <w:rFonts w:cs="Calibri Light"/>
                <w:b/>
                <w:sz w:val="20"/>
                <w:szCs w:val="20"/>
              </w:rPr>
              <w:t>Note: This is not a complete list of the requirements of Regulation S-K, but rather certain more relevant financial related disclosures.  This checklist should not be used as a substitute for a full understanding of the filing requirements applicable to a specific registrant or filing.</w:t>
            </w:r>
          </w:p>
        </w:tc>
        <w:tc>
          <w:tcPr>
            <w:tcW w:w="1209" w:type="dxa"/>
            <w:gridSpan w:val="2"/>
            <w:vAlign w:val="bottom"/>
          </w:tcPr>
          <w:p w14:paraId="36A2A11C"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80B7AE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0B77A214"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DBD7A6C" w14:textId="77777777" w:rsidTr="00CC36C1">
        <w:trPr>
          <w:gridBefore w:val="1"/>
          <w:wBefore w:w="17" w:type="dxa"/>
        </w:trPr>
        <w:tc>
          <w:tcPr>
            <w:tcW w:w="7483" w:type="dxa"/>
            <w:gridSpan w:val="2"/>
          </w:tcPr>
          <w:p w14:paraId="554B6F69" w14:textId="77777777" w:rsidR="006F3A86" w:rsidRPr="004005A4" w:rsidRDefault="006F3A86" w:rsidP="006F3A86">
            <w:pPr>
              <w:pStyle w:val="FormTableHeaderRow"/>
              <w:rPr>
                <w:rFonts w:cs="Calibri Light"/>
                <w:sz w:val="20"/>
                <w:szCs w:val="20"/>
              </w:rPr>
            </w:pPr>
            <w:r w:rsidRPr="004005A4">
              <w:rPr>
                <w:rFonts w:cs="Calibri Light"/>
                <w:sz w:val="20"/>
                <w:szCs w:val="20"/>
              </w:rPr>
              <w:lastRenderedPageBreak/>
              <w:t>Item 10.  General.</w:t>
            </w:r>
          </w:p>
        </w:tc>
        <w:tc>
          <w:tcPr>
            <w:tcW w:w="1209" w:type="dxa"/>
            <w:gridSpan w:val="2"/>
            <w:vAlign w:val="bottom"/>
          </w:tcPr>
          <w:p w14:paraId="49FE0156"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0861330"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229AF53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4DAA734" w14:textId="77777777" w:rsidTr="00CC36C1">
        <w:trPr>
          <w:gridBefore w:val="1"/>
          <w:wBefore w:w="17" w:type="dxa"/>
        </w:trPr>
        <w:tc>
          <w:tcPr>
            <w:tcW w:w="7483" w:type="dxa"/>
            <w:gridSpan w:val="2"/>
          </w:tcPr>
          <w:p w14:paraId="590E535B" w14:textId="77777777" w:rsidR="006F3A86" w:rsidRPr="004005A4" w:rsidRDefault="006F3A86" w:rsidP="006F3A86">
            <w:pPr>
              <w:pStyle w:val="standard"/>
              <w:spacing w:before="120" w:after="120" w:line="240" w:lineRule="atLeast"/>
              <w:rPr>
                <w:rFonts w:cs="Calibri Light"/>
                <w:sz w:val="20"/>
                <w:szCs w:val="20"/>
              </w:rPr>
            </w:pPr>
            <w:r w:rsidRPr="004005A4">
              <w:rPr>
                <w:rFonts w:cs="Calibri Light"/>
                <w:sz w:val="20"/>
                <w:szCs w:val="20"/>
              </w:rPr>
              <w:t xml:space="preserve">The SEC encourages the use of management’s projections of future economic performance that have a reasonable basis and are in an appropriate format.  </w:t>
            </w:r>
          </w:p>
        </w:tc>
        <w:tc>
          <w:tcPr>
            <w:tcW w:w="1209" w:type="dxa"/>
            <w:gridSpan w:val="2"/>
            <w:vAlign w:val="bottom"/>
          </w:tcPr>
          <w:p w14:paraId="15A0A6E6"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4F2F7B0E"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6B909615"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26583B7" w14:textId="77777777" w:rsidTr="00CC36C1">
        <w:trPr>
          <w:gridBefore w:val="1"/>
          <w:wBefore w:w="17" w:type="dxa"/>
        </w:trPr>
        <w:tc>
          <w:tcPr>
            <w:tcW w:w="7483" w:type="dxa"/>
            <w:gridSpan w:val="2"/>
          </w:tcPr>
          <w:p w14:paraId="621AF686" w14:textId="77777777" w:rsidR="006F3A86" w:rsidRDefault="006F3A86" w:rsidP="006F3A86">
            <w:pPr>
              <w:pStyle w:val="standard"/>
              <w:spacing w:before="120" w:after="120" w:line="240" w:lineRule="atLeast"/>
              <w:rPr>
                <w:rFonts w:cs="Calibri Light"/>
                <w:sz w:val="20"/>
                <w:szCs w:val="20"/>
              </w:rPr>
            </w:pPr>
            <w:r w:rsidRPr="004005A4">
              <w:rPr>
                <w:rFonts w:cs="Calibri Light"/>
                <w:sz w:val="20"/>
                <w:szCs w:val="20"/>
              </w:rPr>
              <w:t>Registrants may disclose, in registration statements, and periodic reports, ratings assigned by rating organizations to classes of debt securities, convertible debt securities, and preferred stock.  See guidance in paragraph (c) of S-K Item 10.</w:t>
            </w:r>
          </w:p>
          <w:p w14:paraId="734D4E3A" w14:textId="46320653" w:rsidR="006F3A86" w:rsidRPr="004005A4" w:rsidRDefault="006F3A86" w:rsidP="006F3A86">
            <w:pPr>
              <w:pStyle w:val="standard"/>
              <w:spacing w:before="120" w:after="120" w:line="240" w:lineRule="atLeast"/>
              <w:rPr>
                <w:rFonts w:cs="Calibri Light"/>
                <w:sz w:val="20"/>
                <w:szCs w:val="20"/>
              </w:rPr>
            </w:pPr>
            <w:r w:rsidRPr="004005A4">
              <w:rPr>
                <w:rFonts w:cs="Calibri Light"/>
                <w:sz w:val="20"/>
                <w:szCs w:val="20"/>
              </w:rPr>
              <w:t xml:space="preserve">Please note that the Regulation S-K requirements do not apply to a Foreign Private Issuer filing on Form 20-F.  Thus for a Foreign Private Issuer filing IFRS (issued by IASB) financial statements, please refer to </w:t>
            </w:r>
            <w:r w:rsidRPr="00B441BE">
              <w:rPr>
                <w:rFonts w:cs="Calibri Light"/>
                <w:i/>
                <w:iCs/>
                <w:sz w:val="20"/>
                <w:szCs w:val="20"/>
              </w:rPr>
              <w:t>SEC Compliance Checklist for Annual Report or Registration Statement or Transition Statement on SEC Form 20-F</w:t>
            </w:r>
            <w:r w:rsidRPr="004005A4">
              <w:rPr>
                <w:rFonts w:cs="Calibri Light"/>
                <w:sz w:val="20"/>
                <w:szCs w:val="20"/>
              </w:rPr>
              <w:t>.</w:t>
            </w:r>
          </w:p>
        </w:tc>
        <w:tc>
          <w:tcPr>
            <w:tcW w:w="1209" w:type="dxa"/>
            <w:gridSpan w:val="2"/>
            <w:vAlign w:val="bottom"/>
          </w:tcPr>
          <w:p w14:paraId="77BF0D30"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769F008"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362A5E04"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B5A87" w14:paraId="38EDAF9B" w14:textId="77777777" w:rsidTr="00CC36C1">
        <w:trPr>
          <w:gridBefore w:val="1"/>
          <w:wBefore w:w="17" w:type="dxa"/>
        </w:trPr>
        <w:tc>
          <w:tcPr>
            <w:tcW w:w="7483" w:type="dxa"/>
            <w:gridSpan w:val="2"/>
          </w:tcPr>
          <w:p w14:paraId="49781F31" w14:textId="3E72917B" w:rsidR="006F3A86" w:rsidRPr="00DD5B1A" w:rsidRDefault="006F3A86" w:rsidP="006F3A86">
            <w:pPr>
              <w:spacing w:before="240" w:after="240"/>
              <w:ind w:left="360" w:hanging="360"/>
              <w:rPr>
                <w:rFonts w:cs="Calibri Light"/>
                <w:sz w:val="20"/>
                <w:szCs w:val="20"/>
              </w:rPr>
            </w:pPr>
            <w:r w:rsidRPr="00DD5B1A">
              <w:rPr>
                <w:rFonts w:cs="Calibri Light"/>
                <w:sz w:val="20"/>
                <w:szCs w:val="20"/>
              </w:rPr>
              <w:t>(e)</w:t>
            </w:r>
            <w:r w:rsidRPr="00DD5B1A">
              <w:rPr>
                <w:rFonts w:cs="Calibri Light"/>
                <w:i/>
                <w:iCs/>
                <w:sz w:val="20"/>
                <w:szCs w:val="20"/>
              </w:rPr>
              <w:t xml:space="preserve"> </w:t>
            </w:r>
            <w:r w:rsidR="00DD5B1A" w:rsidRPr="00DD5B1A">
              <w:rPr>
                <w:rFonts w:cs="Calibri Light"/>
                <w:i/>
                <w:iCs/>
                <w:sz w:val="20"/>
                <w:szCs w:val="20"/>
              </w:rPr>
              <w:tab/>
            </w:r>
            <w:r w:rsidRPr="00DD5B1A">
              <w:rPr>
                <w:rFonts w:cs="Calibri Light"/>
                <w:i/>
                <w:iCs/>
                <w:sz w:val="20"/>
                <w:szCs w:val="20"/>
              </w:rPr>
              <w:t>Use of non-GAAP financial measures in Commission filings.</w:t>
            </w:r>
            <w:r w:rsidRPr="00DD5B1A">
              <w:rPr>
                <w:rFonts w:cs="Calibri Light"/>
                <w:sz w:val="20"/>
                <w:szCs w:val="20"/>
              </w:rPr>
              <w:t xml:space="preserve"> </w:t>
            </w:r>
          </w:p>
          <w:p w14:paraId="2051723F" w14:textId="77777777" w:rsidR="006F3A86" w:rsidRPr="00DD5B1A" w:rsidRDefault="006F3A86" w:rsidP="00DD5B1A">
            <w:pPr>
              <w:spacing w:before="240" w:after="240"/>
              <w:ind w:left="360" w:hanging="360"/>
              <w:rPr>
                <w:rFonts w:cs="Calibri Light"/>
                <w:sz w:val="20"/>
                <w:szCs w:val="20"/>
              </w:rPr>
            </w:pPr>
            <w:r w:rsidRPr="00DD5B1A">
              <w:rPr>
                <w:rFonts w:cs="Calibri Light"/>
                <w:sz w:val="20"/>
                <w:szCs w:val="20"/>
              </w:rPr>
              <w:t>(1)</w:t>
            </w:r>
            <w:r w:rsidRPr="00DD5B1A">
              <w:rPr>
                <w:rFonts w:cs="Calibri Light"/>
                <w:sz w:val="20"/>
                <w:szCs w:val="20"/>
              </w:rPr>
              <w:tab/>
              <w:t>Whenever one or more non-GAAP financial measures are included in a filing with the Commission:</w:t>
            </w:r>
          </w:p>
          <w:p w14:paraId="5CDA549A" w14:textId="6F988D63" w:rsidR="006F3A86" w:rsidRPr="00DD5B1A" w:rsidRDefault="006F3A86" w:rsidP="00DD5B1A">
            <w:pPr>
              <w:pStyle w:val="FormTableHeaderRow"/>
              <w:ind w:left="327" w:firstLine="57"/>
              <w:rPr>
                <w:rFonts w:cs="Calibri Light"/>
                <w:b w:val="0"/>
                <w:bCs w:val="0"/>
                <w:sz w:val="20"/>
                <w:szCs w:val="20"/>
              </w:rPr>
            </w:pPr>
            <w:r w:rsidRPr="00DD5B1A">
              <w:rPr>
                <w:rFonts w:cs="Calibri Light"/>
                <w:b w:val="0"/>
                <w:bCs w:val="0"/>
                <w:sz w:val="20"/>
                <w:szCs w:val="20"/>
              </w:rPr>
              <w:t>(i)</w:t>
            </w:r>
            <w:r w:rsidRPr="00DD5B1A">
              <w:rPr>
                <w:rFonts w:cs="Calibri Light"/>
                <w:b w:val="0"/>
                <w:bCs w:val="0"/>
                <w:sz w:val="20"/>
                <w:szCs w:val="20"/>
              </w:rPr>
              <w:tab/>
              <w:t>The registrant must include the following in the filing:</w:t>
            </w:r>
          </w:p>
        </w:tc>
        <w:tc>
          <w:tcPr>
            <w:tcW w:w="1209" w:type="dxa"/>
            <w:gridSpan w:val="2"/>
            <w:tcBorders>
              <w:top w:val="single" w:sz="4" w:space="0" w:color="auto"/>
            </w:tcBorders>
            <w:vAlign w:val="bottom"/>
          </w:tcPr>
          <w:p w14:paraId="3EEC7EBF" w14:textId="3D248E44" w:rsidR="006F3A86" w:rsidRPr="004B5A87" w:rsidRDefault="00DD5B1A" w:rsidP="006F3A86">
            <w:pPr>
              <w:pStyle w:val="levela"/>
              <w:spacing w:before="120" w:after="120" w:line="240" w:lineRule="atLeast"/>
              <w:jc w:val="center"/>
              <w:rPr>
                <w:rFonts w:cs="Calibri Light"/>
                <w:sz w:val="20"/>
                <w:szCs w:val="20"/>
              </w:rPr>
            </w:pPr>
            <w:r>
              <w:rPr>
                <w:rFonts w:cs="Calibri Light"/>
                <w:sz w:val="20"/>
                <w:szCs w:val="20"/>
              </w:rPr>
              <w:tab/>
            </w:r>
          </w:p>
        </w:tc>
        <w:tc>
          <w:tcPr>
            <w:tcW w:w="236" w:type="dxa"/>
            <w:gridSpan w:val="3"/>
            <w:vAlign w:val="bottom"/>
          </w:tcPr>
          <w:p w14:paraId="11C74752"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2507D7C7"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37158320" w14:textId="77777777" w:rsidTr="00CC36C1">
        <w:trPr>
          <w:gridBefore w:val="1"/>
          <w:wBefore w:w="17" w:type="dxa"/>
        </w:trPr>
        <w:tc>
          <w:tcPr>
            <w:tcW w:w="7483" w:type="dxa"/>
            <w:gridSpan w:val="2"/>
          </w:tcPr>
          <w:p w14:paraId="6990E947" w14:textId="67636DB7" w:rsidR="006F3A86" w:rsidRPr="00DD5B1A" w:rsidRDefault="006F3A86" w:rsidP="00DD5B1A">
            <w:pPr>
              <w:pStyle w:val="FormTableHeaderRow"/>
              <w:ind w:left="957" w:hanging="360"/>
              <w:rPr>
                <w:rFonts w:cs="Calibri Light"/>
                <w:b w:val="0"/>
                <w:bCs w:val="0"/>
                <w:sz w:val="20"/>
                <w:szCs w:val="20"/>
              </w:rPr>
            </w:pPr>
            <w:r w:rsidRPr="00DD5B1A">
              <w:rPr>
                <w:rFonts w:cs="Calibri Light"/>
                <w:b w:val="0"/>
                <w:bCs w:val="0"/>
                <w:sz w:val="20"/>
                <w:szCs w:val="20"/>
              </w:rPr>
              <w:t>(A)</w:t>
            </w:r>
            <w:r w:rsidRPr="00DD5B1A">
              <w:rPr>
                <w:rFonts w:cs="Calibri Light"/>
                <w:b w:val="0"/>
                <w:bCs w:val="0"/>
                <w:sz w:val="20"/>
                <w:szCs w:val="20"/>
              </w:rPr>
              <w:tab/>
              <w:t>A presentation, with equal or greater prominence, of the most directly comparable financial measure or measures calculated and presented in accordance with Generally Accepted Accounting Principles (GAAP);</w:t>
            </w:r>
          </w:p>
        </w:tc>
        <w:tc>
          <w:tcPr>
            <w:tcW w:w="1209" w:type="dxa"/>
            <w:gridSpan w:val="2"/>
            <w:tcBorders>
              <w:top w:val="single" w:sz="4" w:space="0" w:color="auto"/>
            </w:tcBorders>
            <w:vAlign w:val="bottom"/>
          </w:tcPr>
          <w:p w14:paraId="77523E34"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292942EF"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2EF98FFC"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69F3F216" w14:textId="77777777" w:rsidTr="00CC36C1">
        <w:trPr>
          <w:gridBefore w:val="1"/>
          <w:wBefore w:w="17" w:type="dxa"/>
        </w:trPr>
        <w:tc>
          <w:tcPr>
            <w:tcW w:w="7483" w:type="dxa"/>
            <w:gridSpan w:val="2"/>
          </w:tcPr>
          <w:p w14:paraId="4F542E87" w14:textId="6C74F785" w:rsidR="006F3A86" w:rsidRPr="00DD5B1A" w:rsidRDefault="006F3A86" w:rsidP="00DD5B1A">
            <w:pPr>
              <w:pStyle w:val="FormTableHeaderRow"/>
              <w:ind w:left="957" w:hanging="360"/>
              <w:rPr>
                <w:rFonts w:cs="Calibri Light"/>
                <w:b w:val="0"/>
                <w:bCs w:val="0"/>
                <w:sz w:val="20"/>
                <w:szCs w:val="20"/>
              </w:rPr>
            </w:pPr>
            <w:r w:rsidRPr="00DD5B1A">
              <w:rPr>
                <w:rFonts w:cs="Calibri Light"/>
                <w:b w:val="0"/>
                <w:bCs w:val="0"/>
                <w:sz w:val="20"/>
                <w:szCs w:val="20"/>
              </w:rPr>
              <w:t>(B)</w:t>
            </w:r>
            <w:r w:rsidRPr="00DD5B1A">
              <w:rPr>
                <w:rFonts w:cs="Calibri Light"/>
                <w:b w:val="0"/>
                <w:bCs w:val="0"/>
                <w:sz w:val="20"/>
                <w:szCs w:val="20"/>
              </w:rPr>
              <w:tab/>
              <w:t>A reconciliation (by schedule or other clearly understandable method), which shall be quantitative for historical non-GAAP measures presented, and quantitative, to the extent available without unreasonable efforts, for forward-looking information, of the differences between the non-GAAP financial measure disclosed or released with the most directly comparable financial measure or measures calculated and presented in accordance with GAAP identified in paragraph (e)(1)(i)(A) of this section;</w:t>
            </w:r>
          </w:p>
        </w:tc>
        <w:tc>
          <w:tcPr>
            <w:tcW w:w="1209" w:type="dxa"/>
            <w:gridSpan w:val="2"/>
            <w:tcBorders>
              <w:top w:val="single" w:sz="4" w:space="0" w:color="auto"/>
            </w:tcBorders>
            <w:vAlign w:val="bottom"/>
          </w:tcPr>
          <w:p w14:paraId="6B89CAF4"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203BF1A5"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36B21C49"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4CE5B282" w14:textId="77777777" w:rsidTr="00CC36C1">
        <w:trPr>
          <w:gridBefore w:val="1"/>
          <w:wBefore w:w="17" w:type="dxa"/>
        </w:trPr>
        <w:tc>
          <w:tcPr>
            <w:tcW w:w="7483" w:type="dxa"/>
            <w:gridSpan w:val="2"/>
          </w:tcPr>
          <w:p w14:paraId="4E9B2077" w14:textId="70480349" w:rsidR="006F3A86" w:rsidRPr="00DD5B1A" w:rsidRDefault="006F3A86" w:rsidP="00DD5B1A">
            <w:pPr>
              <w:pStyle w:val="FormTableHeaderRow"/>
              <w:ind w:left="957" w:hanging="360"/>
              <w:rPr>
                <w:rFonts w:cs="Calibri Light"/>
                <w:b w:val="0"/>
                <w:bCs w:val="0"/>
                <w:sz w:val="20"/>
                <w:szCs w:val="20"/>
              </w:rPr>
            </w:pPr>
            <w:bookmarkStart w:id="33" w:name="_Hlk113622642"/>
            <w:r w:rsidRPr="00DD5B1A">
              <w:rPr>
                <w:rFonts w:cs="Calibri Light"/>
                <w:b w:val="0"/>
                <w:bCs w:val="0"/>
                <w:color w:val="auto"/>
                <w:sz w:val="20"/>
                <w:szCs w:val="20"/>
              </w:rPr>
              <w:t>(C)</w:t>
            </w:r>
            <w:r w:rsidRPr="00DD5B1A">
              <w:rPr>
                <w:rFonts w:cs="Calibri Light"/>
                <w:b w:val="0"/>
                <w:bCs w:val="0"/>
                <w:color w:val="auto"/>
                <w:sz w:val="20"/>
                <w:szCs w:val="20"/>
              </w:rPr>
              <w:tab/>
              <w:t xml:space="preserve">A statement disclosing the reasons why the registrant's management believes that </w:t>
            </w:r>
            <w:r w:rsidRPr="00DD5B1A">
              <w:rPr>
                <w:rFonts w:cs="Calibri Light"/>
                <w:b w:val="0"/>
                <w:bCs w:val="0"/>
                <w:sz w:val="20"/>
                <w:szCs w:val="20"/>
              </w:rPr>
              <w:t>presentation</w:t>
            </w:r>
            <w:r w:rsidRPr="00DD5B1A">
              <w:rPr>
                <w:rFonts w:cs="Calibri Light"/>
                <w:b w:val="0"/>
                <w:bCs w:val="0"/>
                <w:color w:val="auto"/>
                <w:sz w:val="20"/>
                <w:szCs w:val="20"/>
              </w:rPr>
              <w:t xml:space="preserve"> of the non-GAAP financial measure provides useful information to investors regarding the registrant's financial condition and results of operations; and</w:t>
            </w:r>
            <w:bookmarkEnd w:id="33"/>
          </w:p>
        </w:tc>
        <w:tc>
          <w:tcPr>
            <w:tcW w:w="1209" w:type="dxa"/>
            <w:gridSpan w:val="2"/>
            <w:tcBorders>
              <w:top w:val="single" w:sz="4" w:space="0" w:color="auto"/>
            </w:tcBorders>
            <w:vAlign w:val="bottom"/>
          </w:tcPr>
          <w:p w14:paraId="30395357"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223F0FD7"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684F7FC6"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34BDD939" w14:textId="77777777" w:rsidTr="00CC36C1">
        <w:trPr>
          <w:gridBefore w:val="1"/>
          <w:wBefore w:w="17" w:type="dxa"/>
        </w:trPr>
        <w:tc>
          <w:tcPr>
            <w:tcW w:w="7483" w:type="dxa"/>
            <w:gridSpan w:val="2"/>
          </w:tcPr>
          <w:p w14:paraId="22FE0E6E" w14:textId="15B2FC43" w:rsidR="006F3A86" w:rsidRPr="00DD5B1A" w:rsidRDefault="006F3A86" w:rsidP="00DD5B1A">
            <w:pPr>
              <w:pStyle w:val="FormTableHeaderRow"/>
              <w:ind w:left="957" w:hanging="360"/>
              <w:rPr>
                <w:rFonts w:cs="Calibri Light"/>
                <w:b w:val="0"/>
                <w:bCs w:val="0"/>
                <w:sz w:val="20"/>
                <w:szCs w:val="20"/>
              </w:rPr>
            </w:pPr>
            <w:r w:rsidRPr="00DD5B1A">
              <w:rPr>
                <w:rFonts w:cs="Calibri Light"/>
                <w:b w:val="0"/>
                <w:bCs w:val="0"/>
                <w:color w:val="auto"/>
                <w:sz w:val="20"/>
                <w:szCs w:val="20"/>
              </w:rPr>
              <w:t>(D)</w:t>
            </w:r>
            <w:r w:rsidRPr="00DD5B1A">
              <w:rPr>
                <w:rFonts w:cs="Calibri Light"/>
                <w:b w:val="0"/>
                <w:bCs w:val="0"/>
                <w:color w:val="auto"/>
                <w:sz w:val="20"/>
                <w:szCs w:val="20"/>
              </w:rPr>
              <w:tab/>
              <w:t xml:space="preserve">To the extent material, </w:t>
            </w:r>
            <w:bookmarkStart w:id="34" w:name="_Hlk113622701"/>
            <w:r w:rsidRPr="00DD5B1A">
              <w:rPr>
                <w:rFonts w:cs="Calibri Light"/>
                <w:b w:val="0"/>
                <w:bCs w:val="0"/>
                <w:color w:val="auto"/>
                <w:sz w:val="20"/>
                <w:szCs w:val="20"/>
              </w:rPr>
              <w:t xml:space="preserve">a statement disclosing the additional purposes, if any, for which the registrant's management uses the non-GAAP financial measure </w:t>
            </w:r>
            <w:bookmarkEnd w:id="34"/>
            <w:r w:rsidRPr="00DD5B1A">
              <w:rPr>
                <w:rFonts w:cs="Calibri Light"/>
                <w:b w:val="0"/>
                <w:bCs w:val="0"/>
                <w:color w:val="auto"/>
                <w:sz w:val="20"/>
                <w:szCs w:val="20"/>
              </w:rPr>
              <w:t xml:space="preserve">that are not disclosed </w:t>
            </w:r>
            <w:r w:rsidRPr="00DD5B1A">
              <w:rPr>
                <w:rFonts w:cs="Calibri Light"/>
                <w:b w:val="0"/>
                <w:bCs w:val="0"/>
                <w:sz w:val="20"/>
                <w:szCs w:val="20"/>
              </w:rPr>
              <w:t>pursuant</w:t>
            </w:r>
            <w:r w:rsidRPr="00DD5B1A">
              <w:rPr>
                <w:rFonts w:cs="Calibri Light"/>
                <w:b w:val="0"/>
                <w:bCs w:val="0"/>
                <w:color w:val="auto"/>
                <w:sz w:val="20"/>
                <w:szCs w:val="20"/>
              </w:rPr>
              <w:t xml:space="preserve"> to paragraph (e)(1)(i)(C) of this section; and</w:t>
            </w:r>
          </w:p>
        </w:tc>
        <w:tc>
          <w:tcPr>
            <w:tcW w:w="1209" w:type="dxa"/>
            <w:gridSpan w:val="2"/>
            <w:tcBorders>
              <w:top w:val="single" w:sz="4" w:space="0" w:color="auto"/>
            </w:tcBorders>
            <w:vAlign w:val="bottom"/>
          </w:tcPr>
          <w:p w14:paraId="077C4657"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45A329CF"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1F87B880"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32A0895E" w14:textId="77777777" w:rsidTr="00CC36C1">
        <w:trPr>
          <w:gridBefore w:val="1"/>
          <w:wBefore w:w="17" w:type="dxa"/>
        </w:trPr>
        <w:tc>
          <w:tcPr>
            <w:tcW w:w="7483" w:type="dxa"/>
            <w:gridSpan w:val="2"/>
          </w:tcPr>
          <w:p w14:paraId="7243278F" w14:textId="0E8449D2" w:rsidR="006F3A86" w:rsidRPr="00DD5B1A" w:rsidRDefault="006F3A86" w:rsidP="008A6FC6">
            <w:pPr>
              <w:pStyle w:val="FormTableHeaderRow"/>
              <w:tabs>
                <w:tab w:val="left" w:pos="685"/>
              </w:tabs>
              <w:ind w:left="327" w:firstLine="57"/>
              <w:rPr>
                <w:rFonts w:cs="Calibri Light"/>
                <w:b w:val="0"/>
                <w:bCs w:val="0"/>
                <w:sz w:val="20"/>
                <w:szCs w:val="20"/>
              </w:rPr>
            </w:pPr>
            <w:r w:rsidRPr="00DD5B1A">
              <w:rPr>
                <w:rFonts w:cs="Calibri Light"/>
                <w:b w:val="0"/>
                <w:bCs w:val="0"/>
                <w:color w:val="auto"/>
                <w:sz w:val="20"/>
                <w:szCs w:val="20"/>
              </w:rPr>
              <w:t>(ii)</w:t>
            </w:r>
            <w:r w:rsidRPr="00DD5B1A">
              <w:rPr>
                <w:rFonts w:cs="Calibri Light"/>
                <w:b w:val="0"/>
                <w:bCs w:val="0"/>
                <w:color w:val="auto"/>
                <w:sz w:val="20"/>
                <w:szCs w:val="20"/>
              </w:rPr>
              <w:tab/>
              <w:t xml:space="preserve">A registrant </w:t>
            </w:r>
            <w:r w:rsidRPr="008A6FC6">
              <w:rPr>
                <w:rFonts w:cs="Calibri Light"/>
                <w:b w:val="0"/>
                <w:bCs w:val="0"/>
                <w:color w:val="auto"/>
                <w:sz w:val="20"/>
                <w:szCs w:val="20"/>
              </w:rPr>
              <w:t>must not</w:t>
            </w:r>
            <w:r w:rsidRPr="009A0972">
              <w:rPr>
                <w:rFonts w:cs="Calibri Light"/>
                <w:b w:val="0"/>
                <w:bCs w:val="0"/>
                <w:color w:val="auto"/>
                <w:sz w:val="20"/>
                <w:szCs w:val="20"/>
              </w:rPr>
              <w:t>:</w:t>
            </w:r>
          </w:p>
        </w:tc>
        <w:tc>
          <w:tcPr>
            <w:tcW w:w="1209" w:type="dxa"/>
            <w:gridSpan w:val="2"/>
            <w:tcBorders>
              <w:top w:val="single" w:sz="4" w:space="0" w:color="auto"/>
            </w:tcBorders>
            <w:vAlign w:val="bottom"/>
          </w:tcPr>
          <w:p w14:paraId="1551A093"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7789D22F"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7D514A69"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40A072D6" w14:textId="77777777" w:rsidTr="00CC36C1">
        <w:trPr>
          <w:gridBefore w:val="1"/>
          <w:wBefore w:w="17" w:type="dxa"/>
        </w:trPr>
        <w:tc>
          <w:tcPr>
            <w:tcW w:w="7483" w:type="dxa"/>
            <w:gridSpan w:val="2"/>
          </w:tcPr>
          <w:p w14:paraId="53C2B24A" w14:textId="400EC4B8" w:rsidR="006F3A86" w:rsidRPr="00DD5B1A" w:rsidRDefault="006F3A86" w:rsidP="00033024">
            <w:pPr>
              <w:pStyle w:val="FormTableHeaderRow"/>
              <w:ind w:left="957" w:hanging="360"/>
              <w:rPr>
                <w:rFonts w:cs="Calibri Light"/>
                <w:b w:val="0"/>
                <w:bCs w:val="0"/>
                <w:sz w:val="20"/>
                <w:szCs w:val="20"/>
              </w:rPr>
            </w:pPr>
            <w:r w:rsidRPr="00DD5B1A">
              <w:rPr>
                <w:rFonts w:cs="Calibri Light"/>
                <w:b w:val="0"/>
                <w:bCs w:val="0"/>
                <w:sz w:val="20"/>
                <w:szCs w:val="20"/>
              </w:rPr>
              <w:t>(A)</w:t>
            </w:r>
            <w:r w:rsidRPr="00DD5B1A">
              <w:rPr>
                <w:rFonts w:cs="Calibri Light"/>
                <w:b w:val="0"/>
                <w:bCs w:val="0"/>
                <w:sz w:val="20"/>
                <w:szCs w:val="20"/>
              </w:rPr>
              <w:tab/>
              <w:t xml:space="preserve">Exclude </w:t>
            </w:r>
            <w:r w:rsidRPr="00033024">
              <w:rPr>
                <w:rFonts w:cs="Calibri Light"/>
                <w:b w:val="0"/>
                <w:bCs w:val="0"/>
                <w:color w:val="auto"/>
                <w:sz w:val="20"/>
                <w:szCs w:val="20"/>
              </w:rPr>
              <w:t>charges</w:t>
            </w:r>
            <w:r w:rsidRPr="00DD5B1A">
              <w:rPr>
                <w:rFonts w:cs="Calibri Light"/>
                <w:b w:val="0"/>
                <w:bCs w:val="0"/>
                <w:sz w:val="20"/>
                <w:szCs w:val="20"/>
              </w:rPr>
              <w:t xml:space="preserve"> or liabilities that required, or will require, cash settlement, or would have required cash settlement absent an ability to settle in another manner, from non-GAAP liquidity measures, other than the measures earnings </w:t>
            </w:r>
            <w:r w:rsidRPr="00DD5B1A">
              <w:rPr>
                <w:rFonts w:cs="Calibri Light"/>
                <w:b w:val="0"/>
                <w:bCs w:val="0"/>
                <w:sz w:val="20"/>
                <w:szCs w:val="20"/>
              </w:rPr>
              <w:lastRenderedPageBreak/>
              <w:t>before interest and taxes (EBIT) and earnings before interest, taxes, depreciation, and amortization (EBITDA);</w:t>
            </w:r>
          </w:p>
        </w:tc>
        <w:tc>
          <w:tcPr>
            <w:tcW w:w="1209" w:type="dxa"/>
            <w:gridSpan w:val="2"/>
            <w:tcBorders>
              <w:top w:val="single" w:sz="4" w:space="0" w:color="auto"/>
            </w:tcBorders>
            <w:vAlign w:val="bottom"/>
          </w:tcPr>
          <w:p w14:paraId="6F3EA43C"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512F8C74"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282C2552"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7971EB3F" w14:textId="77777777" w:rsidTr="00CC36C1">
        <w:trPr>
          <w:gridBefore w:val="1"/>
          <w:wBefore w:w="17" w:type="dxa"/>
        </w:trPr>
        <w:tc>
          <w:tcPr>
            <w:tcW w:w="7483" w:type="dxa"/>
            <w:gridSpan w:val="2"/>
          </w:tcPr>
          <w:p w14:paraId="6662507C" w14:textId="119DA6E8" w:rsidR="006F3A86" w:rsidRPr="00DD5B1A" w:rsidRDefault="006F3A86" w:rsidP="00033024">
            <w:pPr>
              <w:pStyle w:val="FormTableHeaderRow"/>
              <w:ind w:left="957" w:hanging="360"/>
              <w:rPr>
                <w:rFonts w:cs="Calibri Light"/>
                <w:b w:val="0"/>
                <w:bCs w:val="0"/>
                <w:sz w:val="20"/>
                <w:szCs w:val="20"/>
              </w:rPr>
            </w:pPr>
            <w:r w:rsidRPr="00DD5B1A">
              <w:rPr>
                <w:rFonts w:cs="Calibri Light"/>
                <w:b w:val="0"/>
                <w:bCs w:val="0"/>
                <w:sz w:val="20"/>
                <w:szCs w:val="20"/>
              </w:rPr>
              <w:t>(B)</w:t>
            </w:r>
            <w:r w:rsidRPr="00DD5B1A">
              <w:rPr>
                <w:rFonts w:cs="Calibri Light"/>
                <w:b w:val="0"/>
                <w:bCs w:val="0"/>
                <w:sz w:val="20"/>
                <w:szCs w:val="20"/>
              </w:rPr>
              <w:tab/>
              <w:t>Adjust a non-GAAP performance measure to eliminate or smooth items identified as non-recurring, infrequent or unusual, when the nature of the charge or gain is such that it is reasonably likely to recur within two years or there was a similar charge or gain within the prior two years;</w:t>
            </w:r>
          </w:p>
        </w:tc>
        <w:tc>
          <w:tcPr>
            <w:tcW w:w="1209" w:type="dxa"/>
            <w:gridSpan w:val="2"/>
            <w:tcBorders>
              <w:top w:val="single" w:sz="4" w:space="0" w:color="auto"/>
            </w:tcBorders>
            <w:vAlign w:val="bottom"/>
          </w:tcPr>
          <w:p w14:paraId="64B68F98"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4AAF9F4C"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4E7F01B9"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194FE683" w14:textId="77777777" w:rsidTr="00CC36C1">
        <w:trPr>
          <w:gridBefore w:val="1"/>
          <w:wBefore w:w="17" w:type="dxa"/>
        </w:trPr>
        <w:tc>
          <w:tcPr>
            <w:tcW w:w="7483" w:type="dxa"/>
            <w:gridSpan w:val="2"/>
          </w:tcPr>
          <w:p w14:paraId="225AD64F" w14:textId="6818C083" w:rsidR="006F3A86" w:rsidRPr="00DD5B1A" w:rsidRDefault="006F3A86" w:rsidP="00033024">
            <w:pPr>
              <w:pStyle w:val="FormTableHeaderRow"/>
              <w:ind w:left="957" w:hanging="360"/>
              <w:rPr>
                <w:rFonts w:cs="Calibri Light"/>
                <w:b w:val="0"/>
                <w:bCs w:val="0"/>
                <w:sz w:val="20"/>
                <w:szCs w:val="20"/>
              </w:rPr>
            </w:pPr>
            <w:r w:rsidRPr="00DD5B1A">
              <w:rPr>
                <w:rFonts w:cs="Calibri Light"/>
                <w:b w:val="0"/>
                <w:bCs w:val="0"/>
                <w:sz w:val="20"/>
                <w:szCs w:val="20"/>
              </w:rPr>
              <w:t>(C)</w:t>
            </w:r>
            <w:r w:rsidRPr="00DD5B1A">
              <w:rPr>
                <w:rFonts w:cs="Calibri Light"/>
                <w:b w:val="0"/>
                <w:bCs w:val="0"/>
                <w:sz w:val="20"/>
                <w:szCs w:val="20"/>
              </w:rPr>
              <w:tab/>
              <w:t>Present non-GAAP financial measures on the face of the registrant's financial statements prepared in accordance with GAAP or in the accompanying notes;</w:t>
            </w:r>
          </w:p>
        </w:tc>
        <w:tc>
          <w:tcPr>
            <w:tcW w:w="1209" w:type="dxa"/>
            <w:gridSpan w:val="2"/>
            <w:tcBorders>
              <w:top w:val="single" w:sz="4" w:space="0" w:color="auto"/>
            </w:tcBorders>
            <w:vAlign w:val="bottom"/>
          </w:tcPr>
          <w:p w14:paraId="11DC6972"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4FC5FE99"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79C518A8"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523DAEF6" w14:textId="77777777" w:rsidTr="00CC36C1">
        <w:trPr>
          <w:gridBefore w:val="1"/>
          <w:wBefore w:w="17" w:type="dxa"/>
        </w:trPr>
        <w:tc>
          <w:tcPr>
            <w:tcW w:w="7483" w:type="dxa"/>
            <w:gridSpan w:val="2"/>
          </w:tcPr>
          <w:p w14:paraId="294ADE46" w14:textId="08296783" w:rsidR="006F3A86" w:rsidRPr="00DD5B1A" w:rsidRDefault="006F3A86" w:rsidP="00033024">
            <w:pPr>
              <w:pStyle w:val="FormTableHeaderRow"/>
              <w:ind w:left="957" w:hanging="360"/>
              <w:rPr>
                <w:rFonts w:cs="Calibri Light"/>
                <w:b w:val="0"/>
                <w:bCs w:val="0"/>
                <w:sz w:val="20"/>
                <w:szCs w:val="20"/>
              </w:rPr>
            </w:pPr>
            <w:r w:rsidRPr="00DD5B1A">
              <w:rPr>
                <w:rFonts w:cs="Calibri Light"/>
                <w:b w:val="0"/>
                <w:bCs w:val="0"/>
                <w:sz w:val="20"/>
                <w:szCs w:val="20"/>
              </w:rPr>
              <w:t>(D)</w:t>
            </w:r>
            <w:r w:rsidRPr="00DD5B1A">
              <w:rPr>
                <w:rFonts w:cs="Calibri Light"/>
                <w:b w:val="0"/>
                <w:bCs w:val="0"/>
                <w:sz w:val="20"/>
                <w:szCs w:val="20"/>
              </w:rPr>
              <w:tab/>
              <w:t xml:space="preserve">Present non-GAAP financial measures on the face of any </w:t>
            </w:r>
            <w:r w:rsidRPr="00DD5B1A">
              <w:rPr>
                <w:rFonts w:cs="Calibri Light"/>
                <w:b w:val="0"/>
                <w:bCs w:val="0"/>
                <w:i/>
                <w:iCs/>
                <w:sz w:val="20"/>
                <w:szCs w:val="20"/>
              </w:rPr>
              <w:t>pro forma</w:t>
            </w:r>
            <w:r w:rsidRPr="00DD5B1A">
              <w:rPr>
                <w:rFonts w:cs="Calibri Light"/>
                <w:b w:val="0"/>
                <w:bCs w:val="0"/>
                <w:sz w:val="20"/>
                <w:szCs w:val="20"/>
              </w:rPr>
              <w:t xml:space="preserve"> financial information required to be disclosed by Article 11 of Regulation S-X (Rule 11-01 through 11-03); or</w:t>
            </w:r>
          </w:p>
        </w:tc>
        <w:tc>
          <w:tcPr>
            <w:tcW w:w="1209" w:type="dxa"/>
            <w:gridSpan w:val="2"/>
            <w:tcBorders>
              <w:top w:val="single" w:sz="4" w:space="0" w:color="auto"/>
            </w:tcBorders>
            <w:vAlign w:val="bottom"/>
          </w:tcPr>
          <w:p w14:paraId="383DDD20"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3858E938"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45F7E5F5"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2F092D8D" w14:textId="77777777" w:rsidTr="00CC36C1">
        <w:trPr>
          <w:gridBefore w:val="1"/>
          <w:wBefore w:w="17" w:type="dxa"/>
        </w:trPr>
        <w:tc>
          <w:tcPr>
            <w:tcW w:w="7483" w:type="dxa"/>
            <w:gridSpan w:val="2"/>
          </w:tcPr>
          <w:p w14:paraId="236DEDBC" w14:textId="09C517DA" w:rsidR="006F3A86" w:rsidRPr="00DD5B1A" w:rsidRDefault="006F3A86" w:rsidP="00033024">
            <w:pPr>
              <w:pStyle w:val="FormTableHeaderRow"/>
              <w:ind w:left="957" w:hanging="360"/>
              <w:rPr>
                <w:rFonts w:cs="Calibri Light"/>
                <w:b w:val="0"/>
                <w:bCs w:val="0"/>
                <w:sz w:val="20"/>
                <w:szCs w:val="20"/>
              </w:rPr>
            </w:pPr>
            <w:r w:rsidRPr="00DD5B1A">
              <w:rPr>
                <w:rFonts w:cs="Calibri Light"/>
                <w:b w:val="0"/>
                <w:bCs w:val="0"/>
                <w:sz w:val="20"/>
                <w:szCs w:val="20"/>
              </w:rPr>
              <w:t>(E)</w:t>
            </w:r>
            <w:r w:rsidRPr="00DD5B1A">
              <w:rPr>
                <w:rFonts w:cs="Calibri Light"/>
                <w:b w:val="0"/>
                <w:bCs w:val="0"/>
                <w:sz w:val="20"/>
                <w:szCs w:val="20"/>
              </w:rPr>
              <w:tab/>
              <w:t>Use titles or descriptions of non-GAAP financial measures that are the same as, or confusingly similar to, titles or descriptions used for GAAP financial measures; and</w:t>
            </w:r>
          </w:p>
        </w:tc>
        <w:tc>
          <w:tcPr>
            <w:tcW w:w="1209" w:type="dxa"/>
            <w:gridSpan w:val="2"/>
            <w:tcBorders>
              <w:top w:val="single" w:sz="4" w:space="0" w:color="auto"/>
            </w:tcBorders>
            <w:vAlign w:val="bottom"/>
          </w:tcPr>
          <w:p w14:paraId="4B45FB05"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56BBD1B8"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7E69770D"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2DEDE59F" w14:textId="77777777" w:rsidTr="00CC36C1">
        <w:trPr>
          <w:gridBefore w:val="1"/>
          <w:wBefore w:w="17" w:type="dxa"/>
        </w:trPr>
        <w:tc>
          <w:tcPr>
            <w:tcW w:w="7483" w:type="dxa"/>
            <w:gridSpan w:val="2"/>
          </w:tcPr>
          <w:p w14:paraId="0E254F92" w14:textId="62D6935B" w:rsidR="006F3A86" w:rsidRPr="00DD5B1A" w:rsidRDefault="006F3A86" w:rsidP="00033024">
            <w:pPr>
              <w:pStyle w:val="FormTableHeaderRow"/>
              <w:ind w:left="597" w:hanging="360"/>
              <w:rPr>
                <w:rFonts w:cs="Calibri Light"/>
                <w:b w:val="0"/>
                <w:bCs w:val="0"/>
                <w:sz w:val="20"/>
                <w:szCs w:val="20"/>
              </w:rPr>
            </w:pPr>
            <w:r w:rsidRPr="00DD5B1A">
              <w:rPr>
                <w:rFonts w:cs="Calibri Light"/>
                <w:b w:val="0"/>
                <w:bCs w:val="0"/>
                <w:sz w:val="20"/>
                <w:szCs w:val="20"/>
              </w:rPr>
              <w:t>(iii)</w:t>
            </w:r>
            <w:r w:rsidRPr="00DD5B1A">
              <w:rPr>
                <w:rFonts w:cs="Calibri Light"/>
                <w:b w:val="0"/>
                <w:bCs w:val="0"/>
                <w:sz w:val="20"/>
                <w:szCs w:val="20"/>
              </w:rPr>
              <w:tab/>
              <w:t>If the filing is not an annual report on Form 10-K or Form 20-F, a registrant n</w:t>
            </w:r>
            <w:r w:rsidRPr="00DD5B1A">
              <w:rPr>
                <w:rFonts w:cs="Calibri Light"/>
                <w:b w:val="0"/>
                <w:bCs w:val="0"/>
                <w:color w:val="auto"/>
                <w:sz w:val="20"/>
                <w:szCs w:val="20"/>
              </w:rPr>
              <w:t>eed not include the information required by paragraphs (e)(1)(i)(C) and (e)(1)(i)(D) of this</w:t>
            </w:r>
            <w:r w:rsidRPr="00DD5B1A">
              <w:rPr>
                <w:rFonts w:cs="Calibri Light"/>
                <w:b w:val="0"/>
                <w:bCs w:val="0"/>
                <w:sz w:val="20"/>
                <w:szCs w:val="20"/>
              </w:rPr>
              <w:t xml:space="preserve"> section if that information was included in its most recent annual report on Form 10-K or Form 20-F or a more recent filing, provided that the required information is updated to the extent necessary to meet the requirements of paragraphs (e)(1)(i)(C) and (e)(1)(i)(D) of this section at the time of the registrant's current filing.</w:t>
            </w:r>
          </w:p>
        </w:tc>
        <w:tc>
          <w:tcPr>
            <w:tcW w:w="1209" w:type="dxa"/>
            <w:gridSpan w:val="2"/>
            <w:tcBorders>
              <w:top w:val="single" w:sz="4" w:space="0" w:color="auto"/>
            </w:tcBorders>
            <w:vAlign w:val="bottom"/>
          </w:tcPr>
          <w:p w14:paraId="486A433E"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2FA28BFF"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09E193C0"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5D6836DB" w14:textId="77777777" w:rsidTr="00CC36C1">
        <w:trPr>
          <w:gridBefore w:val="1"/>
          <w:wBefore w:w="17" w:type="dxa"/>
        </w:trPr>
        <w:tc>
          <w:tcPr>
            <w:tcW w:w="7483" w:type="dxa"/>
            <w:gridSpan w:val="2"/>
          </w:tcPr>
          <w:p w14:paraId="0D63EC41" w14:textId="77777777" w:rsidR="006F3A86" w:rsidRPr="00DD5B1A" w:rsidRDefault="006F3A86" w:rsidP="006F3A86">
            <w:pPr>
              <w:spacing w:before="240" w:after="240"/>
              <w:ind w:left="360" w:hanging="360"/>
              <w:rPr>
                <w:rFonts w:cs="Calibri Light"/>
                <w:sz w:val="20"/>
                <w:szCs w:val="20"/>
              </w:rPr>
            </w:pPr>
            <w:r w:rsidRPr="00DD5B1A">
              <w:rPr>
                <w:rFonts w:cs="Calibri Light"/>
                <w:sz w:val="20"/>
                <w:szCs w:val="20"/>
              </w:rPr>
              <w:t>(2)</w:t>
            </w:r>
            <w:r w:rsidRPr="00DD5B1A">
              <w:rPr>
                <w:rFonts w:cs="Calibri Light"/>
                <w:sz w:val="20"/>
                <w:szCs w:val="20"/>
              </w:rPr>
              <w:tab/>
              <w:t>For purposes of this paragraph (e), a non-GAAP financial measure is a numerical measure of a registrant's historical or future financial performance, financial position or cash flows that:</w:t>
            </w:r>
          </w:p>
          <w:p w14:paraId="11769DA3" w14:textId="4D6B3628" w:rsidR="006F3A86" w:rsidRPr="00DD5B1A" w:rsidRDefault="006F3A86" w:rsidP="00F743FB">
            <w:pPr>
              <w:pStyle w:val="FormTableHeaderRow"/>
              <w:ind w:left="597" w:hanging="270"/>
              <w:rPr>
                <w:rFonts w:cs="Calibri Light"/>
                <w:b w:val="0"/>
                <w:bCs w:val="0"/>
                <w:sz w:val="20"/>
                <w:szCs w:val="20"/>
              </w:rPr>
            </w:pPr>
            <w:r w:rsidRPr="00DD5B1A">
              <w:rPr>
                <w:rFonts w:cs="Calibri Light"/>
                <w:b w:val="0"/>
                <w:bCs w:val="0"/>
                <w:sz w:val="20"/>
                <w:szCs w:val="20"/>
              </w:rPr>
              <w:t>(i)</w:t>
            </w:r>
            <w:r w:rsidRPr="00DD5B1A">
              <w:rPr>
                <w:rFonts w:cs="Calibri Light"/>
                <w:b w:val="0"/>
                <w:bCs w:val="0"/>
                <w:sz w:val="20"/>
                <w:szCs w:val="20"/>
              </w:rPr>
              <w:tab/>
            </w:r>
            <w:r w:rsidRPr="00033024">
              <w:rPr>
                <w:rFonts w:cs="Calibri Light"/>
                <w:b w:val="0"/>
                <w:bCs w:val="0"/>
                <w:color w:val="auto"/>
                <w:sz w:val="20"/>
                <w:szCs w:val="20"/>
              </w:rPr>
              <w:t>Excludes</w:t>
            </w:r>
            <w:r w:rsidRPr="00DD5B1A">
              <w:rPr>
                <w:rFonts w:cs="Calibri Light"/>
                <w:b w:val="0"/>
                <w:bCs w:val="0"/>
                <w:sz w:val="20"/>
                <w:szCs w:val="20"/>
              </w:rPr>
              <w:t xml:space="preserve"> amounts, or is subject to adjustments that have the effect of excluding amounts, that </w:t>
            </w:r>
            <w:r w:rsidRPr="00033024">
              <w:rPr>
                <w:rFonts w:cs="Calibri Light"/>
                <w:b w:val="0"/>
                <w:bCs w:val="0"/>
                <w:color w:val="auto"/>
                <w:sz w:val="20"/>
                <w:szCs w:val="20"/>
              </w:rPr>
              <w:t>are</w:t>
            </w:r>
            <w:r w:rsidRPr="00DD5B1A">
              <w:rPr>
                <w:rFonts w:cs="Calibri Light"/>
                <w:b w:val="0"/>
                <w:bCs w:val="0"/>
                <w:sz w:val="20"/>
                <w:szCs w:val="20"/>
              </w:rPr>
              <w:t xml:space="preserve"> included in the most directly comparable measure calculated and presented in accordance with GAAP in the statement of income, balance sheet or statement of cash flows (or equivalent statements) of the issuer; or(</w:t>
            </w:r>
          </w:p>
        </w:tc>
        <w:tc>
          <w:tcPr>
            <w:tcW w:w="1209" w:type="dxa"/>
            <w:gridSpan w:val="2"/>
            <w:tcBorders>
              <w:top w:val="single" w:sz="4" w:space="0" w:color="auto"/>
            </w:tcBorders>
            <w:vAlign w:val="bottom"/>
          </w:tcPr>
          <w:p w14:paraId="0E8A1EE7"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63D04F98"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498A6597"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62D68A26" w14:textId="77777777" w:rsidTr="00CC36C1">
        <w:trPr>
          <w:gridBefore w:val="1"/>
          <w:wBefore w:w="17" w:type="dxa"/>
        </w:trPr>
        <w:tc>
          <w:tcPr>
            <w:tcW w:w="7483" w:type="dxa"/>
            <w:gridSpan w:val="2"/>
          </w:tcPr>
          <w:p w14:paraId="020D6A12" w14:textId="25096D61" w:rsidR="006F3A86" w:rsidRPr="00DD5B1A" w:rsidRDefault="006F3A86" w:rsidP="00033024">
            <w:pPr>
              <w:pStyle w:val="FormTableHeaderRow"/>
              <w:ind w:left="597" w:hanging="360"/>
              <w:rPr>
                <w:rFonts w:cs="Calibri Light"/>
                <w:b w:val="0"/>
                <w:bCs w:val="0"/>
                <w:sz w:val="20"/>
                <w:szCs w:val="20"/>
              </w:rPr>
            </w:pPr>
            <w:r w:rsidRPr="00DD5B1A">
              <w:rPr>
                <w:rFonts w:cs="Calibri Light"/>
                <w:b w:val="0"/>
                <w:bCs w:val="0"/>
                <w:sz w:val="20"/>
                <w:szCs w:val="20"/>
              </w:rPr>
              <w:t>(ii)</w:t>
            </w:r>
            <w:r w:rsidRPr="00DD5B1A">
              <w:rPr>
                <w:rFonts w:cs="Calibri Light"/>
                <w:b w:val="0"/>
                <w:bCs w:val="0"/>
                <w:sz w:val="20"/>
                <w:szCs w:val="20"/>
              </w:rPr>
              <w:tab/>
            </w:r>
            <w:r w:rsidRPr="00033024">
              <w:rPr>
                <w:rFonts w:cs="Calibri Light"/>
                <w:b w:val="0"/>
                <w:bCs w:val="0"/>
                <w:color w:val="auto"/>
                <w:sz w:val="20"/>
                <w:szCs w:val="20"/>
              </w:rPr>
              <w:t>Includes</w:t>
            </w:r>
            <w:r w:rsidRPr="00DD5B1A">
              <w:rPr>
                <w:rFonts w:cs="Calibri Light"/>
                <w:b w:val="0"/>
                <w:bCs w:val="0"/>
                <w:sz w:val="20"/>
                <w:szCs w:val="20"/>
              </w:rPr>
              <w:t xml:space="preserve"> amounts, or is subject to adjustments that have the effect of including amounts, that are excluded from the most directly comparable measure so calculated and presented.</w:t>
            </w:r>
          </w:p>
        </w:tc>
        <w:tc>
          <w:tcPr>
            <w:tcW w:w="1209" w:type="dxa"/>
            <w:gridSpan w:val="2"/>
            <w:tcBorders>
              <w:top w:val="single" w:sz="4" w:space="0" w:color="auto"/>
              <w:bottom w:val="single" w:sz="4" w:space="0" w:color="auto"/>
            </w:tcBorders>
            <w:vAlign w:val="bottom"/>
          </w:tcPr>
          <w:p w14:paraId="57AAE757"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5279D44A"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26D20A01"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284C6A54" w14:textId="77777777" w:rsidTr="00CC36C1">
        <w:trPr>
          <w:gridBefore w:val="1"/>
          <w:wBefore w:w="17" w:type="dxa"/>
        </w:trPr>
        <w:tc>
          <w:tcPr>
            <w:tcW w:w="7483" w:type="dxa"/>
            <w:gridSpan w:val="2"/>
          </w:tcPr>
          <w:p w14:paraId="75B5FBB3" w14:textId="77777777" w:rsidR="006F3A86" w:rsidRPr="00033024" w:rsidRDefault="006F3A86" w:rsidP="006F3A86">
            <w:pPr>
              <w:spacing w:before="240" w:after="240"/>
              <w:ind w:left="360" w:hanging="360"/>
              <w:rPr>
                <w:rFonts w:cs="Calibri Light"/>
                <w:sz w:val="20"/>
                <w:szCs w:val="20"/>
              </w:rPr>
            </w:pPr>
            <w:r w:rsidRPr="00033024">
              <w:rPr>
                <w:rFonts w:cs="Calibri Light"/>
                <w:sz w:val="20"/>
                <w:szCs w:val="20"/>
              </w:rPr>
              <w:t>(3)</w:t>
            </w:r>
            <w:r w:rsidRPr="00033024">
              <w:rPr>
                <w:rFonts w:cs="Calibri Light"/>
                <w:sz w:val="20"/>
                <w:szCs w:val="20"/>
              </w:rPr>
              <w:tab/>
              <w:t>For purposes of this paragraph (e), GAAP refers to generally accepted accounting principles in the United States, except that:</w:t>
            </w:r>
          </w:p>
          <w:p w14:paraId="5B7EC013" w14:textId="6185FD95" w:rsidR="006F3A86" w:rsidRPr="00033024" w:rsidRDefault="006F3A86" w:rsidP="00F743FB">
            <w:pPr>
              <w:pStyle w:val="FormTableHeaderRow"/>
              <w:ind w:left="597" w:hanging="270"/>
              <w:rPr>
                <w:rFonts w:cs="Calibri Light"/>
                <w:b w:val="0"/>
                <w:bCs w:val="0"/>
                <w:sz w:val="20"/>
                <w:szCs w:val="20"/>
              </w:rPr>
            </w:pPr>
            <w:r w:rsidRPr="00033024">
              <w:rPr>
                <w:rFonts w:cs="Calibri Light"/>
                <w:b w:val="0"/>
                <w:bCs w:val="0"/>
                <w:sz w:val="20"/>
                <w:szCs w:val="20"/>
              </w:rPr>
              <w:t>(i)</w:t>
            </w:r>
            <w:r w:rsidRPr="00033024">
              <w:rPr>
                <w:rFonts w:cs="Calibri Light"/>
                <w:b w:val="0"/>
                <w:bCs w:val="0"/>
                <w:sz w:val="20"/>
                <w:szCs w:val="20"/>
              </w:rPr>
              <w:tab/>
              <w:t xml:space="preserve">In the case of foreign private issuers whose primary financial statements are prepared in accordance with non-U.S. generally accepted accounting principles, </w:t>
            </w:r>
            <w:r w:rsidRPr="00033024">
              <w:rPr>
                <w:rFonts w:cs="Calibri Light"/>
                <w:b w:val="0"/>
                <w:bCs w:val="0"/>
                <w:sz w:val="20"/>
                <w:szCs w:val="20"/>
              </w:rPr>
              <w:lastRenderedPageBreak/>
              <w:t>GAAP refers to the principles under which those primary financial statements are prepared; and</w:t>
            </w:r>
          </w:p>
        </w:tc>
        <w:tc>
          <w:tcPr>
            <w:tcW w:w="1209" w:type="dxa"/>
            <w:gridSpan w:val="2"/>
            <w:tcBorders>
              <w:top w:val="single" w:sz="4" w:space="0" w:color="auto"/>
            </w:tcBorders>
            <w:vAlign w:val="bottom"/>
          </w:tcPr>
          <w:p w14:paraId="289B84CD"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71427586"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1DA399B5"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06ED1903" w14:textId="77777777" w:rsidTr="00CC36C1">
        <w:trPr>
          <w:gridBefore w:val="1"/>
          <w:wBefore w:w="17" w:type="dxa"/>
        </w:trPr>
        <w:tc>
          <w:tcPr>
            <w:tcW w:w="7483" w:type="dxa"/>
            <w:gridSpan w:val="2"/>
          </w:tcPr>
          <w:p w14:paraId="1697ED7D" w14:textId="6C5E2B32" w:rsidR="006F3A86" w:rsidRPr="00033024" w:rsidRDefault="006F3A86" w:rsidP="00033024">
            <w:pPr>
              <w:pStyle w:val="FormTableHeaderRow"/>
              <w:ind w:left="597" w:hanging="360"/>
              <w:rPr>
                <w:rFonts w:cs="Calibri Light"/>
                <w:b w:val="0"/>
                <w:bCs w:val="0"/>
                <w:sz w:val="20"/>
                <w:szCs w:val="20"/>
              </w:rPr>
            </w:pPr>
            <w:r w:rsidRPr="00033024">
              <w:rPr>
                <w:rFonts w:cs="Calibri Light"/>
                <w:b w:val="0"/>
                <w:bCs w:val="0"/>
                <w:sz w:val="20"/>
                <w:szCs w:val="20"/>
              </w:rPr>
              <w:t>(ii)</w:t>
            </w:r>
            <w:r w:rsidRPr="00033024">
              <w:rPr>
                <w:rFonts w:cs="Calibri Light"/>
                <w:b w:val="0"/>
                <w:bCs w:val="0"/>
                <w:sz w:val="20"/>
                <w:szCs w:val="20"/>
              </w:rPr>
              <w:tab/>
              <w:t>In the case of foreign private issuers that include a non-GAAP financial measure derived from or based on a measure calculated in accordance with U.S. generally accepted accounting principles, GAAP refers to U.S. generally accepted accounting principles for purposes of the application of the requirements of this paragraph (e) to the disclosure of that measure.</w:t>
            </w:r>
          </w:p>
        </w:tc>
        <w:tc>
          <w:tcPr>
            <w:tcW w:w="1209" w:type="dxa"/>
            <w:gridSpan w:val="2"/>
            <w:tcBorders>
              <w:top w:val="single" w:sz="4" w:space="0" w:color="auto"/>
            </w:tcBorders>
            <w:vAlign w:val="bottom"/>
          </w:tcPr>
          <w:p w14:paraId="5D7E8723"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5A13226E"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2B1CB233"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448FDF36" w14:textId="77777777" w:rsidTr="00CC36C1">
        <w:trPr>
          <w:gridBefore w:val="1"/>
          <w:wBefore w:w="17" w:type="dxa"/>
        </w:trPr>
        <w:tc>
          <w:tcPr>
            <w:tcW w:w="7483" w:type="dxa"/>
            <w:gridSpan w:val="2"/>
          </w:tcPr>
          <w:p w14:paraId="73AC16D8" w14:textId="77777777" w:rsidR="006F3A86" w:rsidRPr="00033024" w:rsidRDefault="006F3A86" w:rsidP="006F3A86">
            <w:pPr>
              <w:spacing w:before="240" w:after="240"/>
              <w:ind w:left="360" w:hanging="360"/>
              <w:rPr>
                <w:rFonts w:cs="Calibri Light"/>
                <w:sz w:val="20"/>
                <w:szCs w:val="20"/>
              </w:rPr>
            </w:pPr>
            <w:r w:rsidRPr="00033024">
              <w:rPr>
                <w:rFonts w:cs="Calibri Light"/>
                <w:sz w:val="20"/>
                <w:szCs w:val="20"/>
              </w:rPr>
              <w:t>(4)</w:t>
            </w:r>
            <w:r w:rsidRPr="00033024">
              <w:rPr>
                <w:rFonts w:cs="Calibri Light"/>
                <w:sz w:val="20"/>
                <w:szCs w:val="20"/>
              </w:rPr>
              <w:tab/>
              <w:t>For purposes of this paragraph (e), non-GAAP financial measures exclude:</w:t>
            </w:r>
          </w:p>
          <w:p w14:paraId="50E52A55" w14:textId="2BF55C13" w:rsidR="006F3A86" w:rsidRPr="00033024" w:rsidRDefault="006F3A86" w:rsidP="00033024">
            <w:pPr>
              <w:pStyle w:val="FormTableHeaderRow"/>
              <w:ind w:left="597" w:hanging="360"/>
              <w:rPr>
                <w:rFonts w:cs="Calibri Light"/>
                <w:b w:val="0"/>
                <w:bCs w:val="0"/>
                <w:sz w:val="20"/>
                <w:szCs w:val="20"/>
              </w:rPr>
            </w:pPr>
            <w:r w:rsidRPr="00033024">
              <w:rPr>
                <w:rFonts w:cs="Calibri Light"/>
                <w:b w:val="0"/>
                <w:bCs w:val="0"/>
                <w:sz w:val="20"/>
                <w:szCs w:val="20"/>
              </w:rPr>
              <w:t>(i)</w:t>
            </w:r>
            <w:r w:rsidRPr="00033024">
              <w:rPr>
                <w:rFonts w:cs="Calibri Light"/>
                <w:b w:val="0"/>
                <w:bCs w:val="0"/>
                <w:sz w:val="20"/>
                <w:szCs w:val="20"/>
              </w:rPr>
              <w:tab/>
              <w:t>Operating and other statistical measures; and</w:t>
            </w:r>
          </w:p>
        </w:tc>
        <w:tc>
          <w:tcPr>
            <w:tcW w:w="1209" w:type="dxa"/>
            <w:gridSpan w:val="2"/>
            <w:tcBorders>
              <w:top w:val="single" w:sz="4" w:space="0" w:color="auto"/>
            </w:tcBorders>
            <w:vAlign w:val="bottom"/>
          </w:tcPr>
          <w:p w14:paraId="0295D919"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49B63BDE"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6F239ECC"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2624AED4" w14:textId="77777777" w:rsidTr="00CC36C1">
        <w:trPr>
          <w:gridBefore w:val="1"/>
          <w:wBefore w:w="17" w:type="dxa"/>
        </w:trPr>
        <w:tc>
          <w:tcPr>
            <w:tcW w:w="7483" w:type="dxa"/>
            <w:gridSpan w:val="2"/>
          </w:tcPr>
          <w:p w14:paraId="1264E1D9" w14:textId="7EDA0543" w:rsidR="006F3A86" w:rsidRPr="00033024" w:rsidRDefault="006F3A86" w:rsidP="00033024">
            <w:pPr>
              <w:pStyle w:val="FormTableHeaderRow"/>
              <w:ind w:left="597" w:hanging="360"/>
              <w:rPr>
                <w:rFonts w:cs="Calibri Light"/>
                <w:b w:val="0"/>
                <w:bCs w:val="0"/>
                <w:sz w:val="20"/>
                <w:szCs w:val="20"/>
              </w:rPr>
            </w:pPr>
            <w:r w:rsidRPr="00033024">
              <w:rPr>
                <w:rFonts w:cs="Calibri Light"/>
                <w:b w:val="0"/>
                <w:bCs w:val="0"/>
                <w:sz w:val="20"/>
                <w:szCs w:val="20"/>
              </w:rPr>
              <w:t>(ii)</w:t>
            </w:r>
            <w:r w:rsidRPr="00033024">
              <w:rPr>
                <w:rFonts w:cs="Calibri Light"/>
                <w:b w:val="0"/>
                <w:bCs w:val="0"/>
                <w:sz w:val="20"/>
                <w:szCs w:val="20"/>
              </w:rPr>
              <w:tab/>
              <w:t>Ratios or statistical measures calculated using exclusively one or both of:</w:t>
            </w:r>
          </w:p>
        </w:tc>
        <w:tc>
          <w:tcPr>
            <w:tcW w:w="1209" w:type="dxa"/>
            <w:gridSpan w:val="2"/>
            <w:tcBorders>
              <w:top w:val="single" w:sz="4" w:space="0" w:color="auto"/>
            </w:tcBorders>
            <w:vAlign w:val="bottom"/>
          </w:tcPr>
          <w:p w14:paraId="43390D36"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7EBCA01D"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25576E06"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79110C9D" w14:textId="77777777" w:rsidTr="00CC36C1">
        <w:trPr>
          <w:gridBefore w:val="1"/>
          <w:wBefore w:w="17" w:type="dxa"/>
        </w:trPr>
        <w:tc>
          <w:tcPr>
            <w:tcW w:w="7483" w:type="dxa"/>
            <w:gridSpan w:val="2"/>
          </w:tcPr>
          <w:p w14:paraId="6853BBE7" w14:textId="0D08DCAB" w:rsidR="006F3A86" w:rsidRPr="00033024" w:rsidRDefault="006F3A86" w:rsidP="00033024">
            <w:pPr>
              <w:pStyle w:val="FormTableHeaderRow"/>
              <w:ind w:left="957" w:hanging="360"/>
              <w:rPr>
                <w:rFonts w:cs="Calibri Light"/>
                <w:b w:val="0"/>
                <w:bCs w:val="0"/>
                <w:sz w:val="20"/>
                <w:szCs w:val="20"/>
              </w:rPr>
            </w:pPr>
            <w:r w:rsidRPr="00033024">
              <w:rPr>
                <w:rFonts w:cs="Calibri Light"/>
                <w:b w:val="0"/>
                <w:bCs w:val="0"/>
                <w:sz w:val="20"/>
                <w:szCs w:val="20"/>
              </w:rPr>
              <w:t>(A)</w:t>
            </w:r>
            <w:r w:rsidRPr="00033024">
              <w:rPr>
                <w:rFonts w:cs="Calibri Light"/>
                <w:b w:val="0"/>
                <w:bCs w:val="0"/>
                <w:sz w:val="20"/>
                <w:szCs w:val="20"/>
              </w:rPr>
              <w:tab/>
              <w:t>Financial measures calculated in accordance with GAAP; and</w:t>
            </w:r>
          </w:p>
        </w:tc>
        <w:tc>
          <w:tcPr>
            <w:tcW w:w="1209" w:type="dxa"/>
            <w:gridSpan w:val="2"/>
            <w:tcBorders>
              <w:top w:val="single" w:sz="4" w:space="0" w:color="auto"/>
            </w:tcBorders>
            <w:vAlign w:val="bottom"/>
          </w:tcPr>
          <w:p w14:paraId="6F5C724B"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48999E3B"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4858285B"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507BA180" w14:textId="77777777" w:rsidTr="00CC36C1">
        <w:trPr>
          <w:gridBefore w:val="1"/>
          <w:wBefore w:w="17" w:type="dxa"/>
        </w:trPr>
        <w:tc>
          <w:tcPr>
            <w:tcW w:w="7483" w:type="dxa"/>
            <w:gridSpan w:val="2"/>
          </w:tcPr>
          <w:p w14:paraId="1E1DCFE9" w14:textId="28065361" w:rsidR="006F3A86" w:rsidRPr="00033024" w:rsidRDefault="006F3A86" w:rsidP="00033024">
            <w:pPr>
              <w:pStyle w:val="FormTableHeaderRow"/>
              <w:ind w:left="957" w:hanging="360"/>
              <w:rPr>
                <w:rFonts w:cs="Calibri Light"/>
                <w:b w:val="0"/>
                <w:bCs w:val="0"/>
                <w:sz w:val="20"/>
                <w:szCs w:val="20"/>
              </w:rPr>
            </w:pPr>
            <w:r w:rsidRPr="00033024">
              <w:rPr>
                <w:rFonts w:cs="Calibri Light"/>
                <w:b w:val="0"/>
                <w:bCs w:val="0"/>
                <w:sz w:val="20"/>
                <w:szCs w:val="20"/>
              </w:rPr>
              <w:t>(B)</w:t>
            </w:r>
            <w:r w:rsidRPr="00033024">
              <w:rPr>
                <w:rFonts w:cs="Calibri Light"/>
                <w:b w:val="0"/>
                <w:bCs w:val="0"/>
                <w:sz w:val="20"/>
                <w:szCs w:val="20"/>
              </w:rPr>
              <w:tab/>
              <w:t>Operating measures or other measures that are not non-GAAP financial measures.</w:t>
            </w:r>
          </w:p>
        </w:tc>
        <w:tc>
          <w:tcPr>
            <w:tcW w:w="1209" w:type="dxa"/>
            <w:gridSpan w:val="2"/>
            <w:tcBorders>
              <w:top w:val="single" w:sz="4" w:space="0" w:color="auto"/>
            </w:tcBorders>
            <w:vAlign w:val="bottom"/>
          </w:tcPr>
          <w:p w14:paraId="78BDCE45"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249F28DA"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08EEE95F"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1571DA41" w14:textId="77777777" w:rsidTr="00CC36C1">
        <w:trPr>
          <w:gridBefore w:val="1"/>
          <w:wBefore w:w="17" w:type="dxa"/>
        </w:trPr>
        <w:tc>
          <w:tcPr>
            <w:tcW w:w="7483" w:type="dxa"/>
            <w:gridSpan w:val="2"/>
          </w:tcPr>
          <w:p w14:paraId="3890CCDB" w14:textId="15B9801D" w:rsidR="006F3A86" w:rsidRPr="00033024" w:rsidRDefault="006F3A86" w:rsidP="00033024">
            <w:pPr>
              <w:spacing w:before="240" w:after="240"/>
              <w:ind w:left="360" w:hanging="360"/>
              <w:rPr>
                <w:rFonts w:cs="Calibri Light"/>
                <w:sz w:val="20"/>
                <w:szCs w:val="20"/>
              </w:rPr>
            </w:pPr>
            <w:r w:rsidRPr="00033024">
              <w:rPr>
                <w:rFonts w:cs="Calibri Light"/>
                <w:sz w:val="20"/>
                <w:szCs w:val="20"/>
              </w:rPr>
              <w:t>(5)</w:t>
            </w:r>
            <w:r w:rsidRPr="00033024">
              <w:rPr>
                <w:rFonts w:cs="Calibri Light"/>
                <w:sz w:val="20"/>
                <w:szCs w:val="20"/>
              </w:rPr>
              <w:tab/>
              <w:t>For purposes of this paragraph (e), non-GAAP financial measures exclude financial measures required to be disclosed by GAAP, Commission rules, or a system of regulation of a government or governmental authority or self-regulatory organization that is applicable to the registrant. However, the financial measure should be presented outside of the financial statements unless the financial measure is required or expressly permitted by the standard-setter that is responsible for establishing the GAAP used in such financial statements.</w:t>
            </w:r>
          </w:p>
        </w:tc>
        <w:tc>
          <w:tcPr>
            <w:tcW w:w="1209" w:type="dxa"/>
            <w:gridSpan w:val="2"/>
            <w:tcBorders>
              <w:top w:val="single" w:sz="4" w:space="0" w:color="auto"/>
            </w:tcBorders>
            <w:vAlign w:val="bottom"/>
          </w:tcPr>
          <w:p w14:paraId="260FB352"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435F0863"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2FD18F43"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596AA9C1" w14:textId="77777777" w:rsidTr="00CC36C1">
        <w:trPr>
          <w:gridBefore w:val="1"/>
          <w:wBefore w:w="17" w:type="dxa"/>
        </w:trPr>
        <w:tc>
          <w:tcPr>
            <w:tcW w:w="7483" w:type="dxa"/>
            <w:gridSpan w:val="2"/>
          </w:tcPr>
          <w:p w14:paraId="4BCEAC14" w14:textId="0874A424" w:rsidR="006F3A86" w:rsidRPr="00033024" w:rsidRDefault="006F3A86" w:rsidP="00033024">
            <w:pPr>
              <w:spacing w:before="240" w:after="240"/>
              <w:ind w:left="360" w:hanging="360"/>
              <w:rPr>
                <w:rFonts w:cs="Calibri Light"/>
                <w:sz w:val="20"/>
                <w:szCs w:val="20"/>
              </w:rPr>
            </w:pPr>
            <w:r w:rsidRPr="00033024">
              <w:rPr>
                <w:rFonts w:cs="Calibri Light"/>
                <w:sz w:val="20"/>
                <w:szCs w:val="20"/>
              </w:rPr>
              <w:t>(6)</w:t>
            </w:r>
            <w:r w:rsidRPr="00033024">
              <w:rPr>
                <w:rFonts w:cs="Calibri Light"/>
                <w:sz w:val="20"/>
                <w:szCs w:val="20"/>
              </w:rPr>
              <w:tab/>
              <w:t>The requirements of paragraph (e) of this section shall not apply to a non-GAAP financial measure included in disclosure relating to a proposed business combination, the entity resulting therefrom or an entity that is a party thereto, if the disclosure is contained in a communication that is subject to § 230.425 of this chapter, § 240.14a-12 or § 240.14d-2(b)(2) of this chapter or § 229.1015 of this chapter.</w:t>
            </w:r>
          </w:p>
        </w:tc>
        <w:tc>
          <w:tcPr>
            <w:tcW w:w="1209" w:type="dxa"/>
            <w:gridSpan w:val="2"/>
            <w:tcBorders>
              <w:top w:val="single" w:sz="4" w:space="0" w:color="auto"/>
              <w:bottom w:val="single" w:sz="4" w:space="0" w:color="auto"/>
            </w:tcBorders>
            <w:vAlign w:val="bottom"/>
          </w:tcPr>
          <w:p w14:paraId="52AC6B82"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3BA537D0"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4C5AFB62"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731D0B70" w14:textId="77777777" w:rsidTr="00CC36C1">
        <w:trPr>
          <w:gridBefore w:val="1"/>
          <w:wBefore w:w="17" w:type="dxa"/>
        </w:trPr>
        <w:tc>
          <w:tcPr>
            <w:tcW w:w="7483" w:type="dxa"/>
            <w:gridSpan w:val="2"/>
          </w:tcPr>
          <w:p w14:paraId="2F219AF5" w14:textId="5CDFE731" w:rsidR="006F3A86" w:rsidRPr="00033024" w:rsidRDefault="006F3A86" w:rsidP="00033024">
            <w:pPr>
              <w:spacing w:before="240" w:after="240"/>
              <w:ind w:left="360" w:hanging="360"/>
              <w:rPr>
                <w:rFonts w:cs="Calibri Light"/>
                <w:sz w:val="20"/>
                <w:szCs w:val="20"/>
              </w:rPr>
            </w:pPr>
            <w:r w:rsidRPr="00033024">
              <w:rPr>
                <w:rFonts w:cs="Calibri Light"/>
                <w:sz w:val="20"/>
                <w:szCs w:val="20"/>
              </w:rPr>
              <w:t>(7)</w:t>
            </w:r>
            <w:r w:rsidRPr="00033024">
              <w:rPr>
                <w:rFonts w:cs="Calibri Light"/>
                <w:sz w:val="20"/>
                <w:szCs w:val="20"/>
              </w:rPr>
              <w:tab/>
              <w:t>The requirements of paragraph (e) of this section shall not apply to investment companies registered under section 8 of the Investment Company Act of 1940.</w:t>
            </w:r>
          </w:p>
        </w:tc>
        <w:tc>
          <w:tcPr>
            <w:tcW w:w="1209" w:type="dxa"/>
            <w:gridSpan w:val="2"/>
            <w:tcBorders>
              <w:top w:val="single" w:sz="4" w:space="0" w:color="auto"/>
              <w:bottom w:val="single" w:sz="4" w:space="0" w:color="auto"/>
            </w:tcBorders>
            <w:vAlign w:val="bottom"/>
          </w:tcPr>
          <w:p w14:paraId="37428371"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0DB9691C"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1D020F98"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B5A87" w14:paraId="35047B44" w14:textId="77777777" w:rsidTr="00CC36C1">
        <w:trPr>
          <w:gridBefore w:val="1"/>
          <w:wBefore w:w="17" w:type="dxa"/>
        </w:trPr>
        <w:tc>
          <w:tcPr>
            <w:tcW w:w="7483" w:type="dxa"/>
            <w:gridSpan w:val="2"/>
          </w:tcPr>
          <w:p w14:paraId="6AB10E2F" w14:textId="77777777" w:rsidR="006F3A86" w:rsidRDefault="006F3A86" w:rsidP="006F3A86">
            <w:pPr>
              <w:pStyle w:val="FormTableHeaderRow"/>
              <w:rPr>
                <w:rFonts w:cs="Calibri Light"/>
                <w:sz w:val="20"/>
                <w:szCs w:val="20"/>
              </w:rPr>
            </w:pPr>
            <w:r w:rsidRPr="004005A4">
              <w:rPr>
                <w:rFonts w:cs="Calibri Light"/>
                <w:sz w:val="20"/>
                <w:szCs w:val="20"/>
              </w:rPr>
              <w:t>It</w:t>
            </w:r>
            <w:bookmarkStart w:id="35" w:name="item_101"/>
            <w:bookmarkEnd w:id="35"/>
            <w:r w:rsidRPr="004005A4">
              <w:rPr>
                <w:rFonts w:cs="Calibri Light"/>
                <w:sz w:val="20"/>
                <w:szCs w:val="20"/>
              </w:rPr>
              <w:t>em 101.  Description of Business</w:t>
            </w:r>
          </w:p>
          <w:p w14:paraId="6CFD1346" w14:textId="7C7C0CC9" w:rsidR="006F3A86" w:rsidRPr="00F743FB" w:rsidRDefault="006F3A86" w:rsidP="00F743FB">
            <w:pPr>
              <w:spacing w:before="120" w:after="120" w:line="240" w:lineRule="atLeast"/>
              <w:rPr>
                <w:rFonts w:cs="Calibri Light"/>
                <w:b/>
                <w:sz w:val="20"/>
                <w:szCs w:val="20"/>
                <w:shd w:val="clear" w:color="auto" w:fill="FFFFFF"/>
              </w:rPr>
            </w:pPr>
            <w:r w:rsidRPr="00152D0F">
              <w:rPr>
                <w:rFonts w:cs="Calibri Light"/>
                <w:b/>
                <w:bCs/>
                <w:sz w:val="20"/>
                <w:szCs w:val="20"/>
                <w:shd w:val="clear" w:color="auto" w:fill="FFFFFF"/>
              </w:rPr>
              <w:t>Item 101(a) General development of business</w:t>
            </w:r>
          </w:p>
          <w:p w14:paraId="3F412DE9" w14:textId="5A1A92BC" w:rsidR="006F3A86" w:rsidRPr="004B5A87" w:rsidRDefault="006F3A86" w:rsidP="006F3A86">
            <w:pPr>
              <w:spacing w:before="120" w:after="120" w:line="240" w:lineRule="atLeast"/>
              <w:rPr>
                <w:rFonts w:cs="Calibri Light"/>
                <w:sz w:val="20"/>
                <w:szCs w:val="20"/>
              </w:rPr>
            </w:pPr>
            <w:r w:rsidRPr="004005A4">
              <w:rPr>
                <w:rFonts w:cs="Calibri Light"/>
                <w:sz w:val="20"/>
                <w:szCs w:val="20"/>
                <w:shd w:val="clear" w:color="auto" w:fill="FFFFFF"/>
              </w:rPr>
              <w:t>Regulation S-K, Item 101(a), General Development of Business</w:t>
            </w:r>
            <w:r>
              <w:rPr>
                <w:rFonts w:cs="Calibri Light"/>
                <w:sz w:val="20"/>
                <w:szCs w:val="20"/>
                <w:shd w:val="clear" w:color="auto" w:fill="FFFFFF"/>
              </w:rPr>
              <w:t>. Describe the general development of the business of the registrant, its subsidiaries, and predecessor(s).</w:t>
            </w:r>
            <w:r w:rsidRPr="004005A4">
              <w:rPr>
                <w:rFonts w:cs="Calibri Light"/>
                <w:sz w:val="20"/>
                <w:szCs w:val="20"/>
                <w:shd w:val="clear" w:color="auto" w:fill="FFFFFF"/>
              </w:rPr>
              <w:t xml:space="preserve"> </w:t>
            </w:r>
          </w:p>
        </w:tc>
        <w:tc>
          <w:tcPr>
            <w:tcW w:w="1209" w:type="dxa"/>
            <w:gridSpan w:val="2"/>
            <w:tcBorders>
              <w:top w:val="single" w:sz="4" w:space="0" w:color="auto"/>
            </w:tcBorders>
            <w:vAlign w:val="bottom"/>
          </w:tcPr>
          <w:p w14:paraId="428B21FB" w14:textId="77777777" w:rsidR="006F3A86" w:rsidRPr="004B5A87"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6EA367F5" w14:textId="77777777" w:rsidR="006F3A86" w:rsidRPr="004B5A87" w:rsidRDefault="006F3A86" w:rsidP="006F3A86">
            <w:pPr>
              <w:pStyle w:val="levela"/>
              <w:spacing w:before="120" w:after="120" w:line="240" w:lineRule="atLeast"/>
              <w:jc w:val="center"/>
              <w:rPr>
                <w:rFonts w:cs="Calibri Light"/>
                <w:sz w:val="20"/>
                <w:szCs w:val="20"/>
              </w:rPr>
            </w:pPr>
          </w:p>
        </w:tc>
        <w:tc>
          <w:tcPr>
            <w:tcW w:w="1181" w:type="dxa"/>
            <w:gridSpan w:val="2"/>
            <w:tcBorders>
              <w:top w:val="single" w:sz="4" w:space="0" w:color="auto"/>
            </w:tcBorders>
            <w:vAlign w:val="bottom"/>
          </w:tcPr>
          <w:p w14:paraId="0DD810AD" w14:textId="77777777" w:rsidR="006F3A86" w:rsidRPr="004B5A87" w:rsidRDefault="006F3A86" w:rsidP="006F3A86">
            <w:pPr>
              <w:pStyle w:val="levela"/>
              <w:spacing w:before="120" w:after="120" w:line="240" w:lineRule="atLeast"/>
              <w:jc w:val="center"/>
              <w:rPr>
                <w:rFonts w:cs="Calibri Light"/>
                <w:sz w:val="20"/>
                <w:szCs w:val="20"/>
              </w:rPr>
            </w:pPr>
          </w:p>
        </w:tc>
      </w:tr>
      <w:tr w:rsidR="006F3A86" w:rsidRPr="004005A4" w14:paraId="7CC019C6" w14:textId="77777777" w:rsidTr="00CC36C1">
        <w:trPr>
          <w:gridBefore w:val="1"/>
          <w:wBefore w:w="17" w:type="dxa"/>
        </w:trPr>
        <w:tc>
          <w:tcPr>
            <w:tcW w:w="7483" w:type="dxa"/>
            <w:gridSpan w:val="2"/>
          </w:tcPr>
          <w:p w14:paraId="5C3271DA" w14:textId="5B6CC82C" w:rsidR="006F3A86" w:rsidRPr="00637D9E" w:rsidRDefault="006F3A86" w:rsidP="00637D9E">
            <w:pPr>
              <w:pStyle w:val="ListParagraph"/>
              <w:numPr>
                <w:ilvl w:val="0"/>
                <w:numId w:val="138"/>
              </w:numPr>
              <w:shd w:val="clear" w:color="auto" w:fill="FFFFFF"/>
              <w:spacing w:before="120" w:after="120" w:line="240" w:lineRule="atLeast"/>
              <w:rPr>
                <w:rFonts w:cs="Calibri Light"/>
                <w:sz w:val="20"/>
                <w:szCs w:val="20"/>
              </w:rPr>
            </w:pPr>
            <w:r w:rsidRPr="00637D9E">
              <w:rPr>
                <w:rFonts w:cs="Calibri Light"/>
                <w:sz w:val="20"/>
                <w:szCs w:val="20"/>
              </w:rPr>
              <w:lastRenderedPageBreak/>
              <w:t>In describing the developments, only information material to an understanding of the general development of the business is required. Disclosure may include, but should not be limited, to the following topics:</w:t>
            </w:r>
          </w:p>
        </w:tc>
        <w:tc>
          <w:tcPr>
            <w:tcW w:w="1209" w:type="dxa"/>
            <w:gridSpan w:val="2"/>
            <w:tcBorders>
              <w:bottom w:val="single" w:sz="4" w:space="0" w:color="auto"/>
            </w:tcBorders>
            <w:vAlign w:val="bottom"/>
          </w:tcPr>
          <w:p w14:paraId="1646A24C"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ECCF8E1"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08749D38"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6997306D" w14:textId="77777777" w:rsidTr="00CC36C1">
        <w:trPr>
          <w:gridBefore w:val="1"/>
          <w:wBefore w:w="17" w:type="dxa"/>
          <w:trHeight w:val="503"/>
        </w:trPr>
        <w:tc>
          <w:tcPr>
            <w:tcW w:w="7483" w:type="dxa"/>
            <w:gridSpan w:val="2"/>
          </w:tcPr>
          <w:p w14:paraId="4273CC95" w14:textId="11EEA028" w:rsidR="006F3A86" w:rsidRPr="004005A4" w:rsidRDefault="006F3A86" w:rsidP="00370372">
            <w:pPr>
              <w:shd w:val="clear" w:color="auto" w:fill="FFFFFF"/>
              <w:spacing w:before="120" w:after="120" w:line="240" w:lineRule="atLeast"/>
              <w:ind w:left="685" w:hanging="360"/>
              <w:rPr>
                <w:rFonts w:cs="Calibri Light"/>
                <w:sz w:val="20"/>
                <w:szCs w:val="20"/>
              </w:rPr>
            </w:pPr>
            <w:r>
              <w:rPr>
                <w:rFonts w:cs="Calibri Light"/>
                <w:sz w:val="20"/>
                <w:szCs w:val="20"/>
                <w:shd w:val="clear" w:color="auto" w:fill="FFFFFF"/>
              </w:rPr>
              <w:t xml:space="preserve">(i) </w:t>
            </w:r>
            <w:r w:rsidR="00637D9E">
              <w:rPr>
                <w:rFonts w:cs="Calibri Light"/>
                <w:sz w:val="20"/>
                <w:szCs w:val="20"/>
                <w:shd w:val="clear" w:color="auto" w:fill="FFFFFF"/>
              </w:rPr>
              <w:tab/>
            </w:r>
            <w:r>
              <w:rPr>
                <w:rFonts w:cs="Calibri Light"/>
                <w:sz w:val="20"/>
                <w:szCs w:val="20"/>
                <w:shd w:val="clear" w:color="auto" w:fill="FFFFFF"/>
              </w:rPr>
              <w:t>A</w:t>
            </w:r>
            <w:r w:rsidRPr="004005A4">
              <w:rPr>
                <w:rFonts w:cs="Calibri Light"/>
                <w:sz w:val="20"/>
                <w:szCs w:val="20"/>
                <w:shd w:val="clear" w:color="auto" w:fill="FFFFFF"/>
              </w:rPr>
              <w:t xml:space="preserve">ny </w:t>
            </w:r>
            <w:r w:rsidRPr="00B40967">
              <w:rPr>
                <w:rFonts w:cs="Calibri Light"/>
                <w:sz w:val="20"/>
                <w:szCs w:val="20"/>
              </w:rPr>
              <w:t>material</w:t>
            </w:r>
            <w:r w:rsidRPr="004005A4">
              <w:rPr>
                <w:rFonts w:cs="Calibri Light"/>
                <w:sz w:val="20"/>
                <w:szCs w:val="20"/>
                <w:shd w:val="clear" w:color="auto" w:fill="FFFFFF"/>
              </w:rPr>
              <w:t xml:space="preserve"> changes to a previously disclosed business strategy.</w:t>
            </w:r>
          </w:p>
        </w:tc>
        <w:tc>
          <w:tcPr>
            <w:tcW w:w="1209" w:type="dxa"/>
            <w:gridSpan w:val="2"/>
            <w:tcBorders>
              <w:top w:val="single" w:sz="4" w:space="0" w:color="auto"/>
            </w:tcBorders>
            <w:vAlign w:val="bottom"/>
          </w:tcPr>
          <w:p w14:paraId="6F7C4B2A"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E5C7EB3"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D7556F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BCC982B" w14:textId="77777777" w:rsidTr="00CC36C1">
        <w:trPr>
          <w:gridBefore w:val="1"/>
          <w:wBefore w:w="17" w:type="dxa"/>
        </w:trPr>
        <w:tc>
          <w:tcPr>
            <w:tcW w:w="7483" w:type="dxa"/>
            <w:gridSpan w:val="2"/>
          </w:tcPr>
          <w:p w14:paraId="1151C813" w14:textId="226E7423" w:rsidR="006F3A86" w:rsidRPr="00370372" w:rsidRDefault="00370372" w:rsidP="00370372">
            <w:pPr>
              <w:shd w:val="clear" w:color="auto" w:fill="FFFFFF"/>
              <w:spacing w:before="120" w:after="120" w:line="240" w:lineRule="atLeast"/>
              <w:ind w:left="685" w:hanging="360"/>
              <w:rPr>
                <w:rFonts w:cs="Calibri Light"/>
                <w:i/>
                <w:iCs/>
                <w:sz w:val="20"/>
                <w:szCs w:val="20"/>
              </w:rPr>
            </w:pPr>
            <w:r>
              <w:rPr>
                <w:rFonts w:cs="Calibri Light"/>
                <w:sz w:val="20"/>
                <w:szCs w:val="20"/>
                <w:shd w:val="clear" w:color="auto" w:fill="FFFFFF"/>
              </w:rPr>
              <w:t>(ii)</w:t>
            </w:r>
            <w:r>
              <w:rPr>
                <w:rFonts w:cs="Calibri Light"/>
                <w:sz w:val="20"/>
                <w:szCs w:val="20"/>
                <w:shd w:val="clear" w:color="auto" w:fill="FFFFFF"/>
              </w:rPr>
              <w:tab/>
            </w:r>
            <w:r w:rsidR="006F3A86" w:rsidRPr="00370372">
              <w:rPr>
                <w:rFonts w:cs="Calibri Light"/>
                <w:sz w:val="20"/>
                <w:szCs w:val="20"/>
                <w:shd w:val="clear" w:color="auto" w:fill="FFFFFF"/>
              </w:rPr>
              <w:t>The</w:t>
            </w:r>
            <w:r w:rsidR="006F3A86" w:rsidRPr="00370372">
              <w:rPr>
                <w:rFonts w:cs="Calibri Light"/>
                <w:sz w:val="20"/>
                <w:szCs w:val="20"/>
              </w:rPr>
              <w:t xml:space="preserve"> nature and effects of any material bankruptcy, receivership or similar proceedings with respect to the registrant or any of its significant subsidiaries.</w:t>
            </w:r>
          </w:p>
        </w:tc>
        <w:tc>
          <w:tcPr>
            <w:tcW w:w="1209" w:type="dxa"/>
            <w:gridSpan w:val="2"/>
            <w:tcBorders>
              <w:top w:val="single" w:sz="4" w:space="0" w:color="auto"/>
            </w:tcBorders>
            <w:vAlign w:val="bottom"/>
          </w:tcPr>
          <w:p w14:paraId="097539C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1363599"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7B31229"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3937E45" w14:textId="77777777" w:rsidTr="00CC36C1">
        <w:trPr>
          <w:gridBefore w:val="1"/>
          <w:wBefore w:w="17" w:type="dxa"/>
        </w:trPr>
        <w:tc>
          <w:tcPr>
            <w:tcW w:w="7483" w:type="dxa"/>
            <w:gridSpan w:val="2"/>
          </w:tcPr>
          <w:p w14:paraId="5802F1EF" w14:textId="682E6C6C" w:rsidR="006F3A86" w:rsidRPr="00637D9E" w:rsidRDefault="00370372" w:rsidP="00370372">
            <w:pPr>
              <w:shd w:val="clear" w:color="auto" w:fill="FFFFFF"/>
              <w:spacing w:before="120" w:after="120" w:line="240" w:lineRule="atLeast"/>
              <w:ind w:left="685" w:hanging="360"/>
              <w:rPr>
                <w:rFonts w:cs="Calibri Light"/>
                <w:i/>
                <w:iCs/>
                <w:sz w:val="20"/>
                <w:szCs w:val="20"/>
              </w:rPr>
            </w:pPr>
            <w:r>
              <w:rPr>
                <w:rFonts w:cs="Calibri Light"/>
                <w:sz w:val="20"/>
                <w:szCs w:val="20"/>
                <w:shd w:val="clear" w:color="auto" w:fill="FFFFFF"/>
              </w:rPr>
              <w:t>(iii)</w:t>
            </w:r>
            <w:r>
              <w:rPr>
                <w:rFonts w:cs="Calibri Light"/>
                <w:sz w:val="20"/>
                <w:szCs w:val="20"/>
                <w:shd w:val="clear" w:color="auto" w:fill="FFFFFF"/>
              </w:rPr>
              <w:tab/>
            </w:r>
            <w:r w:rsidR="006F3A86" w:rsidRPr="00370372">
              <w:rPr>
                <w:rFonts w:cs="Calibri Light"/>
                <w:sz w:val="20"/>
                <w:szCs w:val="20"/>
                <w:shd w:val="clear" w:color="auto" w:fill="FFFFFF"/>
              </w:rPr>
              <w:t>The</w:t>
            </w:r>
            <w:r w:rsidR="006F3A86" w:rsidRPr="00637D9E">
              <w:rPr>
                <w:rFonts w:cs="Calibri Light"/>
                <w:sz w:val="20"/>
                <w:szCs w:val="20"/>
              </w:rPr>
              <w:t xml:space="preserve"> nature and effects of any other material reclassification, merger or consolidation of the registrant or any of its significant subsidiaries.</w:t>
            </w:r>
          </w:p>
        </w:tc>
        <w:tc>
          <w:tcPr>
            <w:tcW w:w="1209" w:type="dxa"/>
            <w:gridSpan w:val="2"/>
            <w:tcBorders>
              <w:top w:val="single" w:sz="4" w:space="0" w:color="auto"/>
            </w:tcBorders>
            <w:vAlign w:val="bottom"/>
          </w:tcPr>
          <w:p w14:paraId="04083652"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4A1888C2"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A435152"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00587D2" w14:textId="77777777" w:rsidTr="00CC36C1">
        <w:trPr>
          <w:gridBefore w:val="1"/>
          <w:wBefore w:w="17" w:type="dxa"/>
        </w:trPr>
        <w:tc>
          <w:tcPr>
            <w:tcW w:w="7483" w:type="dxa"/>
            <w:gridSpan w:val="2"/>
          </w:tcPr>
          <w:p w14:paraId="3982185E" w14:textId="6F989C97" w:rsidR="006F3A86" w:rsidRPr="004005A4" w:rsidRDefault="00370372" w:rsidP="00370372">
            <w:pPr>
              <w:shd w:val="clear" w:color="auto" w:fill="FFFFFF"/>
              <w:spacing w:before="120" w:after="120" w:line="240" w:lineRule="atLeast"/>
              <w:ind w:left="685" w:hanging="360"/>
              <w:rPr>
                <w:rFonts w:cs="Calibri Light"/>
                <w:i/>
                <w:iCs/>
                <w:sz w:val="20"/>
                <w:szCs w:val="20"/>
              </w:rPr>
            </w:pPr>
            <w:r>
              <w:rPr>
                <w:rFonts w:cs="Calibri Light"/>
                <w:sz w:val="20"/>
                <w:szCs w:val="20"/>
                <w:shd w:val="clear" w:color="auto" w:fill="FFFFFF"/>
              </w:rPr>
              <w:t>(iv)</w:t>
            </w:r>
            <w:r>
              <w:rPr>
                <w:rFonts w:cs="Calibri Light"/>
                <w:sz w:val="20"/>
                <w:szCs w:val="20"/>
                <w:shd w:val="clear" w:color="auto" w:fill="FFFFFF"/>
              </w:rPr>
              <w:tab/>
            </w:r>
            <w:r w:rsidR="006F3A86" w:rsidRPr="00370372">
              <w:rPr>
                <w:rFonts w:cs="Calibri Light"/>
                <w:sz w:val="20"/>
                <w:szCs w:val="20"/>
                <w:shd w:val="clear" w:color="auto" w:fill="FFFFFF"/>
              </w:rPr>
              <w:t>The</w:t>
            </w:r>
            <w:r w:rsidR="006F3A86" w:rsidRPr="004005A4">
              <w:rPr>
                <w:rFonts w:cs="Calibri Light"/>
                <w:sz w:val="20"/>
                <w:szCs w:val="20"/>
              </w:rPr>
              <w:t xml:space="preserve"> acquisition or disposition of any material amount of assets otherwise than in the ordinary course of business.</w:t>
            </w:r>
          </w:p>
        </w:tc>
        <w:tc>
          <w:tcPr>
            <w:tcW w:w="1209" w:type="dxa"/>
            <w:gridSpan w:val="2"/>
            <w:tcBorders>
              <w:top w:val="single" w:sz="4" w:space="0" w:color="auto"/>
            </w:tcBorders>
            <w:vAlign w:val="bottom"/>
          </w:tcPr>
          <w:p w14:paraId="4EED8EF6"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A9251C8"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A58140A"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53BA7F0" w14:textId="2EED7985" w:rsidTr="00CC36C1">
        <w:trPr>
          <w:gridBefore w:val="1"/>
          <w:wBefore w:w="17" w:type="dxa"/>
        </w:trPr>
        <w:tc>
          <w:tcPr>
            <w:tcW w:w="7483" w:type="dxa"/>
            <w:gridSpan w:val="2"/>
          </w:tcPr>
          <w:p w14:paraId="6A2C0C4C" w14:textId="0B7C49E5" w:rsidR="006F3A86" w:rsidRPr="00637D9E" w:rsidRDefault="006F3A86" w:rsidP="00E6086E">
            <w:pPr>
              <w:pStyle w:val="ListParagraph"/>
              <w:numPr>
                <w:ilvl w:val="0"/>
                <w:numId w:val="138"/>
              </w:numPr>
              <w:shd w:val="clear" w:color="auto" w:fill="FFFFFF"/>
              <w:spacing w:before="120" w:after="120" w:line="240" w:lineRule="atLeast"/>
              <w:rPr>
                <w:rFonts w:cs="Calibri Light"/>
                <w:i/>
                <w:iCs/>
                <w:sz w:val="20"/>
                <w:szCs w:val="20"/>
              </w:rPr>
            </w:pPr>
            <w:r w:rsidRPr="00637D9E">
              <w:rPr>
                <w:rFonts w:cs="Calibri Light"/>
                <w:sz w:val="20"/>
                <w:szCs w:val="20"/>
              </w:rPr>
              <w:t>Notwithstanding</w:t>
            </w:r>
            <w:r w:rsidRPr="00637D9E">
              <w:rPr>
                <w:rFonts w:cs="Calibri Light"/>
                <w:sz w:val="20"/>
                <w:szCs w:val="20"/>
                <w:shd w:val="clear" w:color="auto" w:fill="FFFFFF"/>
              </w:rPr>
              <w:t xml:space="preserve"> the provisions of § 230.411(b) or § 240.12b-23(a) of this chapter, as applicable, a registrant may only forgo providing a full discussion of the general development of its business for a filing other than an initial registration statement if it provides an update to the general development of its business, disclosing all of the material developments that have occurred since the most recent registration statement or report that includes a full discussion of the general development of its business. In addition, the registrant must incorporate by reference, and include one active hyperlink to one registration statement or report that includes, the full discussion of the general development of registrant's business.</w:t>
            </w:r>
          </w:p>
        </w:tc>
        <w:tc>
          <w:tcPr>
            <w:tcW w:w="1209" w:type="dxa"/>
            <w:gridSpan w:val="2"/>
            <w:tcBorders>
              <w:top w:val="single" w:sz="4" w:space="0" w:color="auto"/>
            </w:tcBorders>
            <w:vAlign w:val="bottom"/>
          </w:tcPr>
          <w:p w14:paraId="36E0A13E" w14:textId="7C3371DA"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629694FF" w14:textId="5CA3B94C"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5DEF3CC" w14:textId="10087141"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A034417" w14:textId="77777777" w:rsidTr="00CC36C1">
        <w:trPr>
          <w:gridBefore w:val="1"/>
          <w:wBefore w:w="17" w:type="dxa"/>
        </w:trPr>
        <w:tc>
          <w:tcPr>
            <w:tcW w:w="7483" w:type="dxa"/>
            <w:gridSpan w:val="2"/>
          </w:tcPr>
          <w:p w14:paraId="7801A348" w14:textId="0061E1A3" w:rsidR="006F3A86" w:rsidRDefault="006F3A86" w:rsidP="006F3A86">
            <w:pPr>
              <w:shd w:val="clear" w:color="auto" w:fill="FFFFFF"/>
              <w:spacing w:before="120" w:after="120" w:line="240" w:lineRule="atLeast"/>
              <w:rPr>
                <w:rFonts w:cs="Calibri Light"/>
                <w:b/>
                <w:bCs/>
                <w:sz w:val="20"/>
                <w:szCs w:val="20"/>
              </w:rPr>
            </w:pPr>
            <w:r>
              <w:rPr>
                <w:rFonts w:cs="Calibri Light"/>
                <w:b/>
                <w:bCs/>
                <w:sz w:val="20"/>
                <w:szCs w:val="20"/>
              </w:rPr>
              <w:t>Item 101(b) [Reserved]</w:t>
            </w:r>
          </w:p>
          <w:p w14:paraId="5EA5991C" w14:textId="3A2B7C68" w:rsidR="006F3A86" w:rsidRPr="000F5700" w:rsidRDefault="006F3A86" w:rsidP="006F3A86">
            <w:pPr>
              <w:shd w:val="clear" w:color="auto" w:fill="FFFFFF"/>
              <w:spacing w:before="120" w:after="120" w:line="240" w:lineRule="atLeast"/>
              <w:rPr>
                <w:rFonts w:cs="Calibri Light"/>
                <w:b/>
                <w:bCs/>
                <w:sz w:val="20"/>
                <w:szCs w:val="20"/>
              </w:rPr>
            </w:pPr>
            <w:r w:rsidRPr="000F5700">
              <w:rPr>
                <w:rFonts w:cs="Calibri Light"/>
                <w:b/>
                <w:bCs/>
                <w:sz w:val="20"/>
                <w:szCs w:val="20"/>
              </w:rPr>
              <w:t>Item 101(c) D</w:t>
            </w:r>
            <w:r>
              <w:rPr>
                <w:rFonts w:cs="Calibri Light"/>
                <w:b/>
                <w:bCs/>
                <w:sz w:val="20"/>
                <w:szCs w:val="20"/>
              </w:rPr>
              <w:t xml:space="preserve">escription of </w:t>
            </w:r>
            <w:r w:rsidR="00287D97">
              <w:rPr>
                <w:rFonts w:cs="Calibri Light"/>
                <w:b/>
                <w:bCs/>
                <w:sz w:val="20"/>
                <w:szCs w:val="20"/>
              </w:rPr>
              <w:t>business</w:t>
            </w:r>
          </w:p>
        </w:tc>
        <w:tc>
          <w:tcPr>
            <w:tcW w:w="1209" w:type="dxa"/>
            <w:gridSpan w:val="2"/>
            <w:tcBorders>
              <w:top w:val="single" w:sz="4" w:space="0" w:color="auto"/>
            </w:tcBorders>
            <w:vAlign w:val="bottom"/>
          </w:tcPr>
          <w:p w14:paraId="11EFBCE3"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52E11A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3680E8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D56C923" w14:textId="77777777" w:rsidTr="00CC36C1">
        <w:trPr>
          <w:gridBefore w:val="1"/>
          <w:wBefore w:w="17" w:type="dxa"/>
        </w:trPr>
        <w:tc>
          <w:tcPr>
            <w:tcW w:w="7483" w:type="dxa"/>
            <w:gridSpan w:val="2"/>
          </w:tcPr>
          <w:p w14:paraId="0EA79079" w14:textId="41D1BD81" w:rsidR="006F3A86" w:rsidRPr="00F14983" w:rsidRDefault="006F3A86" w:rsidP="00F14983">
            <w:pPr>
              <w:shd w:val="clear" w:color="auto" w:fill="FFFFFF"/>
              <w:spacing w:before="120" w:after="120" w:line="240" w:lineRule="atLeast"/>
              <w:ind w:left="507" w:hanging="540"/>
              <w:rPr>
                <w:rFonts w:cs="Calibri Light"/>
                <w:sz w:val="20"/>
                <w:szCs w:val="20"/>
              </w:rPr>
            </w:pPr>
            <w:r w:rsidRPr="009C2E2A">
              <w:rPr>
                <w:rFonts w:cs="Calibri Light"/>
                <w:sz w:val="20"/>
                <w:szCs w:val="20"/>
              </w:rPr>
              <w:t xml:space="preserve">(1) </w:t>
            </w:r>
            <w:r>
              <w:rPr>
                <w:rFonts w:cs="Calibri Light"/>
                <w:sz w:val="20"/>
                <w:szCs w:val="20"/>
              </w:rPr>
              <w:tab/>
            </w:r>
            <w:r w:rsidRPr="009C2E2A">
              <w:rPr>
                <w:rFonts w:cs="Calibri Light"/>
                <w:sz w:val="20"/>
                <w:szCs w:val="20"/>
              </w:rPr>
              <w:t>Describe the business done and intended to be done by the registrant and its subsidiaries, focusing upon the registrant's dominant segment or each reportable segment about which financial information is presented in the financial statements. When describing each segment, only information material to an understanding of the business taken as a whole is required. Disclosure may include, but should not be limited to, the information specified in paragraphs (c)(1)(i) through (v) of this section.</w:t>
            </w:r>
          </w:p>
          <w:p w14:paraId="2C118245" w14:textId="5C4DCF19" w:rsidR="006F3A86" w:rsidRPr="004005A4" w:rsidRDefault="006F3A86" w:rsidP="00F14983">
            <w:pPr>
              <w:shd w:val="clear" w:color="auto" w:fill="FFFFFF"/>
              <w:spacing w:before="120" w:after="120" w:line="240" w:lineRule="atLeast"/>
              <w:ind w:left="777" w:hanging="270"/>
              <w:rPr>
                <w:rFonts w:cs="Calibri Light"/>
                <w:sz w:val="20"/>
                <w:szCs w:val="20"/>
              </w:rPr>
            </w:pPr>
            <w:r w:rsidRPr="000D29AA">
              <w:rPr>
                <w:rFonts w:cs="Calibri Light"/>
                <w:sz w:val="20"/>
                <w:szCs w:val="20"/>
              </w:rPr>
              <w:t>(i)</w:t>
            </w:r>
            <w:r w:rsidR="00F14983" w:rsidRPr="000D29AA">
              <w:rPr>
                <w:rFonts w:cs="Calibri Light"/>
                <w:sz w:val="20"/>
                <w:szCs w:val="20"/>
              </w:rPr>
              <w:tab/>
            </w:r>
            <w:r w:rsidRPr="000D29AA">
              <w:rPr>
                <w:rFonts w:cs="Calibri Light"/>
                <w:sz w:val="20"/>
                <w:szCs w:val="20"/>
              </w:rPr>
              <w:t xml:space="preserve"> Revenue</w:t>
            </w:r>
            <w:r w:rsidRPr="002C524A">
              <w:rPr>
                <w:rFonts w:cs="Calibri Light"/>
                <w:sz w:val="20"/>
                <w:szCs w:val="20"/>
              </w:rPr>
              <w:t>-generating activities, products or services (or both), and any dependence on revenue-generating activities, and key products, services, or product families or customers, including governmental customers</w:t>
            </w:r>
            <w:r>
              <w:rPr>
                <w:rFonts w:cs="Calibri Light"/>
                <w:sz w:val="20"/>
                <w:szCs w:val="20"/>
              </w:rPr>
              <w:t>;</w:t>
            </w:r>
          </w:p>
        </w:tc>
        <w:tc>
          <w:tcPr>
            <w:tcW w:w="1209" w:type="dxa"/>
            <w:gridSpan w:val="2"/>
            <w:tcBorders>
              <w:top w:val="single" w:sz="4" w:space="0" w:color="auto"/>
            </w:tcBorders>
            <w:vAlign w:val="bottom"/>
          </w:tcPr>
          <w:p w14:paraId="36BF4FEF"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646A4682"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C1FDC64"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AF3FE09" w14:textId="77777777" w:rsidTr="00CC36C1">
        <w:trPr>
          <w:gridBefore w:val="1"/>
          <w:wBefore w:w="17" w:type="dxa"/>
        </w:trPr>
        <w:tc>
          <w:tcPr>
            <w:tcW w:w="7483" w:type="dxa"/>
            <w:gridSpan w:val="2"/>
          </w:tcPr>
          <w:p w14:paraId="622411C1" w14:textId="34651084" w:rsidR="006F3A86" w:rsidRPr="00F14983" w:rsidRDefault="000D29AA" w:rsidP="008A15E7">
            <w:pPr>
              <w:shd w:val="clear" w:color="auto" w:fill="FFFFFF"/>
              <w:spacing w:before="120" w:after="120" w:line="240" w:lineRule="atLeast"/>
              <w:ind w:left="867" w:hanging="360"/>
              <w:rPr>
                <w:rFonts w:cs="Calibri Light"/>
                <w:sz w:val="20"/>
                <w:szCs w:val="20"/>
              </w:rPr>
            </w:pPr>
            <w:r>
              <w:rPr>
                <w:rFonts w:cs="Calibri Light"/>
                <w:sz w:val="20"/>
                <w:szCs w:val="20"/>
                <w:shd w:val="clear" w:color="auto" w:fill="FFFFFF"/>
              </w:rPr>
              <w:t>(ii)</w:t>
            </w:r>
            <w:r>
              <w:rPr>
                <w:rFonts w:cs="Calibri Light"/>
                <w:sz w:val="20"/>
                <w:szCs w:val="20"/>
                <w:shd w:val="clear" w:color="auto" w:fill="FFFFFF"/>
              </w:rPr>
              <w:tab/>
            </w:r>
            <w:r w:rsidR="006F3A86" w:rsidRPr="00F14983">
              <w:rPr>
                <w:rFonts w:cs="Calibri Light"/>
                <w:sz w:val="20"/>
                <w:szCs w:val="20"/>
              </w:rPr>
              <w:t>Status of development efforts for new or enhanced products, trends in market demand, and competitive conditions.</w:t>
            </w:r>
          </w:p>
        </w:tc>
        <w:tc>
          <w:tcPr>
            <w:tcW w:w="1209" w:type="dxa"/>
            <w:gridSpan w:val="2"/>
            <w:tcBorders>
              <w:top w:val="single" w:sz="4" w:space="0" w:color="auto"/>
              <w:bottom w:val="single" w:sz="4" w:space="0" w:color="auto"/>
            </w:tcBorders>
            <w:vAlign w:val="bottom"/>
          </w:tcPr>
          <w:p w14:paraId="1CC9FA39"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B911FC5"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97C91D8"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C603742" w14:textId="77777777" w:rsidTr="00CC36C1">
        <w:trPr>
          <w:gridBefore w:val="1"/>
          <w:wBefore w:w="17" w:type="dxa"/>
        </w:trPr>
        <w:tc>
          <w:tcPr>
            <w:tcW w:w="7483" w:type="dxa"/>
            <w:gridSpan w:val="2"/>
          </w:tcPr>
          <w:p w14:paraId="00A2785C" w14:textId="2837770D" w:rsidR="006F3A86" w:rsidRPr="00F14983" w:rsidRDefault="000D29AA" w:rsidP="008A15E7">
            <w:pPr>
              <w:shd w:val="clear" w:color="auto" w:fill="FFFFFF"/>
              <w:spacing w:before="120" w:after="120" w:line="240" w:lineRule="atLeast"/>
              <w:ind w:left="867" w:hanging="360"/>
              <w:rPr>
                <w:rFonts w:cs="Calibri Light"/>
                <w:sz w:val="20"/>
                <w:szCs w:val="20"/>
              </w:rPr>
            </w:pPr>
            <w:r>
              <w:rPr>
                <w:rFonts w:cs="Calibri Light"/>
                <w:sz w:val="20"/>
                <w:szCs w:val="20"/>
                <w:shd w:val="clear" w:color="auto" w:fill="FFFFFF"/>
              </w:rPr>
              <w:t>(iii)</w:t>
            </w:r>
            <w:r>
              <w:rPr>
                <w:rFonts w:cs="Calibri Light"/>
                <w:sz w:val="20"/>
                <w:szCs w:val="20"/>
                <w:shd w:val="clear" w:color="auto" w:fill="FFFFFF"/>
              </w:rPr>
              <w:tab/>
            </w:r>
            <w:r w:rsidR="006F3A86" w:rsidRPr="00F14983">
              <w:rPr>
                <w:rFonts w:cs="Calibri Light"/>
                <w:sz w:val="20"/>
                <w:szCs w:val="20"/>
              </w:rPr>
              <w:t>Resources material to a registrant’s business, such as: (A) sources and availability of raw materials; and (B) the duration and effect of all patents, trademarks, licenses, franchises, and concessions); and</w:t>
            </w:r>
          </w:p>
        </w:tc>
        <w:tc>
          <w:tcPr>
            <w:tcW w:w="1209" w:type="dxa"/>
            <w:gridSpan w:val="2"/>
            <w:tcBorders>
              <w:top w:val="single" w:sz="4" w:space="0" w:color="auto"/>
              <w:bottom w:val="single" w:sz="4" w:space="0" w:color="auto"/>
            </w:tcBorders>
            <w:vAlign w:val="bottom"/>
          </w:tcPr>
          <w:p w14:paraId="73F01199"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BE012EB"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E429BC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87A9643" w14:textId="77777777" w:rsidTr="00CC36C1">
        <w:trPr>
          <w:gridBefore w:val="1"/>
          <w:wBefore w:w="17" w:type="dxa"/>
        </w:trPr>
        <w:tc>
          <w:tcPr>
            <w:tcW w:w="7483" w:type="dxa"/>
            <w:gridSpan w:val="2"/>
          </w:tcPr>
          <w:p w14:paraId="4919FD53" w14:textId="24377817" w:rsidR="006F3A86" w:rsidRPr="000E1CFB" w:rsidRDefault="000D29AA" w:rsidP="008A15E7">
            <w:pPr>
              <w:shd w:val="clear" w:color="auto" w:fill="FFFFFF"/>
              <w:spacing w:before="120" w:after="120" w:line="240" w:lineRule="atLeast"/>
              <w:ind w:left="867" w:hanging="360"/>
              <w:rPr>
                <w:rFonts w:cs="Calibri Light"/>
                <w:sz w:val="20"/>
                <w:szCs w:val="20"/>
              </w:rPr>
            </w:pPr>
            <w:r>
              <w:rPr>
                <w:rFonts w:cs="Calibri Light"/>
                <w:sz w:val="20"/>
                <w:szCs w:val="20"/>
                <w:shd w:val="clear" w:color="auto" w:fill="FFFFFF"/>
              </w:rPr>
              <w:lastRenderedPageBreak/>
              <w:t>(iv)</w:t>
            </w:r>
            <w:r>
              <w:rPr>
                <w:rFonts w:cs="Calibri Light"/>
                <w:sz w:val="20"/>
                <w:szCs w:val="20"/>
                <w:shd w:val="clear" w:color="auto" w:fill="FFFFFF"/>
              </w:rPr>
              <w:tab/>
            </w:r>
            <w:r w:rsidR="006F3A86" w:rsidRPr="000E1CFB">
              <w:rPr>
                <w:rFonts w:cs="Calibri Light"/>
                <w:sz w:val="20"/>
                <w:szCs w:val="20"/>
              </w:rPr>
              <w:t>Description of any material portion of the business that may be subject to renegotiation of profits or termination of contracts or subcontracts at the election of the Government.</w:t>
            </w:r>
          </w:p>
        </w:tc>
        <w:tc>
          <w:tcPr>
            <w:tcW w:w="1209" w:type="dxa"/>
            <w:gridSpan w:val="2"/>
            <w:tcBorders>
              <w:top w:val="single" w:sz="4" w:space="0" w:color="auto"/>
              <w:bottom w:val="single" w:sz="4" w:space="0" w:color="auto"/>
            </w:tcBorders>
            <w:vAlign w:val="bottom"/>
          </w:tcPr>
          <w:p w14:paraId="05182595"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A668319"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9C011E1"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60E01E5F" w14:textId="77777777" w:rsidTr="00CC36C1">
        <w:trPr>
          <w:gridBefore w:val="1"/>
          <w:wBefore w:w="17" w:type="dxa"/>
        </w:trPr>
        <w:tc>
          <w:tcPr>
            <w:tcW w:w="7483" w:type="dxa"/>
            <w:gridSpan w:val="2"/>
          </w:tcPr>
          <w:p w14:paraId="068AA19B" w14:textId="3F845DAC" w:rsidR="006F3A86" w:rsidRPr="004005A4" w:rsidRDefault="000D29AA" w:rsidP="008A15E7">
            <w:pPr>
              <w:shd w:val="clear" w:color="auto" w:fill="FFFFFF"/>
              <w:spacing w:before="120" w:after="120" w:line="240" w:lineRule="atLeast"/>
              <w:ind w:left="867" w:hanging="360"/>
              <w:rPr>
                <w:rFonts w:cs="Calibri Light"/>
                <w:sz w:val="20"/>
                <w:szCs w:val="20"/>
              </w:rPr>
            </w:pPr>
            <w:r>
              <w:rPr>
                <w:rFonts w:cs="Calibri Light"/>
                <w:sz w:val="20"/>
                <w:szCs w:val="20"/>
                <w:shd w:val="clear" w:color="auto" w:fill="FFFFFF"/>
              </w:rPr>
              <w:t>(v)</w:t>
            </w:r>
            <w:r>
              <w:rPr>
                <w:rFonts w:cs="Calibri Light"/>
                <w:sz w:val="20"/>
                <w:szCs w:val="20"/>
                <w:shd w:val="clear" w:color="auto" w:fill="FFFFFF"/>
              </w:rPr>
              <w:tab/>
            </w:r>
            <w:r w:rsidR="006F3A86" w:rsidRPr="004005A4">
              <w:rPr>
                <w:rFonts w:cs="Calibri Light"/>
                <w:sz w:val="20"/>
                <w:szCs w:val="20"/>
                <w:shd w:val="clear" w:color="auto" w:fill="FFFFFF"/>
              </w:rPr>
              <w:t xml:space="preserve"> </w:t>
            </w:r>
            <w:r w:rsidR="006F3A86" w:rsidRPr="000E1CFB">
              <w:rPr>
                <w:rFonts w:cs="Calibri Light"/>
                <w:sz w:val="20"/>
                <w:szCs w:val="20"/>
              </w:rPr>
              <w:t>Extent</w:t>
            </w:r>
            <w:r w:rsidR="006F3A86" w:rsidRPr="004005A4">
              <w:rPr>
                <w:rFonts w:cs="Calibri Light"/>
                <w:sz w:val="20"/>
                <w:szCs w:val="20"/>
                <w:shd w:val="clear" w:color="auto" w:fill="FFFFFF"/>
              </w:rPr>
              <w:t xml:space="preserve"> to which the </w:t>
            </w:r>
            <w:r w:rsidR="006F3A86" w:rsidRPr="002C524A">
              <w:rPr>
                <w:rFonts w:cs="Calibri Light"/>
                <w:sz w:val="20"/>
                <w:szCs w:val="20"/>
              </w:rPr>
              <w:t>business</w:t>
            </w:r>
            <w:r w:rsidR="006F3A86" w:rsidRPr="004005A4">
              <w:rPr>
                <w:rFonts w:cs="Calibri Light"/>
                <w:sz w:val="20"/>
                <w:szCs w:val="20"/>
                <w:shd w:val="clear" w:color="auto" w:fill="FFFFFF"/>
              </w:rPr>
              <w:t xml:space="preserve"> is or may be seasonal</w:t>
            </w:r>
            <w:r w:rsidR="006F3A86">
              <w:rPr>
                <w:rFonts w:cs="Calibri Light"/>
                <w:sz w:val="20"/>
                <w:szCs w:val="20"/>
                <w:shd w:val="clear" w:color="auto" w:fill="FFFFFF"/>
              </w:rPr>
              <w:t>.</w:t>
            </w:r>
          </w:p>
        </w:tc>
        <w:tc>
          <w:tcPr>
            <w:tcW w:w="1209" w:type="dxa"/>
            <w:gridSpan w:val="2"/>
            <w:tcBorders>
              <w:top w:val="single" w:sz="4" w:space="0" w:color="auto"/>
            </w:tcBorders>
            <w:vAlign w:val="bottom"/>
          </w:tcPr>
          <w:p w14:paraId="0F6666AB"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667D59C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1EB09B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05B8D2E" w14:textId="77777777" w:rsidTr="00CC36C1">
        <w:trPr>
          <w:gridBefore w:val="1"/>
          <w:wBefore w:w="17" w:type="dxa"/>
        </w:trPr>
        <w:tc>
          <w:tcPr>
            <w:tcW w:w="7483" w:type="dxa"/>
            <w:gridSpan w:val="2"/>
          </w:tcPr>
          <w:p w14:paraId="7D710AF0" w14:textId="77777777" w:rsidR="006F3A86" w:rsidRPr="00C60801" w:rsidRDefault="006F3A86" w:rsidP="006F3A86">
            <w:pPr>
              <w:pStyle w:val="ListParagraph"/>
              <w:numPr>
                <w:ilvl w:val="0"/>
                <w:numId w:val="136"/>
              </w:numPr>
              <w:shd w:val="clear" w:color="auto" w:fill="FFFFFF"/>
              <w:spacing w:before="120" w:after="120" w:line="240" w:lineRule="atLeast"/>
              <w:ind w:left="322"/>
              <w:rPr>
                <w:rStyle w:val="dart-i"/>
                <w:rFonts w:cs="Calibri Light"/>
                <w:i/>
                <w:iCs/>
                <w:sz w:val="20"/>
                <w:szCs w:val="20"/>
                <w:shd w:val="clear" w:color="auto" w:fill="FFFFFF"/>
              </w:rPr>
            </w:pPr>
            <w:r w:rsidRPr="00AF52B5">
              <w:rPr>
                <w:rStyle w:val="dart-i"/>
                <w:rFonts w:cs="Calibri Light"/>
                <w:i/>
                <w:iCs/>
                <w:sz w:val="20"/>
                <w:szCs w:val="20"/>
                <w:shd w:val="clear" w:color="auto" w:fill="FFFFFF"/>
              </w:rPr>
              <w:t>Discuss the information specified in paragraphs (c)(2)(i) and (ii) of this section with respect to, and to the extent material to an understanding of, the registrant's business taken as a whole, except that, if the information is material to a particular segment, you should additionally identify that segment.</w:t>
            </w:r>
          </w:p>
          <w:p w14:paraId="37217CBD" w14:textId="38E92110" w:rsidR="006F3A86" w:rsidRPr="004005A4" w:rsidRDefault="006F3A86" w:rsidP="00517712">
            <w:pPr>
              <w:shd w:val="clear" w:color="auto" w:fill="FFFFFF"/>
              <w:spacing w:before="120" w:after="120" w:line="240" w:lineRule="atLeast"/>
              <w:ind w:left="507" w:hanging="270"/>
              <w:rPr>
                <w:rFonts w:cs="Calibri Light"/>
                <w:sz w:val="20"/>
                <w:szCs w:val="20"/>
              </w:rPr>
            </w:pPr>
            <w:r w:rsidRPr="00517712">
              <w:rPr>
                <w:rStyle w:val="dart-i"/>
                <w:rFonts w:cs="Calibri Light"/>
                <w:sz w:val="20"/>
                <w:szCs w:val="20"/>
                <w:shd w:val="clear" w:color="auto" w:fill="FFFFFF"/>
              </w:rPr>
              <w:t>(i)</w:t>
            </w:r>
            <w:r w:rsidRPr="004005A4">
              <w:rPr>
                <w:rFonts w:cs="Calibri Light"/>
                <w:sz w:val="20"/>
                <w:szCs w:val="20"/>
                <w:shd w:val="clear" w:color="auto" w:fill="FFFFFF"/>
              </w:rPr>
              <w:t xml:space="preserve"> </w:t>
            </w:r>
            <w:r w:rsidR="00517712">
              <w:rPr>
                <w:rFonts w:cs="Calibri Light"/>
                <w:sz w:val="20"/>
                <w:szCs w:val="20"/>
                <w:shd w:val="clear" w:color="auto" w:fill="FFFFFF"/>
              </w:rPr>
              <w:tab/>
            </w:r>
            <w:r w:rsidRPr="004005A4">
              <w:rPr>
                <w:rFonts w:cs="Calibri Light"/>
                <w:sz w:val="20"/>
                <w:szCs w:val="20"/>
                <w:shd w:val="clear" w:color="auto" w:fill="FFFFFF"/>
              </w:rPr>
              <w:t>Material effects that compliance with government regulations, including environmental regulations, may have on the capital expenditures, earnings, and competitive position of the registrant and its subsidiaries</w:t>
            </w:r>
            <w:r>
              <w:rPr>
                <w:rFonts w:cs="Calibri Light"/>
                <w:sz w:val="20"/>
                <w:szCs w:val="20"/>
                <w:shd w:val="clear" w:color="auto" w:fill="FFFFFF"/>
              </w:rPr>
              <w:t>, including estimated capital expenditures for environmental control facili</w:t>
            </w:r>
            <w:r w:rsidR="000E1CFB">
              <w:rPr>
                <w:rFonts w:cs="Calibri Light"/>
                <w:sz w:val="20"/>
                <w:szCs w:val="20"/>
                <w:shd w:val="clear" w:color="auto" w:fill="FFFFFF"/>
              </w:rPr>
              <w:t>ti</w:t>
            </w:r>
            <w:r>
              <w:rPr>
                <w:rFonts w:cs="Calibri Light"/>
                <w:sz w:val="20"/>
                <w:szCs w:val="20"/>
                <w:shd w:val="clear" w:color="auto" w:fill="FFFFFF"/>
              </w:rPr>
              <w:t>es for the current fiscal year and any other material subsequent period; and</w:t>
            </w:r>
          </w:p>
        </w:tc>
        <w:tc>
          <w:tcPr>
            <w:tcW w:w="1209" w:type="dxa"/>
            <w:gridSpan w:val="2"/>
            <w:tcBorders>
              <w:top w:val="single" w:sz="4" w:space="0" w:color="auto"/>
            </w:tcBorders>
            <w:vAlign w:val="bottom"/>
          </w:tcPr>
          <w:p w14:paraId="1ABB3534"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AF4DDD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EF0362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54A381EE" w14:textId="77777777" w:rsidTr="00CC36C1">
        <w:trPr>
          <w:gridBefore w:val="1"/>
          <w:wBefore w:w="17" w:type="dxa"/>
        </w:trPr>
        <w:tc>
          <w:tcPr>
            <w:tcW w:w="7483" w:type="dxa"/>
            <w:gridSpan w:val="2"/>
          </w:tcPr>
          <w:p w14:paraId="092C3B8E" w14:textId="7F4B9E38" w:rsidR="006F3A86" w:rsidRPr="004005A4" w:rsidRDefault="006F3A86" w:rsidP="00517712">
            <w:pPr>
              <w:shd w:val="clear" w:color="auto" w:fill="FFFFFF"/>
              <w:spacing w:before="120" w:after="120" w:line="240" w:lineRule="atLeast"/>
              <w:ind w:left="507" w:hanging="270"/>
              <w:rPr>
                <w:rFonts w:cs="Calibri Light"/>
                <w:sz w:val="20"/>
                <w:szCs w:val="20"/>
              </w:rPr>
            </w:pPr>
            <w:r w:rsidRPr="00517712">
              <w:rPr>
                <w:rStyle w:val="dart-i"/>
                <w:rFonts w:cs="Calibri Light"/>
                <w:sz w:val="20"/>
                <w:szCs w:val="20"/>
                <w:shd w:val="clear" w:color="auto" w:fill="FFFFFF"/>
              </w:rPr>
              <w:t>(ii)</w:t>
            </w:r>
            <w:r w:rsidRPr="004005A4">
              <w:rPr>
                <w:rFonts w:cs="Calibri Light"/>
                <w:sz w:val="20"/>
                <w:szCs w:val="20"/>
                <w:shd w:val="clear" w:color="auto" w:fill="FFFFFF"/>
              </w:rPr>
              <w:t xml:space="preserve"> </w:t>
            </w:r>
            <w:r w:rsidR="00517712">
              <w:rPr>
                <w:rFonts w:cs="Calibri Light"/>
                <w:sz w:val="20"/>
                <w:szCs w:val="20"/>
                <w:shd w:val="clear" w:color="auto" w:fill="FFFFFF"/>
              </w:rPr>
              <w:tab/>
            </w:r>
            <w:r w:rsidRPr="004005A4">
              <w:rPr>
                <w:rFonts w:cs="Calibri Light"/>
                <w:sz w:val="20"/>
                <w:szCs w:val="20"/>
                <w:shd w:val="clear" w:color="auto" w:fill="FFFFFF"/>
              </w:rPr>
              <w:t xml:space="preserve">Description of the registrant’s human capital resources, including the </w:t>
            </w:r>
            <w:r w:rsidRPr="002C524A">
              <w:rPr>
                <w:rFonts w:cs="Calibri Light"/>
                <w:sz w:val="20"/>
                <w:szCs w:val="20"/>
              </w:rPr>
              <w:t>number</w:t>
            </w:r>
            <w:r w:rsidRPr="004005A4">
              <w:rPr>
                <w:rFonts w:cs="Calibri Light"/>
                <w:sz w:val="20"/>
                <w:szCs w:val="20"/>
                <w:shd w:val="clear" w:color="auto" w:fill="FFFFFF"/>
              </w:rPr>
              <w:t xml:space="preserve"> of persons it employs, and any human capital measures or objectives that the registrant focuses on in managing the business</w:t>
            </w:r>
            <w:r>
              <w:rPr>
                <w:rFonts w:cs="Calibri Light"/>
                <w:sz w:val="20"/>
                <w:szCs w:val="20"/>
                <w:shd w:val="clear" w:color="auto" w:fill="FFFFFF"/>
              </w:rPr>
              <w:t xml:space="preserve"> (such as depending on the nature of the registrant’s business and workforce, measures or objectives that address the development, attraction and retention of personnel).</w:t>
            </w:r>
          </w:p>
        </w:tc>
        <w:tc>
          <w:tcPr>
            <w:tcW w:w="1209" w:type="dxa"/>
            <w:gridSpan w:val="2"/>
            <w:tcBorders>
              <w:top w:val="single" w:sz="4" w:space="0" w:color="auto"/>
              <w:bottom w:val="single" w:sz="4" w:space="0" w:color="auto"/>
            </w:tcBorders>
            <w:vAlign w:val="bottom"/>
          </w:tcPr>
          <w:p w14:paraId="00F5790D"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64319F9E"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EC55D92"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58DD670" w14:textId="77777777" w:rsidTr="00CC36C1">
        <w:trPr>
          <w:gridBefore w:val="1"/>
          <w:wBefore w:w="17" w:type="dxa"/>
        </w:trPr>
        <w:tc>
          <w:tcPr>
            <w:tcW w:w="7483" w:type="dxa"/>
            <w:gridSpan w:val="2"/>
          </w:tcPr>
          <w:p w14:paraId="036357AF" w14:textId="59BD8BA0" w:rsidR="006F3A86" w:rsidRPr="004005A4" w:rsidRDefault="006F3A86" w:rsidP="006F3A86">
            <w:pPr>
              <w:pStyle w:val="FormTableHeaderRow"/>
              <w:keepNext/>
              <w:rPr>
                <w:rFonts w:cs="Calibri Light"/>
                <w:sz w:val="20"/>
                <w:szCs w:val="20"/>
              </w:rPr>
            </w:pPr>
            <w:r w:rsidRPr="00C165A2">
              <w:rPr>
                <w:rFonts w:cs="Calibri Light"/>
                <w:sz w:val="20"/>
                <w:szCs w:val="20"/>
              </w:rPr>
              <w:lastRenderedPageBreak/>
              <w:t>I</w:t>
            </w:r>
            <w:bookmarkStart w:id="36" w:name="Item_105"/>
            <w:bookmarkEnd w:id="36"/>
            <w:r w:rsidRPr="00C165A2">
              <w:rPr>
                <w:rFonts w:cs="Calibri Light"/>
                <w:sz w:val="20"/>
                <w:szCs w:val="20"/>
              </w:rPr>
              <w:t xml:space="preserve">TEM 105 — </w:t>
            </w:r>
            <w:r w:rsidR="00ED3FDE">
              <w:rPr>
                <w:rFonts w:cs="Calibri Light"/>
                <w:sz w:val="20"/>
                <w:szCs w:val="20"/>
              </w:rPr>
              <w:t>Risk factors</w:t>
            </w:r>
          </w:p>
        </w:tc>
        <w:tc>
          <w:tcPr>
            <w:tcW w:w="1209" w:type="dxa"/>
            <w:gridSpan w:val="2"/>
            <w:vAlign w:val="bottom"/>
          </w:tcPr>
          <w:p w14:paraId="152797CA"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AF6D13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59C5D51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26BCE24" w14:textId="77777777" w:rsidTr="00CC36C1">
        <w:trPr>
          <w:gridBefore w:val="1"/>
          <w:wBefore w:w="17" w:type="dxa"/>
        </w:trPr>
        <w:tc>
          <w:tcPr>
            <w:tcW w:w="7483" w:type="dxa"/>
            <w:gridSpan w:val="2"/>
          </w:tcPr>
          <w:p w14:paraId="7D6847CC" w14:textId="74391AFB" w:rsidR="006F3A86" w:rsidRPr="0054008E" w:rsidRDefault="006F3A86" w:rsidP="0054008E">
            <w:pPr>
              <w:pStyle w:val="FormTableHeaderRow"/>
              <w:keepNext/>
              <w:ind w:left="576" w:hanging="576"/>
              <w:rPr>
                <w:rFonts w:cs="Calibri Light"/>
                <w:b w:val="0"/>
                <w:bCs w:val="0"/>
                <w:sz w:val="20"/>
                <w:szCs w:val="20"/>
              </w:rPr>
            </w:pPr>
            <w:r w:rsidRPr="0054008E">
              <w:rPr>
                <w:rFonts w:cs="Calibri Light"/>
                <w:b w:val="0"/>
                <w:bCs w:val="0"/>
                <w:sz w:val="20"/>
                <w:szCs w:val="20"/>
              </w:rPr>
              <w:t xml:space="preserve">(a) </w:t>
            </w:r>
            <w:r w:rsidRPr="0054008E">
              <w:rPr>
                <w:rFonts w:cs="Calibri Light"/>
                <w:b w:val="0"/>
                <w:bCs w:val="0"/>
                <w:sz w:val="20"/>
                <w:szCs w:val="20"/>
              </w:rPr>
              <w:tab/>
              <w:t>Where appropriate, provide under the caption “Risk Factors” a discussion of the material factors that make an investment in the registrant or offering speculative or risky. This discussion must be organized logically with relevant headings and each risk factor should be set forth under a subcaption that adequately describes the risk. The presentation of risks that could apply generically to any registrant or any offering is discouraged, but to the extent generic risk factors are presented, disclose them at the end of the risk factor section under the caption “General Risk Factors.”</w:t>
            </w:r>
          </w:p>
        </w:tc>
        <w:tc>
          <w:tcPr>
            <w:tcW w:w="1209" w:type="dxa"/>
            <w:gridSpan w:val="2"/>
            <w:vAlign w:val="bottom"/>
          </w:tcPr>
          <w:p w14:paraId="24975765" w14:textId="77777777" w:rsidR="006F3A86" w:rsidRPr="0054008E"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5D0081F3"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77863352"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E0A3148" w14:textId="77777777" w:rsidTr="00CC36C1">
        <w:trPr>
          <w:gridBefore w:val="1"/>
          <w:wBefore w:w="17" w:type="dxa"/>
        </w:trPr>
        <w:tc>
          <w:tcPr>
            <w:tcW w:w="7483" w:type="dxa"/>
            <w:gridSpan w:val="2"/>
          </w:tcPr>
          <w:p w14:paraId="2CD036F0" w14:textId="7E5754E0" w:rsidR="006F3A86" w:rsidRPr="0054008E" w:rsidRDefault="006F3A86" w:rsidP="0054008E">
            <w:pPr>
              <w:pStyle w:val="FormTableHeaderRow"/>
              <w:keepNext/>
              <w:ind w:left="576" w:hanging="576"/>
              <w:rPr>
                <w:rFonts w:cs="Calibri Light"/>
                <w:b w:val="0"/>
                <w:bCs w:val="0"/>
                <w:sz w:val="20"/>
                <w:szCs w:val="20"/>
              </w:rPr>
            </w:pPr>
            <w:r w:rsidRPr="0054008E">
              <w:rPr>
                <w:rFonts w:cs="Calibri Light"/>
                <w:b w:val="0"/>
                <w:bCs w:val="0"/>
                <w:sz w:val="20"/>
                <w:szCs w:val="20"/>
              </w:rPr>
              <w:t xml:space="preserve">(b) </w:t>
            </w:r>
            <w:r w:rsidRPr="0054008E">
              <w:rPr>
                <w:rFonts w:cs="Calibri Light"/>
                <w:b w:val="0"/>
                <w:bCs w:val="0"/>
                <w:sz w:val="20"/>
                <w:szCs w:val="20"/>
              </w:rPr>
              <w:tab/>
              <w:t>Concisely explain how each risk affects the registrant or the securities being offered. If the discussion is longer than 15 pages, include in the forepart of the prospectus or annual report, as applicable, a series of concise, bulleted or numbered statements that is no more than two pages summarizing the principal factors that make an investment in the registrant or offering speculative or risky. If the risk factor discussion is included in a registration statement, it must immediately follow the summary section required by Item 503 of Regulation S-K. If you do not include a summary section, the risk factor section must immediately follow the cover page of the prospectus or the pricing information section that immediately follows the cover page. Pricing information means price and price-related information that you may omit from the prospectus in an effective registration statement based on Rule 430A. The registrant must furnish this information in plain English.</w:t>
            </w:r>
          </w:p>
        </w:tc>
        <w:tc>
          <w:tcPr>
            <w:tcW w:w="1209" w:type="dxa"/>
            <w:gridSpan w:val="2"/>
            <w:vAlign w:val="bottom"/>
          </w:tcPr>
          <w:p w14:paraId="4AD85267" w14:textId="77777777" w:rsidR="006F3A86" w:rsidRPr="0054008E" w:rsidRDefault="006F3A86" w:rsidP="006F3A86">
            <w:pPr>
              <w:pStyle w:val="levela"/>
              <w:spacing w:before="120" w:after="120" w:line="240" w:lineRule="atLeast"/>
              <w:jc w:val="center"/>
              <w:rPr>
                <w:rFonts w:cs="Calibri Light"/>
                <w:sz w:val="20"/>
                <w:szCs w:val="20"/>
              </w:rPr>
            </w:pPr>
          </w:p>
        </w:tc>
        <w:tc>
          <w:tcPr>
            <w:tcW w:w="236" w:type="dxa"/>
            <w:gridSpan w:val="3"/>
            <w:vAlign w:val="bottom"/>
          </w:tcPr>
          <w:p w14:paraId="67DE229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4FE2E22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05AC1E47" w14:textId="77777777" w:rsidTr="00CC36C1">
        <w:trPr>
          <w:gridBefore w:val="1"/>
          <w:wBefore w:w="17" w:type="dxa"/>
        </w:trPr>
        <w:tc>
          <w:tcPr>
            <w:tcW w:w="7483" w:type="dxa"/>
            <w:gridSpan w:val="2"/>
          </w:tcPr>
          <w:p w14:paraId="567B685E" w14:textId="5414C8DA" w:rsidR="006F3A86" w:rsidRDefault="006F3A86" w:rsidP="006F3A86">
            <w:pPr>
              <w:pStyle w:val="FormTableHeaderRow"/>
              <w:keepNext/>
              <w:rPr>
                <w:rFonts w:cs="Calibri Light"/>
                <w:sz w:val="20"/>
                <w:szCs w:val="20"/>
              </w:rPr>
            </w:pPr>
            <w:bookmarkStart w:id="37" w:name="_Item_101._"/>
            <w:bookmarkStart w:id="38" w:name="_Hlk532809178"/>
            <w:bookmarkEnd w:id="37"/>
            <w:r w:rsidRPr="004005A4">
              <w:rPr>
                <w:rFonts w:cs="Calibri Light"/>
                <w:sz w:val="20"/>
                <w:szCs w:val="20"/>
              </w:rPr>
              <w:t>IT</w:t>
            </w:r>
            <w:bookmarkStart w:id="39" w:name="item_201"/>
            <w:bookmarkEnd w:id="39"/>
            <w:r w:rsidRPr="004005A4">
              <w:rPr>
                <w:rFonts w:cs="Calibri Light"/>
                <w:sz w:val="20"/>
                <w:szCs w:val="20"/>
              </w:rPr>
              <w:t>EM 201. MARKET PRICE OF AND DIVIDENDS ON THE REGISTRANT’S COMMON EQUITY AND RELATED STOCKHOLDER MATTERS</w:t>
            </w:r>
          </w:p>
          <w:p w14:paraId="6C83D7F1" w14:textId="2A2C5C0A" w:rsidR="006F3A86" w:rsidRPr="004005A4" w:rsidRDefault="006F3A86" w:rsidP="006F3A86">
            <w:pPr>
              <w:pStyle w:val="FormTableHeaderRow"/>
              <w:keepNext/>
              <w:rPr>
                <w:rFonts w:cs="Calibri Light"/>
                <w:sz w:val="20"/>
                <w:szCs w:val="20"/>
              </w:rPr>
            </w:pPr>
            <w:r>
              <w:rPr>
                <w:rFonts w:cs="Calibri Light"/>
                <w:sz w:val="20"/>
                <w:szCs w:val="20"/>
              </w:rPr>
              <w:t xml:space="preserve">Item 201(a) - </w:t>
            </w:r>
            <w:r w:rsidRPr="004005A4">
              <w:rPr>
                <w:rFonts w:cs="Calibri Light"/>
                <w:sz w:val="20"/>
                <w:szCs w:val="20"/>
              </w:rPr>
              <w:t>Market information</w:t>
            </w:r>
          </w:p>
        </w:tc>
        <w:tc>
          <w:tcPr>
            <w:tcW w:w="1209" w:type="dxa"/>
            <w:gridSpan w:val="2"/>
            <w:vAlign w:val="bottom"/>
          </w:tcPr>
          <w:p w14:paraId="190028DF"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362CB14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6B99C875"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5EC84F5" w14:textId="77777777" w:rsidTr="00CC36C1">
        <w:trPr>
          <w:gridBefore w:val="1"/>
          <w:wBefore w:w="17" w:type="dxa"/>
        </w:trPr>
        <w:tc>
          <w:tcPr>
            <w:tcW w:w="7483" w:type="dxa"/>
            <w:gridSpan w:val="2"/>
          </w:tcPr>
          <w:p w14:paraId="37124151" w14:textId="6070AC3B" w:rsidR="006F3A86" w:rsidRPr="004005A4" w:rsidRDefault="006F3A86" w:rsidP="006F3A86">
            <w:pPr>
              <w:pStyle w:val="level1"/>
              <w:tabs>
                <w:tab w:val="clear" w:pos="576"/>
                <w:tab w:val="clear" w:pos="1152"/>
              </w:tabs>
              <w:spacing w:after="120" w:line="240" w:lineRule="atLeast"/>
              <w:ind w:left="322" w:hanging="322"/>
              <w:rPr>
                <w:rFonts w:cs="Calibri Light"/>
                <w:sz w:val="20"/>
                <w:szCs w:val="20"/>
              </w:rPr>
            </w:pPr>
            <w:r w:rsidRPr="004005A4">
              <w:rPr>
                <w:rFonts w:cs="Calibri Light"/>
                <w:sz w:val="20"/>
                <w:szCs w:val="20"/>
              </w:rPr>
              <w:t>(i)</w:t>
            </w:r>
            <w:r w:rsidRPr="004005A4">
              <w:rPr>
                <w:rFonts w:cs="Calibri Light"/>
                <w:sz w:val="20"/>
                <w:szCs w:val="20"/>
              </w:rPr>
              <w:tab/>
              <w:t>Identify the principal United States market(s) and the corresponding trading symbol(s) for each class of the registrant’s common equity. In the case of foreign registrants, also identify the principal foreign public trading market(s), if any, and the corresponding trading symbol(s) for each class of the registrant’s common equity.</w:t>
            </w:r>
          </w:p>
        </w:tc>
        <w:tc>
          <w:tcPr>
            <w:tcW w:w="1209" w:type="dxa"/>
            <w:gridSpan w:val="2"/>
            <w:tcBorders>
              <w:bottom w:val="single" w:sz="4" w:space="0" w:color="auto"/>
            </w:tcBorders>
            <w:vAlign w:val="bottom"/>
          </w:tcPr>
          <w:p w14:paraId="52608AC1"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CB7EF25"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175E40E6"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BC297EE" w14:textId="77777777" w:rsidTr="00CC36C1">
        <w:trPr>
          <w:gridBefore w:val="1"/>
          <w:wBefore w:w="17" w:type="dxa"/>
        </w:trPr>
        <w:tc>
          <w:tcPr>
            <w:tcW w:w="7483" w:type="dxa"/>
            <w:gridSpan w:val="2"/>
          </w:tcPr>
          <w:p w14:paraId="6E0C6FD9" w14:textId="60EA3EB2" w:rsidR="006F3A86" w:rsidRPr="004005A4" w:rsidRDefault="006F3A86" w:rsidP="006F3A86">
            <w:pPr>
              <w:pStyle w:val="level1"/>
              <w:tabs>
                <w:tab w:val="clear" w:pos="576"/>
                <w:tab w:val="clear" w:pos="1152"/>
              </w:tabs>
              <w:spacing w:after="120" w:line="240" w:lineRule="atLeast"/>
              <w:ind w:left="322" w:hanging="322"/>
              <w:rPr>
                <w:rFonts w:cs="Calibri Light"/>
                <w:sz w:val="20"/>
                <w:szCs w:val="20"/>
              </w:rPr>
            </w:pPr>
            <w:r w:rsidRPr="004005A4">
              <w:rPr>
                <w:rFonts w:cs="Calibri Light"/>
                <w:sz w:val="20"/>
                <w:szCs w:val="20"/>
              </w:rPr>
              <w:t>(ii)</w:t>
            </w:r>
            <w:r w:rsidRPr="004005A4">
              <w:rPr>
                <w:rFonts w:cs="Calibri Light"/>
                <w:sz w:val="20"/>
                <w:szCs w:val="20"/>
              </w:rPr>
              <w:tab/>
              <w:t>If the principal United States market for such common equity is not an exchange, indicate, as applicable, that such any over-the-counter market quotations reflect inter-dealer prices, without retail mark-up, mark-down, or commission and may not necessarily represent actual transactions.</w:t>
            </w:r>
          </w:p>
        </w:tc>
        <w:tc>
          <w:tcPr>
            <w:tcW w:w="1209" w:type="dxa"/>
            <w:gridSpan w:val="2"/>
            <w:tcBorders>
              <w:bottom w:val="single" w:sz="4" w:space="0" w:color="auto"/>
            </w:tcBorders>
            <w:vAlign w:val="bottom"/>
          </w:tcPr>
          <w:p w14:paraId="6E2BD542"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2A147E1"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204F42CE"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26029A52" w14:textId="77777777" w:rsidTr="00CC36C1">
        <w:trPr>
          <w:gridBefore w:val="1"/>
          <w:wBefore w:w="17" w:type="dxa"/>
        </w:trPr>
        <w:tc>
          <w:tcPr>
            <w:tcW w:w="7483" w:type="dxa"/>
            <w:gridSpan w:val="2"/>
          </w:tcPr>
          <w:p w14:paraId="35AA540B" w14:textId="08234A63" w:rsidR="006F3A86" w:rsidRPr="004005A4" w:rsidRDefault="006F3A86" w:rsidP="006F3A86">
            <w:pPr>
              <w:pStyle w:val="level1"/>
              <w:tabs>
                <w:tab w:val="clear" w:pos="576"/>
              </w:tabs>
              <w:spacing w:after="120" w:line="240" w:lineRule="atLeast"/>
              <w:ind w:left="322" w:hanging="322"/>
              <w:rPr>
                <w:rFonts w:cs="Calibri Light"/>
                <w:sz w:val="20"/>
                <w:szCs w:val="20"/>
              </w:rPr>
            </w:pPr>
            <w:r w:rsidRPr="004005A4">
              <w:rPr>
                <w:rFonts w:cs="Calibri Light"/>
                <w:sz w:val="20"/>
                <w:szCs w:val="20"/>
              </w:rPr>
              <w:t>(iii)</w:t>
            </w:r>
            <w:r w:rsidRPr="004005A4">
              <w:rPr>
                <w:rFonts w:cs="Calibri Light"/>
                <w:sz w:val="20"/>
                <w:szCs w:val="20"/>
              </w:rPr>
              <w:tab/>
              <w:t xml:space="preserve">Where there is no established public trading market for a class of common equity, furnish a statement to that effect and, if applicable, state the range of high and low bid information for each full quarterly period within the two most recent fiscal years and any subsequent interim period for which financial statements are included, or are required to be included by 17 CFR 210.3-01 through 210.3-20 (Article 3 of Regulation S-X), indicating the source of such quotations.  Reference to quotations shall be qualified by appropriate explanation. For purposes of this Item, the existence of </w:t>
            </w:r>
            <w:r w:rsidRPr="004005A4">
              <w:rPr>
                <w:rFonts w:cs="Calibri Light"/>
                <w:sz w:val="20"/>
                <w:szCs w:val="20"/>
              </w:rPr>
              <w:lastRenderedPageBreak/>
              <w:t>limited or sporadic quotations should not of itself be deemed to constitute an “established public trading market.”</w:t>
            </w:r>
          </w:p>
        </w:tc>
        <w:tc>
          <w:tcPr>
            <w:tcW w:w="1209" w:type="dxa"/>
            <w:gridSpan w:val="2"/>
            <w:tcBorders>
              <w:bottom w:val="single" w:sz="4" w:space="0" w:color="auto"/>
            </w:tcBorders>
            <w:vAlign w:val="bottom"/>
          </w:tcPr>
          <w:p w14:paraId="6267022F"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4CBBD43"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3728744E" w14:textId="77777777" w:rsidR="006F3A86" w:rsidRPr="004005A4" w:rsidRDefault="006F3A86" w:rsidP="006F3A86">
            <w:pPr>
              <w:pStyle w:val="levela"/>
              <w:spacing w:before="120" w:after="120" w:line="240" w:lineRule="atLeast"/>
              <w:jc w:val="center"/>
              <w:rPr>
                <w:rFonts w:cs="Calibri Light"/>
                <w:b/>
                <w:sz w:val="20"/>
                <w:szCs w:val="20"/>
              </w:rPr>
            </w:pPr>
          </w:p>
        </w:tc>
      </w:tr>
      <w:bookmarkEnd w:id="38"/>
      <w:tr w:rsidR="006F3A86" w:rsidRPr="004005A4" w14:paraId="5C3937E3" w14:textId="77777777" w:rsidTr="00CC36C1">
        <w:trPr>
          <w:gridBefore w:val="1"/>
          <w:wBefore w:w="17" w:type="dxa"/>
        </w:trPr>
        <w:tc>
          <w:tcPr>
            <w:tcW w:w="7483" w:type="dxa"/>
            <w:gridSpan w:val="2"/>
          </w:tcPr>
          <w:p w14:paraId="4182F96A" w14:textId="31B52523" w:rsidR="006F3A86" w:rsidRPr="004005A4" w:rsidRDefault="006F3A86" w:rsidP="006F3A86">
            <w:pPr>
              <w:pStyle w:val="level1"/>
              <w:tabs>
                <w:tab w:val="clear" w:pos="576"/>
              </w:tabs>
              <w:spacing w:after="120" w:line="240" w:lineRule="atLeast"/>
              <w:ind w:left="322" w:hanging="322"/>
              <w:rPr>
                <w:rFonts w:cs="Calibri Light"/>
                <w:sz w:val="20"/>
                <w:szCs w:val="20"/>
              </w:rPr>
            </w:pPr>
            <w:r>
              <w:rPr>
                <w:rFonts w:cs="Calibri Light"/>
                <w:sz w:val="20"/>
                <w:szCs w:val="20"/>
              </w:rPr>
              <w:t>(iv)</w:t>
            </w:r>
            <w:r>
              <w:t xml:space="preserve"> </w:t>
            </w:r>
            <w:r w:rsidRPr="00E12FA1">
              <w:rPr>
                <w:rFonts w:cs="Calibri Light"/>
                <w:sz w:val="20"/>
                <w:szCs w:val="20"/>
              </w:rPr>
              <w:t>Where a foreign registrant has identified a principal established foreign trading market for its common equity pursuant to paragraph (a)(1) of this Item, also provide market price information comparable, to the extent practicable, to that required for the principal United States market, including the source of such information. Such prices shall be stated in the currency in which they are quoted. The registrant may translate such prices into United States currency at the currency exchange rate in effect on the date the price disclosed was reported on the foreign exchange. If the primary United States market for the registrant's common equity trades using American Depositary Receipts, the United States prices disclosed shall be on that basis.</w:t>
            </w:r>
          </w:p>
        </w:tc>
        <w:tc>
          <w:tcPr>
            <w:tcW w:w="1209" w:type="dxa"/>
            <w:gridSpan w:val="2"/>
            <w:tcBorders>
              <w:bottom w:val="single" w:sz="4" w:space="0" w:color="auto"/>
            </w:tcBorders>
            <w:vAlign w:val="bottom"/>
          </w:tcPr>
          <w:p w14:paraId="58A72A8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201760C6"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3BE85CB4"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A2F1D77" w14:textId="77777777" w:rsidTr="00CC36C1">
        <w:trPr>
          <w:gridBefore w:val="1"/>
          <w:wBefore w:w="17" w:type="dxa"/>
        </w:trPr>
        <w:tc>
          <w:tcPr>
            <w:tcW w:w="7483" w:type="dxa"/>
            <w:gridSpan w:val="2"/>
          </w:tcPr>
          <w:p w14:paraId="06BF35E0" w14:textId="0D5E8AC2" w:rsidR="006F3A86" w:rsidRPr="004005A4" w:rsidRDefault="006F3A86" w:rsidP="006F3A86">
            <w:pPr>
              <w:pStyle w:val="level1"/>
              <w:tabs>
                <w:tab w:val="clear" w:pos="576"/>
              </w:tabs>
              <w:spacing w:after="120" w:line="240" w:lineRule="atLeast"/>
              <w:ind w:left="322" w:hanging="322"/>
              <w:rPr>
                <w:rFonts w:cs="Calibri Light"/>
                <w:sz w:val="20"/>
                <w:szCs w:val="20"/>
              </w:rPr>
            </w:pPr>
            <w:r>
              <w:rPr>
                <w:rFonts w:cs="Calibri Light"/>
                <w:sz w:val="20"/>
                <w:szCs w:val="20"/>
              </w:rPr>
              <w:t>(v)</w:t>
            </w:r>
            <w:r>
              <w:t xml:space="preserve"> </w:t>
            </w:r>
            <w:r w:rsidRPr="00E12FA1">
              <w:rPr>
                <w:rFonts w:cs="Calibri Light"/>
                <w:sz w:val="20"/>
                <w:szCs w:val="20"/>
              </w:rPr>
              <w:t>If the information called for by this Item is being presented in a registration statement filed pursuant to the Securities Act or a proxy or information statement filed pursuant to the Exchange Act, the document also shall include price information as of the latest practicable date, and, in the case of securities to be issued in connection with an acquisition, business combination or other reorganization, as of the date immediately prior to the public announcement of such transaction.</w:t>
            </w:r>
          </w:p>
        </w:tc>
        <w:tc>
          <w:tcPr>
            <w:tcW w:w="1209" w:type="dxa"/>
            <w:gridSpan w:val="2"/>
            <w:tcBorders>
              <w:bottom w:val="single" w:sz="4" w:space="0" w:color="auto"/>
            </w:tcBorders>
            <w:vAlign w:val="bottom"/>
          </w:tcPr>
          <w:p w14:paraId="708275D0"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57EEA98B"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79EB126F"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61434914" w14:textId="77777777" w:rsidTr="00CC36C1">
        <w:trPr>
          <w:gridBefore w:val="1"/>
          <w:wBefore w:w="17" w:type="dxa"/>
        </w:trPr>
        <w:tc>
          <w:tcPr>
            <w:tcW w:w="7483" w:type="dxa"/>
            <w:gridSpan w:val="2"/>
          </w:tcPr>
          <w:p w14:paraId="103966B4" w14:textId="71203C70" w:rsidR="006F3A86" w:rsidRDefault="006F3A86" w:rsidP="006F3A86">
            <w:pPr>
              <w:pStyle w:val="FormTableHeaderRow"/>
            </w:pPr>
            <w:bookmarkStart w:id="40" w:name="Item201D"/>
            <w:bookmarkStart w:id="41" w:name="_Hlk532809725"/>
            <w:bookmarkEnd w:id="40"/>
            <w:r w:rsidRPr="004005A4">
              <w:rPr>
                <w:rFonts w:cs="Calibri Light"/>
                <w:sz w:val="20"/>
                <w:szCs w:val="20"/>
              </w:rPr>
              <w:t>Item 201</w:t>
            </w:r>
            <w:r w:rsidRPr="001417FA">
              <w:rPr>
                <w:rFonts w:cs="Calibri Light"/>
                <w:sz w:val="20"/>
                <w:szCs w:val="20"/>
              </w:rPr>
              <w:t>(b) Holders.</w:t>
            </w:r>
            <w:r>
              <w:t xml:space="preserve"> </w:t>
            </w:r>
          </w:p>
          <w:p w14:paraId="250DBD00" w14:textId="17BE5CA5" w:rsidR="006F3A86" w:rsidRPr="004005A4" w:rsidRDefault="006F3A86" w:rsidP="008A15E7">
            <w:pPr>
              <w:pStyle w:val="level1"/>
              <w:tabs>
                <w:tab w:val="clear" w:pos="576"/>
              </w:tabs>
              <w:spacing w:after="120" w:line="240" w:lineRule="atLeast"/>
              <w:ind w:left="0" w:firstLine="5"/>
              <w:rPr>
                <w:rFonts w:cs="Calibri Light"/>
                <w:sz w:val="20"/>
                <w:szCs w:val="20"/>
              </w:rPr>
            </w:pPr>
            <w:r w:rsidRPr="00010628">
              <w:rPr>
                <w:rFonts w:cs="Calibri Light"/>
                <w:sz w:val="20"/>
                <w:szCs w:val="20"/>
              </w:rPr>
              <w:t>Approximate</w:t>
            </w:r>
            <w:r w:rsidRPr="00010628">
              <w:rPr>
                <w:sz w:val="20"/>
                <w:szCs w:val="20"/>
              </w:rPr>
              <w:t xml:space="preserve"> number of </w:t>
            </w:r>
            <w:r>
              <w:rPr>
                <w:sz w:val="20"/>
                <w:szCs w:val="20"/>
              </w:rPr>
              <w:t>holders of each class of common equity of the registrant</w:t>
            </w:r>
            <w:r w:rsidR="0054008E">
              <w:rPr>
                <w:sz w:val="20"/>
                <w:szCs w:val="20"/>
              </w:rPr>
              <w:t xml:space="preserve"> </w:t>
            </w:r>
            <w:r w:rsidRPr="00010628">
              <w:rPr>
                <w:sz w:val="20"/>
                <w:szCs w:val="20"/>
              </w:rPr>
              <w:t>as of the latest practicable date (identifying the method of computation — e.g., number of record holders)</w:t>
            </w:r>
            <w:r>
              <w:rPr>
                <w:sz w:val="20"/>
                <w:szCs w:val="20"/>
              </w:rPr>
              <w:t xml:space="preserve">. </w:t>
            </w:r>
            <w:r w:rsidRPr="003B3519">
              <w:rPr>
                <w:sz w:val="20"/>
                <w:szCs w:val="20"/>
              </w:rPr>
              <w:t>If the information called for by this Item is being presented in a registration statement filed pursuant to the Securities Act or a proxy or information statement filed pursuant to the Exchange Act, the document also shall include price information as of the latest practicable date, and, in the case of securities to be issued in connection with an acquisition, business combination or other reorganization, as of the date immediately prior to the public announcement of such transaction.</w:t>
            </w:r>
          </w:p>
        </w:tc>
        <w:tc>
          <w:tcPr>
            <w:tcW w:w="1209" w:type="dxa"/>
            <w:gridSpan w:val="2"/>
            <w:tcBorders>
              <w:top w:val="single" w:sz="4" w:space="0" w:color="auto"/>
              <w:bottom w:val="single" w:sz="4" w:space="0" w:color="auto"/>
            </w:tcBorders>
            <w:vAlign w:val="bottom"/>
          </w:tcPr>
          <w:p w14:paraId="1B187F9F"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15E4A95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041396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71F93C4" w14:textId="77777777" w:rsidTr="00CC36C1">
        <w:trPr>
          <w:gridBefore w:val="1"/>
          <w:wBefore w:w="17" w:type="dxa"/>
        </w:trPr>
        <w:tc>
          <w:tcPr>
            <w:tcW w:w="7483" w:type="dxa"/>
            <w:gridSpan w:val="2"/>
          </w:tcPr>
          <w:p w14:paraId="27A564C6" w14:textId="61C42DE9" w:rsidR="006F3A86" w:rsidRDefault="006F3A86" w:rsidP="006F3A86">
            <w:pPr>
              <w:pStyle w:val="FormTableHeaderRow"/>
              <w:rPr>
                <w:rFonts w:cs="Calibri Light"/>
                <w:sz w:val="20"/>
                <w:szCs w:val="20"/>
              </w:rPr>
            </w:pPr>
            <w:r w:rsidRPr="004005A4">
              <w:rPr>
                <w:rFonts w:cs="Calibri Light"/>
                <w:sz w:val="20"/>
                <w:szCs w:val="20"/>
              </w:rPr>
              <w:t>Item 201</w:t>
            </w:r>
            <w:r w:rsidRPr="00401D29">
              <w:rPr>
                <w:rFonts w:cs="Calibri Light"/>
                <w:sz w:val="20"/>
                <w:szCs w:val="20"/>
              </w:rPr>
              <w:t>(</w:t>
            </w:r>
            <w:r>
              <w:rPr>
                <w:rFonts w:cs="Calibri Light"/>
                <w:sz w:val="20"/>
                <w:szCs w:val="20"/>
              </w:rPr>
              <w:t>c</w:t>
            </w:r>
            <w:r w:rsidRPr="00401D29">
              <w:rPr>
                <w:rFonts w:cs="Calibri Light"/>
                <w:sz w:val="20"/>
                <w:szCs w:val="20"/>
              </w:rPr>
              <w:t>)</w:t>
            </w:r>
            <w:r>
              <w:rPr>
                <w:rFonts w:cs="Calibri Light"/>
                <w:sz w:val="20"/>
                <w:szCs w:val="20"/>
              </w:rPr>
              <w:t xml:space="preserve"> Dividends</w:t>
            </w:r>
            <w:r w:rsidRPr="00401D29">
              <w:rPr>
                <w:rFonts w:cs="Calibri Light"/>
                <w:sz w:val="20"/>
                <w:szCs w:val="20"/>
              </w:rPr>
              <w:t>.</w:t>
            </w:r>
          </w:p>
          <w:p w14:paraId="78AAD53D" w14:textId="14E30BC1" w:rsidR="006F3A86" w:rsidRPr="004005A4" w:rsidRDefault="006F3A86" w:rsidP="008A15E7">
            <w:pPr>
              <w:pStyle w:val="FormTableHeaderRow"/>
              <w:rPr>
                <w:rFonts w:cs="Calibri Light"/>
                <w:sz w:val="20"/>
                <w:szCs w:val="20"/>
              </w:rPr>
            </w:pPr>
            <w:r w:rsidRPr="00645296">
              <w:rPr>
                <w:rFonts w:cs="Calibri Light"/>
                <w:b w:val="0"/>
                <w:bCs w:val="0"/>
                <w:sz w:val="20"/>
                <w:szCs w:val="20"/>
              </w:rPr>
              <w:t>Where registrants have a record of paying no cash dividends although earnings indicate an ability to do so, they are encouraged to consider the question of their intention to pay cash dividends in the foreseeable future and, if no such intention exists, to make a statement of that fact in the filing. Registrants which have a history of paying cash dividends also are encouraged to indicate whether they currently expect that comparable cash dividends will continue to be paid in the future and, if not, the nature of the change in the amount or rate of cash dividend payments.</w:t>
            </w:r>
          </w:p>
        </w:tc>
        <w:tc>
          <w:tcPr>
            <w:tcW w:w="1209" w:type="dxa"/>
            <w:gridSpan w:val="2"/>
            <w:tcBorders>
              <w:top w:val="single" w:sz="4" w:space="0" w:color="auto"/>
              <w:bottom w:val="single" w:sz="4" w:space="0" w:color="auto"/>
            </w:tcBorders>
            <w:vAlign w:val="bottom"/>
          </w:tcPr>
          <w:p w14:paraId="4CC37434"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14DD03A"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139F2AD"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9D9B01B" w14:textId="77777777" w:rsidTr="00CC36C1">
        <w:trPr>
          <w:gridBefore w:val="1"/>
          <w:wBefore w:w="17" w:type="dxa"/>
        </w:trPr>
        <w:tc>
          <w:tcPr>
            <w:tcW w:w="7483" w:type="dxa"/>
            <w:gridSpan w:val="2"/>
          </w:tcPr>
          <w:p w14:paraId="010EA4CE" w14:textId="42A8D7FB" w:rsidR="006F3A86" w:rsidRPr="00010628" w:rsidRDefault="006F3A86" w:rsidP="006F3A86">
            <w:pPr>
              <w:pStyle w:val="levela"/>
              <w:keepNext/>
              <w:tabs>
                <w:tab w:val="clear" w:pos="576"/>
              </w:tabs>
              <w:spacing w:before="120" w:after="120" w:line="240" w:lineRule="atLeast"/>
              <w:ind w:left="0" w:firstLine="0"/>
              <w:rPr>
                <w:rFonts w:cs="Calibri Light"/>
                <w:b/>
                <w:bCs/>
                <w:sz w:val="20"/>
                <w:szCs w:val="20"/>
              </w:rPr>
            </w:pPr>
            <w:r w:rsidRPr="00010628">
              <w:rPr>
                <w:rFonts w:cs="Calibri Light"/>
                <w:b/>
                <w:bCs/>
                <w:sz w:val="20"/>
                <w:szCs w:val="20"/>
              </w:rPr>
              <w:lastRenderedPageBreak/>
              <w:t>Item 201(d). Securities authorized for issuance under equity compensation plans</w:t>
            </w:r>
          </w:p>
        </w:tc>
        <w:tc>
          <w:tcPr>
            <w:tcW w:w="1209" w:type="dxa"/>
            <w:gridSpan w:val="2"/>
            <w:tcBorders>
              <w:top w:val="single" w:sz="4" w:space="0" w:color="auto"/>
            </w:tcBorders>
            <w:vAlign w:val="bottom"/>
          </w:tcPr>
          <w:p w14:paraId="29D53560"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36D62BD"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671E136"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5C3E1C29" w14:textId="77777777" w:rsidTr="00CC36C1">
        <w:trPr>
          <w:gridBefore w:val="1"/>
          <w:wBefore w:w="17" w:type="dxa"/>
        </w:trPr>
        <w:tc>
          <w:tcPr>
            <w:tcW w:w="7483" w:type="dxa"/>
            <w:gridSpan w:val="2"/>
          </w:tcPr>
          <w:p w14:paraId="6D57745B" w14:textId="77777777" w:rsidR="006F3A86" w:rsidRPr="004005A4" w:rsidRDefault="006F3A86" w:rsidP="006F3A86">
            <w:pPr>
              <w:pStyle w:val="levela"/>
              <w:keepNext/>
              <w:tabs>
                <w:tab w:val="clear" w:pos="576"/>
              </w:tabs>
              <w:spacing w:before="120" w:after="120" w:line="240" w:lineRule="atLeast"/>
              <w:ind w:left="322" w:hanging="322"/>
              <w:rPr>
                <w:rFonts w:cs="Calibri Light"/>
                <w:bCs/>
                <w:sz w:val="20"/>
                <w:szCs w:val="20"/>
              </w:rPr>
            </w:pPr>
            <w:bookmarkStart w:id="42" w:name="_Item_201(d)._"/>
            <w:bookmarkEnd w:id="41"/>
            <w:bookmarkEnd w:id="42"/>
            <w:r w:rsidRPr="004005A4">
              <w:rPr>
                <w:rFonts w:cs="Calibri Light"/>
                <w:bCs/>
                <w:sz w:val="20"/>
                <w:szCs w:val="20"/>
              </w:rPr>
              <w:t xml:space="preserve"> (1)</w:t>
            </w:r>
            <w:r w:rsidRPr="004005A4">
              <w:rPr>
                <w:rFonts w:cs="Calibri Light"/>
                <w:bCs/>
                <w:sz w:val="20"/>
                <w:szCs w:val="20"/>
              </w:rPr>
              <w:tab/>
              <w:t>In a tabular format, provide the information described below as of the end of the most recently completed fiscal year with respect to compensation plans (including individual compensations arrangements) under which equity securities of the registrant are authorized for issuance, aggregated as follows:</w:t>
            </w:r>
          </w:p>
          <w:p w14:paraId="4F17CB75" w14:textId="77777777" w:rsidR="006F3A86" w:rsidRPr="004005A4" w:rsidRDefault="006F3A86" w:rsidP="006F3A86">
            <w:pPr>
              <w:pStyle w:val="level2"/>
              <w:tabs>
                <w:tab w:val="clear" w:pos="576"/>
                <w:tab w:val="clear" w:pos="1152"/>
              </w:tabs>
              <w:spacing w:after="120" w:line="240" w:lineRule="atLeast"/>
              <w:ind w:left="592" w:hanging="270"/>
              <w:rPr>
                <w:rFonts w:cs="Calibri Light"/>
                <w:sz w:val="20"/>
                <w:szCs w:val="20"/>
              </w:rPr>
            </w:pPr>
            <w:r w:rsidRPr="004005A4">
              <w:rPr>
                <w:rFonts w:cs="Calibri Light"/>
                <w:sz w:val="20"/>
                <w:szCs w:val="20"/>
              </w:rPr>
              <w:t>(i)</w:t>
            </w:r>
            <w:r w:rsidRPr="004005A4">
              <w:rPr>
                <w:rFonts w:cs="Calibri Light"/>
                <w:sz w:val="20"/>
                <w:szCs w:val="20"/>
              </w:rPr>
              <w:tab/>
              <w:t>All compensation plans previously approved by security holders; and</w:t>
            </w:r>
          </w:p>
          <w:p w14:paraId="5EE51FD8" w14:textId="77777777" w:rsidR="006F3A86" w:rsidRPr="004005A4" w:rsidRDefault="006F3A86" w:rsidP="006F3A86">
            <w:pPr>
              <w:pStyle w:val="level2"/>
              <w:tabs>
                <w:tab w:val="clear" w:pos="576"/>
                <w:tab w:val="clear" w:pos="1152"/>
              </w:tabs>
              <w:spacing w:after="120" w:line="240" w:lineRule="atLeast"/>
              <w:ind w:left="592" w:hanging="270"/>
              <w:rPr>
                <w:rFonts w:cs="Calibri Light"/>
                <w:b/>
                <w:sz w:val="20"/>
                <w:szCs w:val="20"/>
              </w:rPr>
            </w:pPr>
            <w:r w:rsidRPr="004005A4">
              <w:rPr>
                <w:rFonts w:cs="Calibri Light"/>
                <w:sz w:val="20"/>
                <w:szCs w:val="20"/>
              </w:rPr>
              <w:t>(ii)</w:t>
            </w:r>
            <w:r w:rsidRPr="004005A4">
              <w:rPr>
                <w:rFonts w:cs="Calibri Light"/>
                <w:sz w:val="20"/>
                <w:szCs w:val="20"/>
              </w:rPr>
              <w:tab/>
              <w:t xml:space="preserve">All compensation plans not previously approved by security holders. </w:t>
            </w:r>
          </w:p>
        </w:tc>
        <w:tc>
          <w:tcPr>
            <w:tcW w:w="1209" w:type="dxa"/>
            <w:gridSpan w:val="2"/>
            <w:tcBorders>
              <w:bottom w:val="single" w:sz="4" w:space="0" w:color="auto"/>
            </w:tcBorders>
            <w:vAlign w:val="bottom"/>
          </w:tcPr>
          <w:p w14:paraId="1703813B"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C816D27"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0C455E44"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3CBB6AD5" w14:textId="77777777" w:rsidTr="00CC36C1">
        <w:trPr>
          <w:gridBefore w:val="1"/>
          <w:wBefore w:w="17" w:type="dxa"/>
        </w:trPr>
        <w:tc>
          <w:tcPr>
            <w:tcW w:w="7483" w:type="dxa"/>
            <w:gridSpan w:val="2"/>
          </w:tcPr>
          <w:p w14:paraId="55CB3958" w14:textId="77777777" w:rsidR="006F3A86" w:rsidRPr="004005A4" w:rsidRDefault="006F3A86" w:rsidP="006F3A86">
            <w:pPr>
              <w:pStyle w:val="levela"/>
              <w:tabs>
                <w:tab w:val="clear" w:pos="576"/>
              </w:tabs>
              <w:spacing w:before="120" w:after="120" w:line="240" w:lineRule="atLeast"/>
              <w:ind w:left="317" w:hanging="317"/>
              <w:rPr>
                <w:rFonts w:cs="Calibri Light"/>
                <w:bCs/>
                <w:sz w:val="20"/>
                <w:szCs w:val="20"/>
              </w:rPr>
            </w:pPr>
            <w:r w:rsidRPr="004005A4">
              <w:rPr>
                <w:rFonts w:cs="Calibri Light"/>
                <w:bCs/>
                <w:sz w:val="20"/>
                <w:szCs w:val="20"/>
              </w:rPr>
              <w:t xml:space="preserve">(2) </w:t>
            </w:r>
            <w:r w:rsidRPr="004005A4">
              <w:rPr>
                <w:rFonts w:cs="Calibri Light"/>
                <w:bCs/>
                <w:sz w:val="20"/>
                <w:szCs w:val="20"/>
              </w:rPr>
              <w:tab/>
              <w:t>The table should include the following information as of the end of the most recently completed fiscal year for each category of equity compensation plan described:</w:t>
            </w:r>
          </w:p>
          <w:p w14:paraId="7063C6BF" w14:textId="77777777" w:rsidR="006F3A86" w:rsidRPr="004005A4" w:rsidRDefault="006F3A86" w:rsidP="006F3A86">
            <w:pPr>
              <w:pStyle w:val="level2"/>
              <w:tabs>
                <w:tab w:val="clear" w:pos="576"/>
                <w:tab w:val="clear" w:pos="1152"/>
              </w:tabs>
              <w:spacing w:after="120" w:line="240" w:lineRule="atLeast"/>
              <w:ind w:left="592" w:hanging="270"/>
              <w:rPr>
                <w:rFonts w:cs="Calibri Light"/>
                <w:sz w:val="20"/>
                <w:szCs w:val="20"/>
              </w:rPr>
            </w:pPr>
            <w:r w:rsidRPr="004005A4">
              <w:rPr>
                <w:rFonts w:cs="Calibri Light"/>
                <w:sz w:val="20"/>
                <w:szCs w:val="20"/>
              </w:rPr>
              <w:t>(i)</w:t>
            </w:r>
            <w:r w:rsidRPr="004005A4">
              <w:rPr>
                <w:rFonts w:cs="Calibri Light"/>
                <w:sz w:val="20"/>
                <w:szCs w:val="20"/>
              </w:rPr>
              <w:tab/>
              <w:t>The number of securities to be issued upon the exercise of outstanding options, warrants, and rights</w:t>
            </w:r>
          </w:p>
          <w:p w14:paraId="3ECC8F2A" w14:textId="77777777" w:rsidR="006F3A86" w:rsidRPr="004005A4" w:rsidRDefault="006F3A86" w:rsidP="006F3A86">
            <w:pPr>
              <w:pStyle w:val="level2"/>
              <w:tabs>
                <w:tab w:val="clear" w:pos="576"/>
                <w:tab w:val="clear" w:pos="1152"/>
              </w:tabs>
              <w:spacing w:after="120" w:line="240" w:lineRule="atLeast"/>
              <w:ind w:left="592" w:hanging="270"/>
              <w:rPr>
                <w:rFonts w:cs="Calibri Light"/>
                <w:sz w:val="20"/>
                <w:szCs w:val="20"/>
              </w:rPr>
            </w:pPr>
            <w:r w:rsidRPr="004005A4">
              <w:rPr>
                <w:rFonts w:cs="Calibri Light"/>
                <w:sz w:val="20"/>
                <w:szCs w:val="20"/>
              </w:rPr>
              <w:t>(ii)</w:t>
            </w:r>
            <w:r w:rsidRPr="004005A4">
              <w:rPr>
                <w:rFonts w:cs="Calibri Light"/>
                <w:sz w:val="20"/>
                <w:szCs w:val="20"/>
              </w:rPr>
              <w:tab/>
              <w:t>The weighted average exercise price of the outstanding options, warrants, and rights disclosed</w:t>
            </w:r>
          </w:p>
          <w:p w14:paraId="489D08D0" w14:textId="77777777" w:rsidR="006F3A86" w:rsidRPr="004005A4" w:rsidRDefault="006F3A86" w:rsidP="006F3A86">
            <w:pPr>
              <w:pStyle w:val="level2"/>
              <w:tabs>
                <w:tab w:val="clear" w:pos="576"/>
                <w:tab w:val="clear" w:pos="1152"/>
              </w:tabs>
              <w:spacing w:after="120" w:line="240" w:lineRule="atLeast"/>
              <w:ind w:left="592" w:hanging="270"/>
              <w:rPr>
                <w:rFonts w:cs="Calibri Light"/>
                <w:b/>
                <w:sz w:val="20"/>
                <w:szCs w:val="20"/>
              </w:rPr>
            </w:pPr>
            <w:r w:rsidRPr="004005A4">
              <w:rPr>
                <w:rFonts w:cs="Calibri Light"/>
                <w:sz w:val="20"/>
                <w:szCs w:val="20"/>
              </w:rPr>
              <w:t>(iii)</w:t>
            </w:r>
            <w:r w:rsidRPr="004005A4">
              <w:rPr>
                <w:rFonts w:cs="Calibri Light"/>
                <w:sz w:val="20"/>
                <w:szCs w:val="20"/>
              </w:rPr>
              <w:tab/>
              <w:t xml:space="preserve">Other than securities to be issued upon the exercise of the outstanding options, warrants, and rights disclosed, the number of securities remaining available for future issuance under the plan. </w:t>
            </w:r>
          </w:p>
        </w:tc>
        <w:tc>
          <w:tcPr>
            <w:tcW w:w="1209" w:type="dxa"/>
            <w:gridSpan w:val="2"/>
            <w:tcBorders>
              <w:top w:val="single" w:sz="4" w:space="0" w:color="auto"/>
            </w:tcBorders>
            <w:vAlign w:val="bottom"/>
          </w:tcPr>
          <w:p w14:paraId="4B67E323"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6B818BCE"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3DD52B9"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711469C9" w14:textId="77777777" w:rsidTr="00CC36C1">
        <w:trPr>
          <w:gridBefore w:val="1"/>
          <w:wBefore w:w="17" w:type="dxa"/>
        </w:trPr>
        <w:tc>
          <w:tcPr>
            <w:tcW w:w="7483" w:type="dxa"/>
            <w:gridSpan w:val="2"/>
          </w:tcPr>
          <w:p w14:paraId="7CFE4F3B" w14:textId="77777777" w:rsidR="006F3A86" w:rsidRPr="004005A4" w:rsidRDefault="006F3A86" w:rsidP="006F3A86">
            <w:pPr>
              <w:pStyle w:val="levela"/>
              <w:tabs>
                <w:tab w:val="clear" w:pos="576"/>
              </w:tabs>
              <w:spacing w:before="120" w:after="120" w:line="240" w:lineRule="atLeast"/>
              <w:ind w:left="317" w:hanging="317"/>
              <w:rPr>
                <w:rFonts w:cs="Calibri Light"/>
                <w:bCs/>
                <w:sz w:val="20"/>
                <w:szCs w:val="20"/>
              </w:rPr>
            </w:pPr>
            <w:r w:rsidRPr="004005A4">
              <w:rPr>
                <w:rFonts w:cs="Calibri Light"/>
                <w:bCs/>
                <w:sz w:val="20"/>
                <w:szCs w:val="20"/>
              </w:rPr>
              <w:t>(3)</w:t>
            </w:r>
            <w:r w:rsidRPr="004005A4">
              <w:rPr>
                <w:rFonts w:cs="Calibri Light"/>
                <w:bCs/>
                <w:sz w:val="20"/>
                <w:szCs w:val="20"/>
              </w:rPr>
              <w:tab/>
              <w:t>For each compensation plan under which equity securities of the registrant are authorized for issuance that was adopted without the approval of security holders, describe briefly, in narrative form, the material features of the plan.</w:t>
            </w:r>
          </w:p>
        </w:tc>
        <w:tc>
          <w:tcPr>
            <w:tcW w:w="1209" w:type="dxa"/>
            <w:gridSpan w:val="2"/>
            <w:tcBorders>
              <w:top w:val="single" w:sz="4" w:space="0" w:color="auto"/>
              <w:bottom w:val="single" w:sz="4" w:space="0" w:color="auto"/>
            </w:tcBorders>
            <w:vAlign w:val="bottom"/>
          </w:tcPr>
          <w:p w14:paraId="4332932E"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6451239"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22D8C543"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198A4CD9" w14:textId="77777777" w:rsidTr="00CC36C1">
        <w:trPr>
          <w:gridBefore w:val="1"/>
          <w:wBefore w:w="17" w:type="dxa"/>
        </w:trPr>
        <w:tc>
          <w:tcPr>
            <w:tcW w:w="7483" w:type="dxa"/>
            <w:gridSpan w:val="2"/>
          </w:tcPr>
          <w:p w14:paraId="6D06B705" w14:textId="321F2950" w:rsidR="006F3A86" w:rsidRPr="004005A4" w:rsidRDefault="006F3A86" w:rsidP="006F3A86">
            <w:pPr>
              <w:pStyle w:val="level1"/>
              <w:tabs>
                <w:tab w:val="clear" w:pos="576"/>
              </w:tabs>
              <w:spacing w:after="120" w:line="240" w:lineRule="atLeast"/>
              <w:ind w:left="0" w:firstLine="0"/>
              <w:rPr>
                <w:rFonts w:cs="Calibri Light"/>
                <w:sz w:val="20"/>
                <w:szCs w:val="20"/>
              </w:rPr>
            </w:pPr>
            <w:bookmarkStart w:id="43" w:name="_Item_301._"/>
            <w:bookmarkStart w:id="44" w:name="_Item_302(a)—Selected_Quarterly"/>
            <w:bookmarkEnd w:id="43"/>
            <w:bookmarkEnd w:id="44"/>
            <w:r w:rsidRPr="00152D0F">
              <w:rPr>
                <w:rFonts w:cs="Calibri Light"/>
                <w:b/>
                <w:sz w:val="20"/>
                <w:szCs w:val="20"/>
              </w:rPr>
              <w:t xml:space="preserve">Item 301 </w:t>
            </w:r>
            <w:r w:rsidRPr="00152D0F">
              <w:rPr>
                <w:rFonts w:cs="Calibri Light"/>
                <w:b/>
                <w:bCs/>
                <w:sz w:val="20"/>
                <w:szCs w:val="20"/>
              </w:rPr>
              <w:t>—[Removed and Reserved]</w:t>
            </w:r>
          </w:p>
        </w:tc>
        <w:tc>
          <w:tcPr>
            <w:tcW w:w="1209" w:type="dxa"/>
            <w:gridSpan w:val="2"/>
            <w:tcBorders>
              <w:top w:val="single" w:sz="4" w:space="0" w:color="auto"/>
            </w:tcBorders>
            <w:vAlign w:val="bottom"/>
          </w:tcPr>
          <w:p w14:paraId="35A82C55"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0FB999EA"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E526219" w14:textId="77777777" w:rsidR="006F3A86" w:rsidRPr="004005A4" w:rsidRDefault="006F3A86" w:rsidP="006F3A86">
            <w:pPr>
              <w:pStyle w:val="levela"/>
              <w:spacing w:before="120" w:after="120" w:line="240" w:lineRule="atLeast"/>
              <w:jc w:val="center"/>
              <w:rPr>
                <w:rFonts w:cs="Calibri Light"/>
                <w:b/>
                <w:sz w:val="20"/>
                <w:szCs w:val="20"/>
              </w:rPr>
            </w:pPr>
          </w:p>
        </w:tc>
      </w:tr>
      <w:tr w:rsidR="006F3A86" w:rsidRPr="004005A4" w14:paraId="49CBB9FD" w14:textId="77777777" w:rsidTr="005F1EF5">
        <w:trPr>
          <w:gridBefore w:val="1"/>
          <w:wBefore w:w="17" w:type="dxa"/>
        </w:trPr>
        <w:tc>
          <w:tcPr>
            <w:tcW w:w="7483" w:type="dxa"/>
            <w:gridSpan w:val="2"/>
          </w:tcPr>
          <w:p w14:paraId="728FF13D" w14:textId="58C02464" w:rsidR="00023008" w:rsidRDefault="006F3A86" w:rsidP="006F3A86">
            <w:pPr>
              <w:pStyle w:val="FormTableHeaderRow"/>
              <w:rPr>
                <w:rFonts w:cs="Calibri Light"/>
                <w:sz w:val="20"/>
                <w:szCs w:val="20"/>
              </w:rPr>
            </w:pPr>
            <w:r>
              <w:rPr>
                <w:rFonts w:cs="Calibri Light"/>
                <w:sz w:val="20"/>
                <w:szCs w:val="20"/>
              </w:rPr>
              <w:t>Ite</w:t>
            </w:r>
            <w:bookmarkStart w:id="45" w:name="item_302"/>
            <w:bookmarkEnd w:id="45"/>
            <w:r>
              <w:rPr>
                <w:rFonts w:cs="Calibri Light"/>
                <w:sz w:val="20"/>
                <w:szCs w:val="20"/>
              </w:rPr>
              <w:t>m 302 – Supplementary Financial Information</w:t>
            </w:r>
          </w:p>
          <w:p w14:paraId="57B6BB0F" w14:textId="0B94858A" w:rsidR="006F3A86" w:rsidRPr="004005A4" w:rsidRDefault="006F3A86" w:rsidP="006F3A86">
            <w:pPr>
              <w:pStyle w:val="FormTableHeaderRow"/>
              <w:rPr>
                <w:rFonts w:cs="Calibri Light"/>
                <w:sz w:val="20"/>
                <w:szCs w:val="20"/>
              </w:rPr>
            </w:pPr>
            <w:r w:rsidRPr="004005A4">
              <w:rPr>
                <w:rFonts w:cs="Calibri Light"/>
                <w:sz w:val="20"/>
                <w:szCs w:val="20"/>
              </w:rPr>
              <w:t xml:space="preserve">Item 302(a) — </w:t>
            </w:r>
            <w:r>
              <w:rPr>
                <w:rFonts w:cs="Calibri Light"/>
                <w:sz w:val="20"/>
                <w:szCs w:val="20"/>
              </w:rPr>
              <w:t xml:space="preserve">Disclosure of Material Quarterly Changes. </w:t>
            </w:r>
            <w:r w:rsidRPr="00C90772">
              <w:rPr>
                <w:rFonts w:cs="Calibri Light"/>
                <w:b w:val="0"/>
                <w:bCs w:val="0"/>
                <w:sz w:val="20"/>
                <w:szCs w:val="20"/>
              </w:rPr>
              <w:t>When there are one or more retrospective changes to the statements of comprehensive income for any of the quarters within the two most recent fiscal years or any subsequent interim period for which financial statements are included or are required to be included by Rule 3-01 through Rule 3-20 of Regulation S-X that individually or in the aggregate are material</w:t>
            </w:r>
            <w:r w:rsidR="002C76E6">
              <w:rPr>
                <w:rFonts w:cs="Calibri Light"/>
                <w:b w:val="0"/>
                <w:bCs w:val="0"/>
                <w:sz w:val="20"/>
                <w:szCs w:val="20"/>
              </w:rPr>
              <w:t>:</w:t>
            </w:r>
          </w:p>
        </w:tc>
        <w:tc>
          <w:tcPr>
            <w:tcW w:w="1209" w:type="dxa"/>
            <w:gridSpan w:val="2"/>
            <w:vAlign w:val="bottom"/>
          </w:tcPr>
          <w:p w14:paraId="18330A17" w14:textId="77777777" w:rsidR="006F3A86" w:rsidRPr="004005A4" w:rsidRDefault="006F3A86" w:rsidP="006F3A86">
            <w:pPr>
              <w:pStyle w:val="levela"/>
              <w:spacing w:before="120" w:after="120" w:line="240" w:lineRule="atLeast"/>
              <w:jc w:val="center"/>
              <w:rPr>
                <w:rFonts w:cs="Calibri Light"/>
                <w:b/>
                <w:sz w:val="20"/>
                <w:szCs w:val="20"/>
              </w:rPr>
            </w:pPr>
          </w:p>
        </w:tc>
        <w:tc>
          <w:tcPr>
            <w:tcW w:w="236" w:type="dxa"/>
            <w:gridSpan w:val="3"/>
            <w:vAlign w:val="bottom"/>
          </w:tcPr>
          <w:p w14:paraId="7916CD73" w14:textId="77777777" w:rsidR="006F3A86" w:rsidRPr="004005A4" w:rsidRDefault="006F3A86" w:rsidP="006F3A86">
            <w:pPr>
              <w:pStyle w:val="levela"/>
              <w:spacing w:before="120" w:after="120" w:line="240" w:lineRule="atLeast"/>
              <w:jc w:val="center"/>
              <w:rPr>
                <w:rFonts w:cs="Calibri Light"/>
                <w:b/>
                <w:sz w:val="20"/>
                <w:szCs w:val="20"/>
              </w:rPr>
            </w:pPr>
          </w:p>
        </w:tc>
        <w:tc>
          <w:tcPr>
            <w:tcW w:w="1181" w:type="dxa"/>
            <w:gridSpan w:val="2"/>
            <w:vAlign w:val="bottom"/>
          </w:tcPr>
          <w:p w14:paraId="7AD49E59" w14:textId="77777777" w:rsidR="006F3A86" w:rsidRPr="004005A4" w:rsidRDefault="006F3A86" w:rsidP="006F3A86">
            <w:pPr>
              <w:pStyle w:val="levela"/>
              <w:spacing w:before="120" w:after="120" w:line="240" w:lineRule="atLeast"/>
              <w:jc w:val="center"/>
              <w:rPr>
                <w:rFonts w:cs="Calibri Light"/>
                <w:b/>
                <w:sz w:val="20"/>
                <w:szCs w:val="20"/>
              </w:rPr>
            </w:pPr>
          </w:p>
        </w:tc>
      </w:tr>
      <w:tr w:rsidR="008666DC" w:rsidRPr="004005A4" w14:paraId="56BD505F" w14:textId="77777777" w:rsidTr="005F1EF5">
        <w:trPr>
          <w:gridBefore w:val="1"/>
          <w:wBefore w:w="17" w:type="dxa"/>
        </w:trPr>
        <w:tc>
          <w:tcPr>
            <w:tcW w:w="7483" w:type="dxa"/>
            <w:gridSpan w:val="2"/>
          </w:tcPr>
          <w:p w14:paraId="349EF142" w14:textId="10021252" w:rsidR="008666DC" w:rsidRDefault="008666DC" w:rsidP="008666DC">
            <w:pPr>
              <w:pStyle w:val="FormTableHeaderRow"/>
              <w:rPr>
                <w:rFonts w:cs="Calibri Light"/>
                <w:sz w:val="20"/>
                <w:szCs w:val="20"/>
              </w:rPr>
            </w:pPr>
            <w:r>
              <w:rPr>
                <w:rFonts w:cs="Calibri Light"/>
                <w:b w:val="0"/>
                <w:bCs w:val="0"/>
                <w:sz w:val="20"/>
                <w:szCs w:val="20"/>
              </w:rPr>
              <w:t>(a)</w:t>
            </w:r>
            <w:r>
              <w:rPr>
                <w:rFonts w:cs="Calibri Light"/>
                <w:b w:val="0"/>
                <w:bCs w:val="0"/>
                <w:sz w:val="20"/>
                <w:szCs w:val="20"/>
              </w:rPr>
              <w:tab/>
            </w:r>
            <w:r w:rsidRPr="00CA2D6D">
              <w:rPr>
                <w:rFonts w:cs="Calibri Light"/>
                <w:b w:val="0"/>
                <w:bCs w:val="0"/>
                <w:sz w:val="20"/>
                <w:szCs w:val="20"/>
              </w:rPr>
              <w:t xml:space="preserve">provide an explanation of the reasons for such material changes and </w:t>
            </w:r>
          </w:p>
        </w:tc>
        <w:tc>
          <w:tcPr>
            <w:tcW w:w="1209" w:type="dxa"/>
            <w:gridSpan w:val="2"/>
            <w:tcBorders>
              <w:bottom w:val="single" w:sz="4" w:space="0" w:color="auto"/>
            </w:tcBorders>
            <w:vAlign w:val="bottom"/>
          </w:tcPr>
          <w:p w14:paraId="509A4D4A"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A93E154"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26383E5E"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A4B328F" w14:textId="77777777" w:rsidTr="005F1EF5">
        <w:trPr>
          <w:gridBefore w:val="1"/>
          <w:wBefore w:w="17" w:type="dxa"/>
        </w:trPr>
        <w:tc>
          <w:tcPr>
            <w:tcW w:w="7483" w:type="dxa"/>
            <w:gridSpan w:val="2"/>
          </w:tcPr>
          <w:p w14:paraId="43D6C932" w14:textId="4C42BA70" w:rsidR="008666DC" w:rsidRDefault="008666DC" w:rsidP="008666DC">
            <w:pPr>
              <w:pStyle w:val="FormTableHeaderRow"/>
              <w:ind w:left="576" w:hanging="576"/>
              <w:rPr>
                <w:rFonts w:cs="Calibri Light"/>
                <w:sz w:val="20"/>
                <w:szCs w:val="20"/>
              </w:rPr>
            </w:pPr>
            <w:r>
              <w:rPr>
                <w:rFonts w:cs="Calibri Light"/>
                <w:b w:val="0"/>
                <w:bCs w:val="0"/>
                <w:sz w:val="20"/>
                <w:szCs w:val="20"/>
              </w:rPr>
              <w:t>(b)</w:t>
            </w:r>
            <w:r>
              <w:rPr>
                <w:rFonts w:cs="Calibri Light"/>
                <w:b w:val="0"/>
                <w:bCs w:val="0"/>
                <w:sz w:val="20"/>
                <w:szCs w:val="20"/>
              </w:rPr>
              <w:tab/>
            </w:r>
            <w:r w:rsidRPr="00CA2D6D">
              <w:rPr>
                <w:rFonts w:cs="Calibri Light"/>
                <w:b w:val="0"/>
                <w:bCs w:val="0"/>
                <w:sz w:val="20"/>
                <w:szCs w:val="20"/>
              </w:rPr>
              <w:t>disclose, for each affected quarterly period and the fourth quarter in the affected year</w:t>
            </w:r>
            <w:r>
              <w:rPr>
                <w:rFonts w:cs="Calibri Light"/>
                <w:b w:val="0"/>
                <w:bCs w:val="0"/>
                <w:sz w:val="20"/>
                <w:szCs w:val="20"/>
              </w:rPr>
              <w:t>:</w:t>
            </w:r>
          </w:p>
        </w:tc>
        <w:tc>
          <w:tcPr>
            <w:tcW w:w="1209" w:type="dxa"/>
            <w:gridSpan w:val="2"/>
            <w:tcBorders>
              <w:top w:val="single" w:sz="4" w:space="0" w:color="auto"/>
              <w:bottom w:val="single" w:sz="4" w:space="0" w:color="auto"/>
            </w:tcBorders>
            <w:vAlign w:val="bottom"/>
          </w:tcPr>
          <w:p w14:paraId="21F1506B"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1A6D6C3"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3889D207"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38354876" w14:textId="77777777" w:rsidTr="005F1EF5">
        <w:trPr>
          <w:gridBefore w:val="1"/>
          <w:wBefore w:w="17" w:type="dxa"/>
        </w:trPr>
        <w:tc>
          <w:tcPr>
            <w:tcW w:w="7483" w:type="dxa"/>
            <w:gridSpan w:val="2"/>
          </w:tcPr>
          <w:p w14:paraId="64B42BF6" w14:textId="561FBFD4" w:rsidR="008666DC" w:rsidRDefault="008666DC" w:rsidP="005F1EF5">
            <w:pPr>
              <w:pStyle w:val="FormTableHeaderRow"/>
              <w:ind w:left="1047" w:hanging="450"/>
              <w:rPr>
                <w:rFonts w:cs="Calibri Light"/>
                <w:sz w:val="20"/>
                <w:szCs w:val="20"/>
              </w:rPr>
            </w:pPr>
            <w:r>
              <w:rPr>
                <w:rFonts w:cs="Calibri Light"/>
                <w:b w:val="0"/>
                <w:bCs w:val="0"/>
                <w:sz w:val="20"/>
                <w:szCs w:val="20"/>
              </w:rPr>
              <w:t>(i)</w:t>
            </w:r>
            <w:r>
              <w:rPr>
                <w:rFonts w:cs="Calibri Light"/>
                <w:b w:val="0"/>
                <w:bCs w:val="0"/>
                <w:sz w:val="20"/>
                <w:szCs w:val="20"/>
              </w:rPr>
              <w:tab/>
            </w:r>
            <w:r w:rsidRPr="00CA2D6D">
              <w:rPr>
                <w:rFonts w:cs="Calibri Light"/>
                <w:b w:val="0"/>
                <w:bCs w:val="0"/>
                <w:sz w:val="20"/>
                <w:szCs w:val="20"/>
              </w:rPr>
              <w:t>summarized financial information related to the statements of comprehensive income as specified in Rule 1-02(bb)(1)(ii) of Regulation S-X and</w:t>
            </w:r>
          </w:p>
        </w:tc>
        <w:tc>
          <w:tcPr>
            <w:tcW w:w="1209" w:type="dxa"/>
            <w:gridSpan w:val="2"/>
            <w:tcBorders>
              <w:top w:val="single" w:sz="4" w:space="0" w:color="auto"/>
              <w:bottom w:val="single" w:sz="4" w:space="0" w:color="auto"/>
            </w:tcBorders>
            <w:vAlign w:val="bottom"/>
          </w:tcPr>
          <w:p w14:paraId="6F07700E"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B62B450"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4AC11D7"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536E3137" w14:textId="77777777" w:rsidTr="005F1EF5">
        <w:trPr>
          <w:gridBefore w:val="1"/>
          <w:wBefore w:w="17" w:type="dxa"/>
        </w:trPr>
        <w:tc>
          <w:tcPr>
            <w:tcW w:w="7483" w:type="dxa"/>
            <w:gridSpan w:val="2"/>
          </w:tcPr>
          <w:p w14:paraId="2618242A" w14:textId="6F0CF07A" w:rsidR="008666DC" w:rsidRDefault="005F1EF5" w:rsidP="005F1EF5">
            <w:pPr>
              <w:pStyle w:val="FormTableHeaderRow"/>
              <w:ind w:left="1047" w:hanging="450"/>
              <w:rPr>
                <w:rFonts w:cs="Calibri Light"/>
                <w:sz w:val="20"/>
                <w:szCs w:val="20"/>
              </w:rPr>
            </w:pPr>
            <w:r>
              <w:rPr>
                <w:rFonts w:cs="Calibri Light"/>
                <w:b w:val="0"/>
                <w:bCs w:val="0"/>
                <w:sz w:val="20"/>
                <w:szCs w:val="20"/>
              </w:rPr>
              <w:t>(ii)</w:t>
            </w:r>
            <w:r>
              <w:rPr>
                <w:rFonts w:cs="Calibri Light"/>
                <w:b w:val="0"/>
                <w:bCs w:val="0"/>
                <w:sz w:val="20"/>
                <w:szCs w:val="20"/>
              </w:rPr>
              <w:tab/>
            </w:r>
            <w:r w:rsidRPr="00CA2D6D">
              <w:rPr>
                <w:rFonts w:cs="Calibri Light"/>
                <w:b w:val="0"/>
                <w:bCs w:val="0"/>
                <w:sz w:val="20"/>
                <w:szCs w:val="20"/>
              </w:rPr>
              <w:t>earnings per share reflecting such changes.</w:t>
            </w:r>
          </w:p>
        </w:tc>
        <w:tc>
          <w:tcPr>
            <w:tcW w:w="1209" w:type="dxa"/>
            <w:gridSpan w:val="2"/>
            <w:tcBorders>
              <w:top w:val="single" w:sz="4" w:space="0" w:color="auto"/>
              <w:bottom w:val="single" w:sz="4" w:space="0" w:color="auto"/>
            </w:tcBorders>
            <w:vAlign w:val="bottom"/>
          </w:tcPr>
          <w:p w14:paraId="07302180"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C81CE7D"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ADB8AF1"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1DAE596" w14:textId="77777777" w:rsidTr="005F1EF5">
        <w:trPr>
          <w:gridBefore w:val="1"/>
          <w:wBefore w:w="17" w:type="dxa"/>
        </w:trPr>
        <w:tc>
          <w:tcPr>
            <w:tcW w:w="7483" w:type="dxa"/>
            <w:gridSpan w:val="2"/>
          </w:tcPr>
          <w:p w14:paraId="297E0F04" w14:textId="4ACECA13" w:rsidR="008666DC" w:rsidRPr="007B04B5" w:rsidRDefault="008666DC" w:rsidP="008666DC">
            <w:pPr>
              <w:pStyle w:val="FormTableHeaderRow"/>
              <w:rPr>
                <w:rFonts w:cs="Calibri Light"/>
                <w:b w:val="0"/>
                <w:bCs w:val="0"/>
                <w:sz w:val="20"/>
                <w:szCs w:val="20"/>
              </w:rPr>
            </w:pPr>
            <w:r w:rsidRPr="007B04B5">
              <w:rPr>
                <w:rFonts w:cs="Calibri Light"/>
                <w:b w:val="0"/>
                <w:bCs w:val="0"/>
                <w:sz w:val="20"/>
                <w:szCs w:val="20"/>
                <w:shd w:val="clear" w:color="auto" w:fill="FFFFFF"/>
              </w:rPr>
              <w:lastRenderedPageBreak/>
              <w:t>Note — Material retrospective changes may include, for example, a change in accounting principle in accordance with ASC 250 or a disposition of a business that is accounted for as a discontinued operation in accordance with ASC 205-20</w:t>
            </w:r>
            <w:r w:rsidRPr="007B04B5">
              <w:rPr>
                <w:rFonts w:cs="Calibri Light"/>
                <w:b w:val="0"/>
                <w:bCs w:val="0"/>
                <w:sz w:val="20"/>
                <w:szCs w:val="20"/>
              </w:rPr>
              <w:t xml:space="preserve">. </w:t>
            </w:r>
          </w:p>
        </w:tc>
        <w:tc>
          <w:tcPr>
            <w:tcW w:w="1209" w:type="dxa"/>
            <w:gridSpan w:val="2"/>
            <w:tcBorders>
              <w:top w:val="single" w:sz="4" w:space="0" w:color="auto"/>
            </w:tcBorders>
            <w:vAlign w:val="bottom"/>
          </w:tcPr>
          <w:p w14:paraId="6412C3C0"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EEC788A"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0D90D2B"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BBE986C" w14:textId="77777777" w:rsidTr="00CC36C1">
        <w:trPr>
          <w:gridBefore w:val="1"/>
          <w:wBefore w:w="17" w:type="dxa"/>
        </w:trPr>
        <w:tc>
          <w:tcPr>
            <w:tcW w:w="7483" w:type="dxa"/>
            <w:gridSpan w:val="2"/>
          </w:tcPr>
          <w:p w14:paraId="0AE51B18" w14:textId="3E08FA4F" w:rsidR="008666DC" w:rsidRPr="007B04B5" w:rsidRDefault="008666DC" w:rsidP="008666DC">
            <w:pPr>
              <w:pStyle w:val="FormTableHeaderRow"/>
              <w:rPr>
                <w:rFonts w:cs="Calibri Light"/>
                <w:b w:val="0"/>
                <w:bCs w:val="0"/>
                <w:sz w:val="20"/>
                <w:szCs w:val="20"/>
              </w:rPr>
            </w:pPr>
            <w:r w:rsidRPr="007B04B5">
              <w:rPr>
                <w:rFonts w:cs="Calibri Light"/>
                <w:b w:val="0"/>
                <w:bCs w:val="0"/>
                <w:sz w:val="20"/>
                <w:szCs w:val="20"/>
              </w:rPr>
              <w:t>The summarized financial information related to the statements of comprehensive income specified in Rule 1-02(bb)(1)(ii) of Regulation S-X are:</w:t>
            </w:r>
          </w:p>
        </w:tc>
        <w:tc>
          <w:tcPr>
            <w:tcW w:w="1209" w:type="dxa"/>
            <w:gridSpan w:val="2"/>
            <w:vAlign w:val="bottom"/>
          </w:tcPr>
          <w:p w14:paraId="124D1714"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27B05F3"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34A01125"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48600D1" w14:textId="77777777" w:rsidTr="00CC36C1">
        <w:trPr>
          <w:gridBefore w:val="1"/>
          <w:wBefore w:w="17" w:type="dxa"/>
        </w:trPr>
        <w:tc>
          <w:tcPr>
            <w:tcW w:w="7483" w:type="dxa"/>
            <w:gridSpan w:val="2"/>
          </w:tcPr>
          <w:p w14:paraId="45E7AFFD" w14:textId="797790D9" w:rsidR="008666DC" w:rsidRPr="007B04B5" w:rsidRDefault="008666DC" w:rsidP="008666DC">
            <w:pPr>
              <w:pStyle w:val="FormTableHeaderRow"/>
              <w:ind w:left="597" w:hanging="450"/>
              <w:rPr>
                <w:rFonts w:cs="Calibri Light"/>
                <w:b w:val="0"/>
                <w:bCs w:val="0"/>
                <w:sz w:val="20"/>
                <w:szCs w:val="20"/>
              </w:rPr>
            </w:pPr>
            <w:r w:rsidRPr="007B04B5">
              <w:rPr>
                <w:rFonts w:cs="Calibri Light"/>
                <w:b w:val="0"/>
                <w:bCs w:val="0"/>
                <w:sz w:val="20"/>
                <w:szCs w:val="20"/>
              </w:rPr>
              <w:t>(a)</w:t>
            </w:r>
            <w:r w:rsidRPr="007B04B5">
              <w:rPr>
                <w:rFonts w:cs="Calibri Light"/>
                <w:b w:val="0"/>
                <w:bCs w:val="0"/>
                <w:sz w:val="20"/>
                <w:szCs w:val="20"/>
              </w:rPr>
              <w:tab/>
              <w:t>Net sales or gross revenues</w:t>
            </w:r>
          </w:p>
        </w:tc>
        <w:tc>
          <w:tcPr>
            <w:tcW w:w="1209" w:type="dxa"/>
            <w:gridSpan w:val="2"/>
            <w:tcBorders>
              <w:bottom w:val="single" w:sz="4" w:space="0" w:color="auto"/>
            </w:tcBorders>
            <w:vAlign w:val="bottom"/>
          </w:tcPr>
          <w:p w14:paraId="64575DF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6BBC903"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6D1B1F20"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6E179CBB" w14:textId="77777777" w:rsidTr="00CC36C1">
        <w:trPr>
          <w:gridBefore w:val="1"/>
          <w:wBefore w:w="17" w:type="dxa"/>
        </w:trPr>
        <w:tc>
          <w:tcPr>
            <w:tcW w:w="7483" w:type="dxa"/>
            <w:gridSpan w:val="2"/>
          </w:tcPr>
          <w:p w14:paraId="66233B8C" w14:textId="26646117" w:rsidR="008666DC" w:rsidRPr="007B04B5" w:rsidRDefault="008666DC" w:rsidP="008666DC">
            <w:pPr>
              <w:pStyle w:val="FormTableHeaderRow"/>
              <w:ind w:left="597" w:hanging="450"/>
              <w:rPr>
                <w:rFonts w:cs="Calibri Light"/>
                <w:b w:val="0"/>
                <w:bCs w:val="0"/>
                <w:sz w:val="20"/>
                <w:szCs w:val="20"/>
              </w:rPr>
            </w:pPr>
            <w:r w:rsidRPr="007B04B5">
              <w:rPr>
                <w:rFonts w:cs="Calibri Light"/>
                <w:b w:val="0"/>
                <w:bCs w:val="0"/>
                <w:sz w:val="20"/>
                <w:szCs w:val="20"/>
              </w:rPr>
              <w:t>(b)</w:t>
            </w:r>
            <w:r w:rsidRPr="007B04B5">
              <w:rPr>
                <w:rFonts w:cs="Calibri Light"/>
                <w:b w:val="0"/>
                <w:bCs w:val="0"/>
                <w:sz w:val="20"/>
                <w:szCs w:val="20"/>
              </w:rPr>
              <w:tab/>
              <w:t>Gross profit (or, alternatively, costs and expenses applicable to net sales or gross revenues)</w:t>
            </w:r>
          </w:p>
        </w:tc>
        <w:tc>
          <w:tcPr>
            <w:tcW w:w="1209" w:type="dxa"/>
            <w:gridSpan w:val="2"/>
            <w:tcBorders>
              <w:top w:val="single" w:sz="4" w:space="0" w:color="auto"/>
              <w:bottom w:val="single" w:sz="4" w:space="0" w:color="auto"/>
            </w:tcBorders>
            <w:vAlign w:val="bottom"/>
          </w:tcPr>
          <w:p w14:paraId="70B05DD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90D2E91"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9C03755"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145B7CC" w14:textId="77777777" w:rsidTr="00CC36C1">
        <w:trPr>
          <w:gridBefore w:val="1"/>
          <w:wBefore w:w="17" w:type="dxa"/>
        </w:trPr>
        <w:tc>
          <w:tcPr>
            <w:tcW w:w="7483" w:type="dxa"/>
            <w:gridSpan w:val="2"/>
          </w:tcPr>
          <w:p w14:paraId="1AE49E82" w14:textId="73ED782F" w:rsidR="008666DC" w:rsidRPr="007B04B5" w:rsidRDefault="008666DC" w:rsidP="008666DC">
            <w:pPr>
              <w:pStyle w:val="FormTableHeaderRow"/>
              <w:ind w:left="597" w:hanging="450"/>
              <w:rPr>
                <w:rFonts w:cs="Calibri Light"/>
                <w:b w:val="0"/>
                <w:bCs w:val="0"/>
                <w:sz w:val="20"/>
                <w:szCs w:val="20"/>
              </w:rPr>
            </w:pPr>
            <w:r w:rsidRPr="007B04B5">
              <w:rPr>
                <w:rFonts w:cs="Calibri Light"/>
                <w:b w:val="0"/>
                <w:bCs w:val="0"/>
                <w:sz w:val="20"/>
                <w:szCs w:val="20"/>
              </w:rPr>
              <w:t>(c)</w:t>
            </w:r>
            <w:r w:rsidRPr="007B04B5">
              <w:rPr>
                <w:rFonts w:cs="Calibri Light"/>
                <w:b w:val="0"/>
                <w:bCs w:val="0"/>
                <w:sz w:val="20"/>
                <w:szCs w:val="20"/>
              </w:rPr>
              <w:tab/>
              <w:t>Income or loss from continuing operations</w:t>
            </w:r>
          </w:p>
        </w:tc>
        <w:tc>
          <w:tcPr>
            <w:tcW w:w="1209" w:type="dxa"/>
            <w:gridSpan w:val="2"/>
            <w:tcBorders>
              <w:top w:val="single" w:sz="4" w:space="0" w:color="auto"/>
              <w:bottom w:val="single" w:sz="4" w:space="0" w:color="auto"/>
            </w:tcBorders>
            <w:vAlign w:val="bottom"/>
          </w:tcPr>
          <w:p w14:paraId="4FA19C58"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5F7C1E0"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CD5630E"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5C07FC4" w14:textId="77777777" w:rsidTr="00CC36C1">
        <w:trPr>
          <w:gridBefore w:val="1"/>
          <w:wBefore w:w="17" w:type="dxa"/>
        </w:trPr>
        <w:tc>
          <w:tcPr>
            <w:tcW w:w="7483" w:type="dxa"/>
            <w:gridSpan w:val="2"/>
          </w:tcPr>
          <w:p w14:paraId="63DA24DF" w14:textId="78289231" w:rsidR="008666DC" w:rsidRPr="007B04B5" w:rsidRDefault="008666DC" w:rsidP="008666DC">
            <w:pPr>
              <w:pStyle w:val="FormTableHeaderRow"/>
              <w:ind w:left="597" w:hanging="450"/>
              <w:rPr>
                <w:rFonts w:cs="Calibri Light"/>
                <w:b w:val="0"/>
                <w:bCs w:val="0"/>
                <w:sz w:val="20"/>
                <w:szCs w:val="20"/>
              </w:rPr>
            </w:pPr>
            <w:r w:rsidRPr="007B04B5">
              <w:rPr>
                <w:rFonts w:cs="Calibri Light"/>
                <w:b w:val="0"/>
                <w:bCs w:val="0"/>
                <w:sz w:val="20"/>
                <w:szCs w:val="20"/>
              </w:rPr>
              <w:t>(d)</w:t>
            </w:r>
            <w:r w:rsidRPr="007B04B5">
              <w:rPr>
                <w:rFonts w:cs="Calibri Light"/>
                <w:b w:val="0"/>
                <w:bCs w:val="0"/>
                <w:sz w:val="20"/>
                <w:szCs w:val="20"/>
              </w:rPr>
              <w:tab/>
              <w:t>Net income or loss</w:t>
            </w:r>
          </w:p>
        </w:tc>
        <w:tc>
          <w:tcPr>
            <w:tcW w:w="1209" w:type="dxa"/>
            <w:gridSpan w:val="2"/>
            <w:tcBorders>
              <w:top w:val="single" w:sz="4" w:space="0" w:color="auto"/>
              <w:bottom w:val="single" w:sz="4" w:space="0" w:color="auto"/>
            </w:tcBorders>
            <w:vAlign w:val="bottom"/>
          </w:tcPr>
          <w:p w14:paraId="42C55BC6"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85E8FD3"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EC063C6"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336148F0" w14:textId="77777777" w:rsidTr="00CC36C1">
        <w:trPr>
          <w:gridBefore w:val="1"/>
          <w:wBefore w:w="17" w:type="dxa"/>
        </w:trPr>
        <w:tc>
          <w:tcPr>
            <w:tcW w:w="7483" w:type="dxa"/>
            <w:gridSpan w:val="2"/>
          </w:tcPr>
          <w:p w14:paraId="6F1097A3" w14:textId="477D4A07" w:rsidR="008666DC" w:rsidRPr="007B04B5" w:rsidRDefault="008666DC" w:rsidP="008666DC">
            <w:pPr>
              <w:pStyle w:val="FormTableHeaderRow"/>
              <w:ind w:left="597" w:hanging="450"/>
              <w:rPr>
                <w:rFonts w:cs="Calibri Light"/>
                <w:b w:val="0"/>
                <w:bCs w:val="0"/>
                <w:sz w:val="20"/>
                <w:szCs w:val="20"/>
              </w:rPr>
            </w:pPr>
            <w:r w:rsidRPr="007B04B5">
              <w:rPr>
                <w:rFonts w:cs="Calibri Light"/>
                <w:b w:val="0"/>
                <w:bCs w:val="0"/>
                <w:sz w:val="20"/>
                <w:szCs w:val="20"/>
              </w:rPr>
              <w:t>(e)</w:t>
            </w:r>
            <w:r w:rsidRPr="007B04B5">
              <w:rPr>
                <w:rFonts w:cs="Calibri Light"/>
                <w:b w:val="0"/>
                <w:bCs w:val="0"/>
                <w:sz w:val="20"/>
                <w:szCs w:val="20"/>
              </w:rPr>
              <w:tab/>
              <w:t xml:space="preserve"> Net income or loss attributable to the entity</w:t>
            </w:r>
          </w:p>
        </w:tc>
        <w:tc>
          <w:tcPr>
            <w:tcW w:w="1209" w:type="dxa"/>
            <w:gridSpan w:val="2"/>
            <w:tcBorders>
              <w:top w:val="single" w:sz="4" w:space="0" w:color="auto"/>
              <w:bottom w:val="single" w:sz="4" w:space="0" w:color="auto"/>
            </w:tcBorders>
            <w:vAlign w:val="bottom"/>
          </w:tcPr>
          <w:p w14:paraId="6A964DA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32E451B"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11DE830"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185D98C" w14:textId="77777777" w:rsidTr="00CC36C1">
        <w:trPr>
          <w:gridBefore w:val="1"/>
          <w:wBefore w:w="17" w:type="dxa"/>
        </w:trPr>
        <w:tc>
          <w:tcPr>
            <w:tcW w:w="7483" w:type="dxa"/>
            <w:gridSpan w:val="2"/>
          </w:tcPr>
          <w:p w14:paraId="42B144DD" w14:textId="545EBF84" w:rsidR="008666DC" w:rsidRPr="007B04B5" w:rsidRDefault="008666DC" w:rsidP="008666DC">
            <w:pPr>
              <w:pStyle w:val="FormTableHeaderRow"/>
              <w:ind w:left="235" w:hanging="235"/>
              <w:rPr>
                <w:rFonts w:cs="Calibri Light"/>
                <w:b w:val="0"/>
                <w:bCs w:val="0"/>
                <w:sz w:val="20"/>
                <w:szCs w:val="20"/>
              </w:rPr>
            </w:pPr>
            <w:r w:rsidRPr="007B04B5">
              <w:rPr>
                <w:rFonts w:cs="Calibri Light"/>
                <w:b w:val="0"/>
                <w:bCs w:val="0"/>
                <w:sz w:val="20"/>
                <w:szCs w:val="20"/>
              </w:rPr>
              <w:t>1.</w:t>
            </w:r>
            <w:r w:rsidRPr="007B04B5">
              <w:rPr>
                <w:rFonts w:cs="Calibri Light"/>
                <w:b w:val="0"/>
                <w:bCs w:val="0"/>
                <w:sz w:val="20"/>
                <w:szCs w:val="20"/>
              </w:rPr>
              <w:tab/>
            </w:r>
            <w:r w:rsidRPr="007B04B5">
              <w:rPr>
                <w:rFonts w:cs="Calibri Light"/>
                <w:b w:val="0"/>
                <w:bCs w:val="0"/>
                <w:sz w:val="20"/>
                <w:szCs w:val="20"/>
                <w:shd w:val="clear" w:color="auto" w:fill="FFFFFF"/>
              </w:rPr>
              <w:t>If the financial statements to which this information relates have been reported on by an accountant, appropriate professional standards and procedures, as enumerated in Auditing Standards issued by the Public Company Accounting Oversight Board (“PCAOB”), shall be followed by the reporting accountant with regard to the disclosure required by this paragraph (a).</w:t>
            </w:r>
            <w:r w:rsidRPr="007B04B5" w:rsidDel="00C931C5">
              <w:rPr>
                <w:rFonts w:cs="Calibri Light"/>
                <w:b w:val="0"/>
                <w:bCs w:val="0"/>
                <w:sz w:val="20"/>
                <w:szCs w:val="20"/>
              </w:rPr>
              <w:t xml:space="preserve"> </w:t>
            </w:r>
          </w:p>
        </w:tc>
        <w:tc>
          <w:tcPr>
            <w:tcW w:w="1209" w:type="dxa"/>
            <w:gridSpan w:val="2"/>
            <w:tcBorders>
              <w:top w:val="single" w:sz="4" w:space="0" w:color="auto"/>
            </w:tcBorders>
            <w:vAlign w:val="bottom"/>
          </w:tcPr>
          <w:p w14:paraId="25ABB3D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71F42FB"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5596509"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089E4A0" w14:textId="77777777" w:rsidTr="00CC36C1">
        <w:trPr>
          <w:gridBefore w:val="1"/>
          <w:wBefore w:w="17" w:type="dxa"/>
        </w:trPr>
        <w:tc>
          <w:tcPr>
            <w:tcW w:w="7483" w:type="dxa"/>
            <w:gridSpan w:val="2"/>
          </w:tcPr>
          <w:p w14:paraId="26F78A15" w14:textId="51E616A0" w:rsidR="008666DC" w:rsidRPr="007B04B5" w:rsidRDefault="008666DC" w:rsidP="008666DC">
            <w:pPr>
              <w:pStyle w:val="FormTableHeaderRow"/>
              <w:ind w:left="235" w:hanging="235"/>
              <w:rPr>
                <w:rFonts w:cs="Calibri Light"/>
                <w:b w:val="0"/>
                <w:bCs w:val="0"/>
                <w:sz w:val="20"/>
                <w:szCs w:val="20"/>
              </w:rPr>
            </w:pPr>
            <w:r w:rsidRPr="007B04B5">
              <w:rPr>
                <w:rFonts w:cs="Calibri Light"/>
                <w:b w:val="0"/>
                <w:bCs w:val="0"/>
                <w:sz w:val="20"/>
                <w:szCs w:val="20"/>
              </w:rPr>
              <w:t>2.</w:t>
            </w:r>
            <w:r w:rsidRPr="007B04B5">
              <w:rPr>
                <w:rFonts w:cs="Calibri Light"/>
                <w:b w:val="0"/>
                <w:bCs w:val="0"/>
                <w:sz w:val="20"/>
                <w:szCs w:val="20"/>
              </w:rPr>
              <w:tab/>
            </w:r>
            <w:r w:rsidRPr="007B04B5">
              <w:rPr>
                <w:rFonts w:cs="Calibri Light"/>
                <w:b w:val="0"/>
                <w:bCs w:val="0"/>
                <w:sz w:val="20"/>
                <w:szCs w:val="20"/>
                <w:shd w:val="clear" w:color="auto" w:fill="FFFFFF"/>
              </w:rPr>
              <w:t>This paragraph (a) applies to any registrant, except a foreign private issuer, that has securities registered pursuant to sections 12(b) (15 U.S.C. 78l(b)) (other than mutual life insurance companies) or 12(g) of the Exchange Act (15 U.S.C. 78l(g)) after the registrant's initial registration of securities under these sections.</w:t>
            </w:r>
            <w:r w:rsidRPr="007B04B5" w:rsidDel="00ED5A31">
              <w:rPr>
                <w:rFonts w:cs="Calibri Light"/>
                <w:b w:val="0"/>
                <w:bCs w:val="0"/>
                <w:sz w:val="20"/>
                <w:szCs w:val="20"/>
              </w:rPr>
              <w:t xml:space="preserve"> </w:t>
            </w:r>
          </w:p>
        </w:tc>
        <w:tc>
          <w:tcPr>
            <w:tcW w:w="1209" w:type="dxa"/>
            <w:gridSpan w:val="2"/>
            <w:vAlign w:val="bottom"/>
          </w:tcPr>
          <w:p w14:paraId="01790047"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A0C638F"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68542E87"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551B079A" w14:textId="77777777" w:rsidTr="00CC36C1">
        <w:trPr>
          <w:gridBefore w:val="1"/>
          <w:wBefore w:w="17" w:type="dxa"/>
        </w:trPr>
        <w:tc>
          <w:tcPr>
            <w:tcW w:w="7483" w:type="dxa"/>
            <w:gridSpan w:val="2"/>
          </w:tcPr>
          <w:p w14:paraId="09D38324" w14:textId="77777777" w:rsidR="008666DC" w:rsidRPr="004005A4" w:rsidRDefault="008666DC" w:rsidP="008666DC">
            <w:pPr>
              <w:pStyle w:val="FormTableHeaderRow"/>
              <w:rPr>
                <w:rFonts w:cs="Calibri Light"/>
                <w:bCs w:val="0"/>
                <w:sz w:val="20"/>
                <w:szCs w:val="20"/>
              </w:rPr>
            </w:pPr>
            <w:bookmarkStart w:id="46" w:name="_Item_302(b)—Information_About"/>
            <w:bookmarkEnd w:id="46"/>
            <w:r w:rsidRPr="004005A4">
              <w:rPr>
                <w:rFonts w:cs="Calibri Light"/>
                <w:sz w:val="20"/>
                <w:szCs w:val="20"/>
              </w:rPr>
              <w:t>Item 302(b) — Information About Oil And Gas Producing Activities.</w:t>
            </w:r>
          </w:p>
        </w:tc>
        <w:tc>
          <w:tcPr>
            <w:tcW w:w="1209" w:type="dxa"/>
            <w:gridSpan w:val="2"/>
            <w:tcBorders>
              <w:top w:val="single" w:sz="4" w:space="0" w:color="auto"/>
            </w:tcBorders>
            <w:vAlign w:val="bottom"/>
          </w:tcPr>
          <w:p w14:paraId="125AC0A4" w14:textId="77777777" w:rsidR="008666DC" w:rsidRPr="004005A4" w:rsidRDefault="008666DC" w:rsidP="008666DC">
            <w:pPr>
              <w:pStyle w:val="levela"/>
              <w:keepNext/>
              <w:spacing w:before="120" w:after="120" w:line="240" w:lineRule="atLeast"/>
              <w:jc w:val="center"/>
              <w:rPr>
                <w:rFonts w:cs="Calibri Light"/>
                <w:b/>
                <w:sz w:val="20"/>
                <w:szCs w:val="20"/>
              </w:rPr>
            </w:pPr>
          </w:p>
        </w:tc>
        <w:tc>
          <w:tcPr>
            <w:tcW w:w="236" w:type="dxa"/>
            <w:gridSpan w:val="3"/>
            <w:vAlign w:val="bottom"/>
          </w:tcPr>
          <w:p w14:paraId="3E9D0EC6" w14:textId="77777777" w:rsidR="008666DC" w:rsidRPr="004005A4" w:rsidRDefault="008666DC" w:rsidP="008666DC">
            <w:pPr>
              <w:pStyle w:val="levela"/>
              <w:keepNext/>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A4C8870" w14:textId="77777777" w:rsidR="008666DC" w:rsidRPr="004005A4" w:rsidRDefault="008666DC" w:rsidP="008666DC">
            <w:pPr>
              <w:pStyle w:val="levela"/>
              <w:keepNext/>
              <w:spacing w:before="120" w:after="120" w:line="240" w:lineRule="atLeast"/>
              <w:jc w:val="center"/>
              <w:rPr>
                <w:rFonts w:cs="Calibri Light"/>
                <w:b/>
                <w:sz w:val="20"/>
                <w:szCs w:val="20"/>
              </w:rPr>
            </w:pPr>
          </w:p>
        </w:tc>
      </w:tr>
      <w:tr w:rsidR="008666DC" w:rsidRPr="004005A4" w14:paraId="6A4DA6A2" w14:textId="77777777" w:rsidTr="00CC36C1">
        <w:trPr>
          <w:gridBefore w:val="1"/>
          <w:wBefore w:w="17" w:type="dxa"/>
        </w:trPr>
        <w:tc>
          <w:tcPr>
            <w:tcW w:w="7483" w:type="dxa"/>
            <w:gridSpan w:val="2"/>
          </w:tcPr>
          <w:p w14:paraId="08FF93C3" w14:textId="7EFC38E3" w:rsidR="008666DC" w:rsidRPr="004005A4" w:rsidRDefault="008666DC" w:rsidP="008666DC">
            <w:pPr>
              <w:pStyle w:val="standard"/>
              <w:spacing w:before="120" w:after="120" w:line="240" w:lineRule="atLeast"/>
              <w:rPr>
                <w:rFonts w:cs="Calibri Light"/>
                <w:sz w:val="20"/>
                <w:szCs w:val="20"/>
              </w:rPr>
            </w:pPr>
            <w:r w:rsidRPr="004005A4">
              <w:rPr>
                <w:rFonts w:cs="Calibri Light"/>
                <w:sz w:val="20"/>
                <w:szCs w:val="20"/>
              </w:rPr>
              <w:t xml:space="preserve">See Rule 4-10.  Also see FRR Section 406, SAB Topic 12 and </w:t>
            </w:r>
            <w:r>
              <w:rPr>
                <w:rFonts w:cs="Calibri Light"/>
                <w:sz w:val="20"/>
                <w:szCs w:val="20"/>
              </w:rPr>
              <w:t>the</w:t>
            </w:r>
            <w:r w:rsidRPr="004005A4">
              <w:rPr>
                <w:rFonts w:cs="Calibri Light"/>
                <w:sz w:val="20"/>
                <w:szCs w:val="20"/>
              </w:rPr>
              <w:t xml:space="preserve"> </w:t>
            </w:r>
            <w:r w:rsidRPr="004005A4">
              <w:rPr>
                <w:rFonts w:cs="Calibri Light"/>
                <w:i/>
                <w:sz w:val="20"/>
                <w:szCs w:val="20"/>
              </w:rPr>
              <w:t>SEC Compliance Checklist — Supplement for Oil and Gas Producing Activities</w:t>
            </w:r>
            <w:r w:rsidRPr="004005A4">
              <w:rPr>
                <w:rFonts w:cs="Calibri Light"/>
                <w:sz w:val="20"/>
                <w:szCs w:val="20"/>
              </w:rPr>
              <w:t>.</w:t>
            </w:r>
          </w:p>
        </w:tc>
        <w:tc>
          <w:tcPr>
            <w:tcW w:w="1209" w:type="dxa"/>
            <w:gridSpan w:val="2"/>
            <w:vAlign w:val="bottom"/>
          </w:tcPr>
          <w:p w14:paraId="4FD45A22"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092B055"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36836886"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DA4B358" w14:textId="77777777" w:rsidTr="00CC36C1">
        <w:trPr>
          <w:gridBefore w:val="1"/>
          <w:wBefore w:w="17" w:type="dxa"/>
        </w:trPr>
        <w:tc>
          <w:tcPr>
            <w:tcW w:w="7483" w:type="dxa"/>
            <w:gridSpan w:val="2"/>
          </w:tcPr>
          <w:p w14:paraId="6C20F1CB" w14:textId="25C961C8" w:rsidR="008666DC" w:rsidRPr="004005A4" w:rsidRDefault="008666DC" w:rsidP="008666DC">
            <w:pPr>
              <w:pStyle w:val="level2"/>
              <w:tabs>
                <w:tab w:val="clear" w:pos="576"/>
                <w:tab w:val="clear" w:pos="1152"/>
              </w:tabs>
              <w:spacing w:after="120" w:line="240" w:lineRule="atLeast"/>
              <w:ind w:left="0" w:firstLine="0"/>
              <w:rPr>
                <w:rFonts w:cs="Calibri Light"/>
                <w:sz w:val="20"/>
                <w:szCs w:val="20"/>
              </w:rPr>
            </w:pPr>
            <w:r w:rsidRPr="00393BE9">
              <w:rPr>
                <w:rFonts w:cs="Calibri Light"/>
                <w:b/>
                <w:bCs/>
                <w:sz w:val="20"/>
                <w:szCs w:val="20"/>
              </w:rPr>
              <w:t>I</w:t>
            </w:r>
            <w:bookmarkStart w:id="47" w:name="item_303"/>
            <w:bookmarkEnd w:id="47"/>
            <w:r w:rsidRPr="00393BE9">
              <w:rPr>
                <w:rFonts w:cs="Calibri Light"/>
                <w:b/>
                <w:bCs/>
                <w:sz w:val="20"/>
                <w:szCs w:val="20"/>
              </w:rPr>
              <w:t>tem 303 — Management’s Discussion and Analysis of Financial Condition and Results of Operations.</w:t>
            </w:r>
          </w:p>
        </w:tc>
        <w:tc>
          <w:tcPr>
            <w:tcW w:w="1209" w:type="dxa"/>
            <w:gridSpan w:val="2"/>
            <w:tcBorders>
              <w:top w:val="single" w:sz="4" w:space="0" w:color="auto"/>
              <w:bottom w:val="single" w:sz="4" w:space="0" w:color="auto"/>
            </w:tcBorders>
            <w:vAlign w:val="bottom"/>
          </w:tcPr>
          <w:p w14:paraId="46E8F667"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241986B"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9813A41"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98D978C" w14:textId="77777777" w:rsidTr="00CC36C1">
        <w:trPr>
          <w:gridBefore w:val="1"/>
          <w:wBefore w:w="17" w:type="dxa"/>
        </w:trPr>
        <w:tc>
          <w:tcPr>
            <w:tcW w:w="7483" w:type="dxa"/>
            <w:gridSpan w:val="2"/>
          </w:tcPr>
          <w:p w14:paraId="7A8CC55B" w14:textId="3F2E0325" w:rsidR="008666DC" w:rsidRPr="00393BE9" w:rsidRDefault="008666DC" w:rsidP="008666DC">
            <w:pPr>
              <w:pStyle w:val="level2"/>
              <w:numPr>
                <w:ilvl w:val="5"/>
                <w:numId w:val="28"/>
              </w:numPr>
              <w:tabs>
                <w:tab w:val="clear" w:pos="576"/>
                <w:tab w:val="clear" w:pos="1152"/>
                <w:tab w:val="clear" w:pos="1728"/>
              </w:tabs>
              <w:spacing w:after="120" w:line="240" w:lineRule="atLeast"/>
              <w:ind w:left="507" w:hanging="507"/>
              <w:rPr>
                <w:rFonts w:cs="Calibri Light"/>
                <w:b/>
                <w:bCs/>
                <w:sz w:val="20"/>
                <w:szCs w:val="20"/>
              </w:rPr>
            </w:pPr>
            <w:r w:rsidRPr="004005A4">
              <w:rPr>
                <w:rFonts w:cs="Calibri Light"/>
                <w:i/>
                <w:iCs/>
                <w:sz w:val="20"/>
                <w:szCs w:val="20"/>
              </w:rPr>
              <w:t>Objective</w:t>
            </w:r>
            <w:r>
              <w:rPr>
                <w:rFonts w:cs="Calibri Light"/>
                <w:i/>
                <w:iCs/>
                <w:sz w:val="20"/>
                <w:szCs w:val="20"/>
              </w:rPr>
              <w:t>.</w:t>
            </w:r>
            <w:r>
              <w:rPr>
                <w:rFonts w:cs="Calibri Light"/>
                <w:sz w:val="20"/>
                <w:szCs w:val="20"/>
              </w:rPr>
              <w:t xml:space="preserve"> </w:t>
            </w:r>
            <w:r w:rsidRPr="00D64FA3">
              <w:rPr>
                <w:rFonts w:cs="Calibri Light"/>
                <w:sz w:val="20"/>
                <w:szCs w:val="20"/>
              </w:rPr>
              <w:t xml:space="preserve">The objective of the discussion and analysis is to provide material information relevant to an assessment of the financial condition and results of operations of the registrant including an evaluation of the amounts and certainty of cash flows from operations and from outside sources. The discussion and analysis must focus specifically on material events and uncertainties known to management that are reasonably likely to cause reported financial information not to be necessarily indicative of future operating results or of future financial condition. This includes descriptions and amounts of matters that have had a material impact on reported operations, as well as matters that are reasonably likely based on management's assessment to have a material impact on future operations. The </w:t>
            </w:r>
            <w:r w:rsidRPr="00D64FA3">
              <w:rPr>
                <w:rFonts w:cs="Calibri Light"/>
                <w:sz w:val="20"/>
                <w:szCs w:val="20"/>
              </w:rPr>
              <w:lastRenderedPageBreak/>
              <w:t>discussion and analysis must be of the financial statements and other statistical data that the registrant believes will enhance a reader's understanding of the registrant's financial condition, cash flows and other changes in financial condition and results of operations. A discussion and analysis that meets the requirements of this paragraph (a) is expected to better allow investors to view the registrant from management's perspective.</w:t>
            </w:r>
          </w:p>
        </w:tc>
        <w:tc>
          <w:tcPr>
            <w:tcW w:w="1209" w:type="dxa"/>
            <w:gridSpan w:val="2"/>
            <w:tcBorders>
              <w:top w:val="single" w:sz="4" w:space="0" w:color="auto"/>
              <w:bottom w:val="single" w:sz="4" w:space="0" w:color="auto"/>
            </w:tcBorders>
            <w:vAlign w:val="bottom"/>
          </w:tcPr>
          <w:p w14:paraId="057C1AB7"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5198C44"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026BF81"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175A6BA" w14:textId="77777777" w:rsidTr="00CC36C1">
        <w:trPr>
          <w:gridBefore w:val="1"/>
          <w:wBefore w:w="17" w:type="dxa"/>
        </w:trPr>
        <w:tc>
          <w:tcPr>
            <w:tcW w:w="7483" w:type="dxa"/>
            <w:gridSpan w:val="2"/>
          </w:tcPr>
          <w:p w14:paraId="00FD55DB" w14:textId="2D1C582D" w:rsidR="008666DC" w:rsidRPr="002C79DA" w:rsidRDefault="008666DC" w:rsidP="008666DC">
            <w:pPr>
              <w:pStyle w:val="level2"/>
              <w:numPr>
                <w:ilvl w:val="5"/>
                <w:numId w:val="28"/>
              </w:numPr>
              <w:tabs>
                <w:tab w:val="clear" w:pos="576"/>
                <w:tab w:val="clear" w:pos="1152"/>
                <w:tab w:val="clear" w:pos="1728"/>
              </w:tabs>
              <w:spacing w:after="120" w:line="240" w:lineRule="atLeast"/>
              <w:ind w:left="507" w:hanging="507"/>
              <w:rPr>
                <w:rFonts w:cs="Calibri Light"/>
                <w:sz w:val="20"/>
                <w:szCs w:val="20"/>
              </w:rPr>
            </w:pPr>
            <w:r w:rsidRPr="004D0CA1">
              <w:rPr>
                <w:rFonts w:cs="Calibri Light"/>
                <w:i/>
                <w:iCs/>
                <w:sz w:val="20"/>
                <w:szCs w:val="20"/>
              </w:rPr>
              <w:t>Full fiscal years.</w:t>
            </w:r>
            <w:r w:rsidRPr="002C79DA">
              <w:rPr>
                <w:rFonts w:cs="Calibri Light"/>
                <w:sz w:val="20"/>
                <w:szCs w:val="20"/>
              </w:rPr>
              <w:t xml:space="preserve"> The discussion of financial condition, changes in financial condition and results of operations must provide information as specified in paragraphs Regulation S-K Item 303(b)(1) through (3) and such other information that the registrant believes to be necessary to an understanding of its financial condition, changes in financial condition and results of operations. Where the financial statements reflect material changes from period-to-period in one or more line items, including where material changes within a line item offset one another, describe the underlying reasons for these material changes in quantitative and qualitative terms. Where in the registrant's judgment a discussion of segment information and/or of other subdivisions (e.g., geographic areas, product lines) of the registrant's business would be necessary to an understanding of such business, the discussion must focus on each relevant reportable segment and/or other subdivision of the business and on the registrant as a whole.</w:t>
            </w:r>
          </w:p>
          <w:p w14:paraId="17EC6B5A" w14:textId="7345A554" w:rsidR="008666DC" w:rsidRPr="00393BE9" w:rsidRDefault="008666DC" w:rsidP="008666DC">
            <w:pPr>
              <w:pStyle w:val="level2"/>
              <w:tabs>
                <w:tab w:val="clear" w:pos="576"/>
                <w:tab w:val="clear" w:pos="1152"/>
              </w:tabs>
              <w:spacing w:after="120" w:line="240" w:lineRule="atLeast"/>
              <w:ind w:left="957" w:hanging="450"/>
              <w:rPr>
                <w:rFonts w:cs="Calibri Light"/>
                <w:b/>
                <w:bCs/>
                <w:sz w:val="20"/>
                <w:szCs w:val="20"/>
              </w:rPr>
            </w:pPr>
            <w:r w:rsidRPr="002C79DA">
              <w:rPr>
                <w:rFonts w:cs="Calibri Light"/>
                <w:sz w:val="20"/>
                <w:szCs w:val="20"/>
              </w:rPr>
              <w:t>(1)</w:t>
            </w:r>
            <w:r w:rsidRPr="002C79DA">
              <w:rPr>
                <w:rFonts w:cs="Calibri Light"/>
                <w:sz w:val="20"/>
                <w:szCs w:val="20"/>
              </w:rPr>
              <w:tab/>
            </w:r>
            <w:r w:rsidRPr="004D0CA1">
              <w:rPr>
                <w:rFonts w:cs="Calibri Light"/>
                <w:i/>
                <w:iCs/>
                <w:sz w:val="20"/>
                <w:szCs w:val="20"/>
              </w:rPr>
              <w:t>Liquidity and Capital Resources</w:t>
            </w:r>
            <w:r w:rsidRPr="002C79DA">
              <w:rPr>
                <w:rFonts w:cs="Calibri Light"/>
                <w:sz w:val="20"/>
                <w:szCs w:val="20"/>
              </w:rPr>
              <w:t>. — Analyze the registrant's ability to generate and obtain adequate amounts of cash to meet its requirements and its plans for cash in the short-term (i.e., the next 12 months from the most recent fiscal period end required to be presented) and separately in the long-term (i.e., beyond the next 12 months). The discussion should analyze material cash requirements from known contractual and other obligations. Such disclosures must specify the type of obligation and the relevant time period for the related cash requirements. As part of this analysis, provide the information in Regulation S-K Item 303(b)(1)(i) and (ii).</w:t>
            </w:r>
          </w:p>
        </w:tc>
        <w:tc>
          <w:tcPr>
            <w:tcW w:w="1209" w:type="dxa"/>
            <w:gridSpan w:val="2"/>
            <w:tcBorders>
              <w:top w:val="single" w:sz="4" w:space="0" w:color="auto"/>
              <w:bottom w:val="single" w:sz="4" w:space="0" w:color="auto"/>
            </w:tcBorders>
            <w:vAlign w:val="bottom"/>
          </w:tcPr>
          <w:p w14:paraId="63DF0EDF"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F4A5D2C"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2E54ADB"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CD55210" w14:textId="77777777" w:rsidTr="00CC36C1">
        <w:trPr>
          <w:gridBefore w:val="1"/>
          <w:wBefore w:w="17" w:type="dxa"/>
        </w:trPr>
        <w:tc>
          <w:tcPr>
            <w:tcW w:w="7483" w:type="dxa"/>
            <w:gridSpan w:val="2"/>
          </w:tcPr>
          <w:p w14:paraId="735F1ACF" w14:textId="4C92E470" w:rsidR="008666DC" w:rsidRPr="00393BE9" w:rsidRDefault="008666DC" w:rsidP="00587378">
            <w:pPr>
              <w:pStyle w:val="level2"/>
              <w:numPr>
                <w:ilvl w:val="1"/>
                <w:numId w:val="105"/>
              </w:numPr>
              <w:tabs>
                <w:tab w:val="clear" w:pos="576"/>
                <w:tab w:val="clear" w:pos="1152"/>
                <w:tab w:val="clear" w:pos="1728"/>
              </w:tabs>
              <w:spacing w:after="120" w:line="240" w:lineRule="atLeast"/>
              <w:ind w:left="1315" w:hanging="360"/>
              <w:rPr>
                <w:rFonts w:cs="Calibri Light"/>
                <w:b/>
                <w:bCs/>
                <w:sz w:val="20"/>
                <w:szCs w:val="20"/>
              </w:rPr>
            </w:pPr>
            <w:r w:rsidRPr="00FE2089">
              <w:rPr>
                <w:rFonts w:cs="Calibri Light"/>
                <w:i/>
                <w:iCs/>
                <w:sz w:val="20"/>
                <w:szCs w:val="20"/>
              </w:rPr>
              <w:t>Liquidity</w:t>
            </w:r>
            <w:r>
              <w:rPr>
                <w:rFonts w:cs="Calibri Light"/>
                <w:sz w:val="20"/>
                <w:szCs w:val="20"/>
              </w:rPr>
              <w:t xml:space="preserve">.  </w:t>
            </w:r>
            <w:r w:rsidRPr="00BC2603">
              <w:rPr>
                <w:rFonts w:cs="Calibri Light"/>
                <w:sz w:val="20"/>
                <w:szCs w:val="20"/>
              </w:rPr>
              <w:t>Identify any known trends or any known demands, commitments, events or uncertainties that will result in or that are reasonably likely to result in the registrant's liquidity increasing or decreasing in any material way. If a material deficiency is identified, indicate the course of action that the registrant has taken or proposes to take to remedy the deficiency. Also identify and separately describe internal and external sources of liquidity, and briefly discuss any material unused sources of liquid assets</w:t>
            </w:r>
          </w:p>
        </w:tc>
        <w:tc>
          <w:tcPr>
            <w:tcW w:w="1209" w:type="dxa"/>
            <w:gridSpan w:val="2"/>
            <w:tcBorders>
              <w:top w:val="single" w:sz="4" w:space="0" w:color="auto"/>
              <w:bottom w:val="single" w:sz="4" w:space="0" w:color="auto"/>
            </w:tcBorders>
            <w:vAlign w:val="bottom"/>
          </w:tcPr>
          <w:p w14:paraId="22946B6A"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2E990DC"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567091C"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6970B45E" w14:textId="77777777" w:rsidTr="00CC36C1">
        <w:trPr>
          <w:gridBefore w:val="1"/>
          <w:wBefore w:w="17" w:type="dxa"/>
        </w:trPr>
        <w:tc>
          <w:tcPr>
            <w:tcW w:w="7483" w:type="dxa"/>
            <w:gridSpan w:val="2"/>
          </w:tcPr>
          <w:p w14:paraId="087EC253" w14:textId="77777777" w:rsidR="008666DC" w:rsidRPr="00C21275" w:rsidRDefault="008666DC" w:rsidP="008666DC">
            <w:pPr>
              <w:pStyle w:val="level2"/>
              <w:ind w:left="1315" w:hanging="360"/>
              <w:rPr>
                <w:rFonts w:cs="Calibri Light"/>
                <w:i/>
                <w:iCs/>
                <w:sz w:val="20"/>
                <w:szCs w:val="20"/>
              </w:rPr>
            </w:pPr>
            <w:r w:rsidRPr="00587378">
              <w:rPr>
                <w:rFonts w:cs="Calibri Light"/>
                <w:sz w:val="20"/>
                <w:szCs w:val="20"/>
              </w:rPr>
              <w:t>(ii)</w:t>
            </w:r>
            <w:r w:rsidRPr="002B3BF8">
              <w:rPr>
                <w:rFonts w:cs="Calibri Light"/>
                <w:i/>
                <w:iCs/>
                <w:sz w:val="20"/>
                <w:szCs w:val="20"/>
              </w:rPr>
              <w:tab/>
            </w:r>
            <w:r w:rsidRPr="00B93BDC">
              <w:rPr>
                <w:rFonts w:cs="Calibri Light"/>
                <w:i/>
                <w:iCs/>
                <w:sz w:val="20"/>
                <w:szCs w:val="20"/>
              </w:rPr>
              <w:t>Capital re</w:t>
            </w:r>
            <w:r>
              <w:rPr>
                <w:rFonts w:cs="Calibri Light"/>
                <w:i/>
                <w:iCs/>
                <w:sz w:val="20"/>
                <w:szCs w:val="20"/>
              </w:rPr>
              <w:t>s</w:t>
            </w:r>
            <w:r w:rsidRPr="00B93BDC">
              <w:rPr>
                <w:rFonts w:cs="Calibri Light"/>
                <w:i/>
                <w:iCs/>
                <w:sz w:val="20"/>
                <w:szCs w:val="20"/>
              </w:rPr>
              <w:t>ources</w:t>
            </w:r>
          </w:p>
        </w:tc>
        <w:tc>
          <w:tcPr>
            <w:tcW w:w="1209" w:type="dxa"/>
            <w:gridSpan w:val="2"/>
            <w:tcBorders>
              <w:top w:val="single" w:sz="4" w:space="0" w:color="auto"/>
              <w:bottom w:val="single" w:sz="4" w:space="0" w:color="auto"/>
            </w:tcBorders>
            <w:vAlign w:val="bottom"/>
          </w:tcPr>
          <w:p w14:paraId="01F18DF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AE03631"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68BBA22"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C040DF2" w14:textId="77777777" w:rsidTr="00CC36C1">
        <w:trPr>
          <w:gridBefore w:val="1"/>
          <w:wBefore w:w="17" w:type="dxa"/>
        </w:trPr>
        <w:tc>
          <w:tcPr>
            <w:tcW w:w="7483" w:type="dxa"/>
            <w:gridSpan w:val="2"/>
          </w:tcPr>
          <w:p w14:paraId="23C46A78" w14:textId="77777777" w:rsidR="008666DC" w:rsidRPr="002B3BF8" w:rsidRDefault="008666DC" w:rsidP="00587378">
            <w:pPr>
              <w:pStyle w:val="level2"/>
              <w:ind w:left="1675" w:hanging="360"/>
              <w:rPr>
                <w:rFonts w:cs="Calibri Light"/>
                <w:i/>
                <w:iCs/>
                <w:sz w:val="20"/>
                <w:szCs w:val="20"/>
              </w:rPr>
            </w:pPr>
            <w:r w:rsidRPr="00587378">
              <w:rPr>
                <w:rFonts w:cs="Calibri Light"/>
                <w:sz w:val="20"/>
                <w:szCs w:val="20"/>
              </w:rPr>
              <w:t>(A)</w:t>
            </w:r>
            <w:r w:rsidRPr="002B3BF8">
              <w:rPr>
                <w:rFonts w:cs="Calibri Light"/>
                <w:i/>
                <w:iCs/>
                <w:sz w:val="20"/>
                <w:szCs w:val="20"/>
              </w:rPr>
              <w:tab/>
              <w:t>Describe the registrant's material cash requirements, including commitments for capital expenditures, as of the end of the latest fiscal period, the anticipated source of funds needed to satisfy such cash requirements and the general purpose of such requirements.</w:t>
            </w:r>
          </w:p>
        </w:tc>
        <w:tc>
          <w:tcPr>
            <w:tcW w:w="1209" w:type="dxa"/>
            <w:gridSpan w:val="2"/>
            <w:tcBorders>
              <w:top w:val="single" w:sz="4" w:space="0" w:color="auto"/>
              <w:bottom w:val="single" w:sz="4" w:space="0" w:color="auto"/>
            </w:tcBorders>
            <w:vAlign w:val="bottom"/>
          </w:tcPr>
          <w:p w14:paraId="41353BC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2435EB8"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D95845F"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B0C2DD6" w14:textId="77777777" w:rsidTr="00CC36C1">
        <w:trPr>
          <w:gridBefore w:val="1"/>
          <w:wBefore w:w="17" w:type="dxa"/>
        </w:trPr>
        <w:tc>
          <w:tcPr>
            <w:tcW w:w="7483" w:type="dxa"/>
            <w:gridSpan w:val="2"/>
          </w:tcPr>
          <w:p w14:paraId="5297EA29" w14:textId="2F79F886" w:rsidR="008666DC" w:rsidRPr="002B3BF8" w:rsidRDefault="008666DC" w:rsidP="00587378">
            <w:pPr>
              <w:pStyle w:val="level2"/>
              <w:ind w:left="1675" w:hanging="360"/>
              <w:rPr>
                <w:rFonts w:cs="Calibri Light"/>
                <w:i/>
                <w:iCs/>
                <w:sz w:val="20"/>
                <w:szCs w:val="20"/>
              </w:rPr>
            </w:pPr>
            <w:r w:rsidRPr="00587378">
              <w:rPr>
                <w:rFonts w:cs="Calibri Light"/>
                <w:sz w:val="20"/>
                <w:szCs w:val="20"/>
              </w:rPr>
              <w:lastRenderedPageBreak/>
              <w:t>(B)</w:t>
            </w:r>
            <w:r w:rsidRPr="002B3BF8">
              <w:rPr>
                <w:rFonts w:cs="Calibri Light"/>
                <w:i/>
                <w:iCs/>
                <w:sz w:val="20"/>
                <w:szCs w:val="20"/>
              </w:rPr>
              <w:t xml:space="preserve"> </w:t>
            </w:r>
            <w:r>
              <w:rPr>
                <w:rFonts w:cs="Calibri Light"/>
                <w:i/>
                <w:iCs/>
                <w:sz w:val="20"/>
                <w:szCs w:val="20"/>
              </w:rPr>
              <w:tab/>
            </w:r>
            <w:r w:rsidRPr="002B3BF8">
              <w:rPr>
                <w:rFonts w:cs="Calibri Light"/>
                <w:i/>
                <w:iCs/>
                <w:sz w:val="20"/>
                <w:szCs w:val="20"/>
              </w:rPr>
              <w:t>Describe any known material trends, favorable or unfavorable, in the registrant's capital resources. Indicate any reasonably likely material changes in the mix and relative cost of such resources. The discussion must consider changes among equity, debt, and any off-balance sheet financing arrangements.</w:t>
            </w:r>
          </w:p>
        </w:tc>
        <w:tc>
          <w:tcPr>
            <w:tcW w:w="1209" w:type="dxa"/>
            <w:gridSpan w:val="2"/>
            <w:tcBorders>
              <w:top w:val="single" w:sz="4" w:space="0" w:color="auto"/>
              <w:bottom w:val="single" w:sz="4" w:space="0" w:color="auto"/>
            </w:tcBorders>
            <w:vAlign w:val="bottom"/>
          </w:tcPr>
          <w:p w14:paraId="28FEFA4B"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8D4C917"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63359E2"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601D11" w14:paraId="784061C1" w14:textId="77777777" w:rsidTr="00587378">
        <w:trPr>
          <w:gridBefore w:val="1"/>
          <w:wBefore w:w="17" w:type="dxa"/>
        </w:trPr>
        <w:tc>
          <w:tcPr>
            <w:tcW w:w="7483" w:type="dxa"/>
            <w:gridSpan w:val="2"/>
          </w:tcPr>
          <w:p w14:paraId="4EE14AE8" w14:textId="1CA62B83" w:rsidR="008666DC" w:rsidRPr="00F06276" w:rsidRDefault="008666DC" w:rsidP="008666DC">
            <w:pPr>
              <w:pStyle w:val="level2"/>
              <w:tabs>
                <w:tab w:val="clear" w:pos="576"/>
                <w:tab w:val="clear" w:pos="1152"/>
              </w:tabs>
              <w:spacing w:after="120" w:line="240" w:lineRule="atLeast"/>
              <w:ind w:left="957" w:hanging="450"/>
              <w:rPr>
                <w:rFonts w:cs="Calibri Light"/>
                <w:i/>
                <w:iCs/>
                <w:sz w:val="20"/>
                <w:szCs w:val="20"/>
              </w:rPr>
            </w:pPr>
            <w:r>
              <w:rPr>
                <w:rFonts w:cs="Calibri Light"/>
                <w:sz w:val="20"/>
                <w:szCs w:val="20"/>
              </w:rPr>
              <w:t xml:space="preserve">(2) </w:t>
            </w:r>
            <w:r>
              <w:tab/>
            </w:r>
            <w:r w:rsidRPr="00F06276">
              <w:rPr>
                <w:rFonts w:cs="Calibri Light"/>
                <w:i/>
                <w:iCs/>
                <w:sz w:val="20"/>
                <w:szCs w:val="20"/>
              </w:rPr>
              <w:t>Results of Operations —</w:t>
            </w:r>
          </w:p>
          <w:p w14:paraId="646A78C5" w14:textId="1158C3BB" w:rsidR="008666DC" w:rsidRPr="00601D11" w:rsidRDefault="008666DC" w:rsidP="008666DC">
            <w:pPr>
              <w:pStyle w:val="ListParagraph"/>
              <w:numPr>
                <w:ilvl w:val="0"/>
                <w:numId w:val="139"/>
              </w:numPr>
              <w:shd w:val="clear" w:color="auto" w:fill="FFFFFF"/>
              <w:spacing w:before="240" w:line="240" w:lineRule="atLeast"/>
              <w:ind w:left="1407" w:hanging="521"/>
              <w:contextualSpacing w:val="0"/>
              <w:rPr>
                <w:rFonts w:cs="Calibri Light"/>
                <w:sz w:val="20"/>
                <w:szCs w:val="20"/>
              </w:rPr>
            </w:pPr>
            <w:r w:rsidRPr="00BC2603">
              <w:rPr>
                <w:rFonts w:cs="Calibri Light"/>
                <w:sz w:val="20"/>
                <w:szCs w:val="20"/>
              </w:rPr>
              <w:t>Describe any unusual or infrequent events or transactions or any significant economic changes that materially affected the amount of reported income from continuing operations and, in each case, indicate the extent to which income was so affected. In addition, describe any other significant components of revenues or expenses that, in the registrant's judgment, would be material to an understanding of the registrant's results of operations</w:t>
            </w:r>
            <w:r>
              <w:rPr>
                <w:rFonts w:cs="Calibri Light"/>
                <w:sz w:val="20"/>
                <w:szCs w:val="20"/>
              </w:rPr>
              <w:t>.</w:t>
            </w:r>
          </w:p>
        </w:tc>
        <w:tc>
          <w:tcPr>
            <w:tcW w:w="1209" w:type="dxa"/>
            <w:gridSpan w:val="2"/>
            <w:tcBorders>
              <w:top w:val="single" w:sz="4" w:space="0" w:color="auto"/>
              <w:bottom w:val="single" w:sz="4" w:space="0" w:color="auto"/>
            </w:tcBorders>
            <w:vAlign w:val="bottom"/>
          </w:tcPr>
          <w:p w14:paraId="63A81B4B" w14:textId="77777777" w:rsidR="008666DC" w:rsidRPr="00601D11"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432C0482" w14:textId="77777777" w:rsidR="008666DC" w:rsidRPr="00601D11"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0AB5B729" w14:textId="77777777" w:rsidR="008666DC" w:rsidRPr="00601D11" w:rsidRDefault="008666DC" w:rsidP="008666DC">
            <w:pPr>
              <w:pStyle w:val="levela"/>
              <w:spacing w:before="120" w:after="120" w:line="240" w:lineRule="atLeast"/>
              <w:jc w:val="center"/>
              <w:rPr>
                <w:rFonts w:cs="Calibri Light"/>
                <w:sz w:val="20"/>
                <w:szCs w:val="20"/>
              </w:rPr>
            </w:pPr>
          </w:p>
        </w:tc>
      </w:tr>
      <w:tr w:rsidR="008666DC" w:rsidRPr="00601D11" w14:paraId="4EC64A71" w14:textId="77777777" w:rsidTr="00587378">
        <w:trPr>
          <w:gridBefore w:val="1"/>
          <w:wBefore w:w="17" w:type="dxa"/>
        </w:trPr>
        <w:tc>
          <w:tcPr>
            <w:tcW w:w="7483" w:type="dxa"/>
            <w:gridSpan w:val="2"/>
          </w:tcPr>
          <w:p w14:paraId="0AFFC1E7" w14:textId="6333735C" w:rsidR="008666DC" w:rsidRPr="00601D11" w:rsidRDefault="008666DC" w:rsidP="008666DC">
            <w:pPr>
              <w:pStyle w:val="ListParagraph"/>
              <w:numPr>
                <w:ilvl w:val="0"/>
                <w:numId w:val="139"/>
              </w:numPr>
              <w:shd w:val="clear" w:color="auto" w:fill="FFFFFF"/>
              <w:spacing w:before="240" w:line="240" w:lineRule="atLeast"/>
              <w:ind w:left="1407" w:hanging="521"/>
              <w:contextualSpacing w:val="0"/>
              <w:rPr>
                <w:rFonts w:cs="Calibri Light"/>
                <w:sz w:val="20"/>
                <w:szCs w:val="20"/>
              </w:rPr>
            </w:pPr>
            <w:r>
              <w:rPr>
                <w:rFonts w:cs="Calibri Light"/>
                <w:sz w:val="20"/>
                <w:szCs w:val="20"/>
              </w:rPr>
              <w:t xml:space="preserve">Describe </w:t>
            </w:r>
            <w:r w:rsidRPr="00BC2603">
              <w:rPr>
                <w:rFonts w:cs="Calibri Light"/>
                <w:sz w:val="20"/>
                <w:szCs w:val="20"/>
              </w:rPr>
              <w:t>any known trends or uncertainties that have had or that are reasonably likely to have a material favorable or unfavorable impact on net sales or revenues or income from continuing operations. If the registrant knows of events that are reasonably likely to cause a material change in the relationship between costs and revenues (such as known or reasonably likely future increases in costs of labor or materials or price increases or inventory adjustments), the change in the relationship must be disclosed.</w:t>
            </w:r>
          </w:p>
        </w:tc>
        <w:tc>
          <w:tcPr>
            <w:tcW w:w="1209" w:type="dxa"/>
            <w:gridSpan w:val="2"/>
            <w:tcBorders>
              <w:top w:val="single" w:sz="4" w:space="0" w:color="auto"/>
              <w:bottom w:val="single" w:sz="4" w:space="0" w:color="auto"/>
            </w:tcBorders>
            <w:vAlign w:val="bottom"/>
          </w:tcPr>
          <w:p w14:paraId="10BE6511" w14:textId="77777777" w:rsidR="008666DC" w:rsidRPr="00601D11"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73380A76" w14:textId="77777777" w:rsidR="008666DC" w:rsidRPr="00601D11"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47F64BC9" w14:textId="77777777" w:rsidR="008666DC" w:rsidRPr="00601D11" w:rsidRDefault="008666DC" w:rsidP="008666DC">
            <w:pPr>
              <w:pStyle w:val="levela"/>
              <w:spacing w:before="120" w:after="120" w:line="240" w:lineRule="atLeast"/>
              <w:jc w:val="center"/>
              <w:rPr>
                <w:rFonts w:cs="Calibri Light"/>
                <w:sz w:val="20"/>
                <w:szCs w:val="20"/>
              </w:rPr>
            </w:pPr>
          </w:p>
        </w:tc>
      </w:tr>
      <w:tr w:rsidR="008666DC" w:rsidRPr="00601D11" w14:paraId="5A745100" w14:textId="77777777" w:rsidTr="00587378">
        <w:trPr>
          <w:gridBefore w:val="1"/>
          <w:wBefore w:w="17" w:type="dxa"/>
        </w:trPr>
        <w:tc>
          <w:tcPr>
            <w:tcW w:w="7483" w:type="dxa"/>
            <w:gridSpan w:val="2"/>
          </w:tcPr>
          <w:p w14:paraId="527C0C79" w14:textId="1EA5928E" w:rsidR="008666DC" w:rsidRPr="00601D11" w:rsidRDefault="008666DC" w:rsidP="008666DC">
            <w:pPr>
              <w:pStyle w:val="ListParagraph"/>
              <w:numPr>
                <w:ilvl w:val="0"/>
                <w:numId w:val="139"/>
              </w:numPr>
              <w:shd w:val="clear" w:color="auto" w:fill="FFFFFF"/>
              <w:spacing w:before="240" w:line="240" w:lineRule="atLeast"/>
              <w:ind w:left="1407" w:hanging="521"/>
              <w:contextualSpacing w:val="0"/>
              <w:rPr>
                <w:rFonts w:cs="Calibri Light"/>
                <w:sz w:val="20"/>
                <w:szCs w:val="20"/>
              </w:rPr>
            </w:pPr>
            <w:r w:rsidRPr="00BC2603">
              <w:rPr>
                <w:rFonts w:cs="Calibri Light"/>
                <w:sz w:val="20"/>
                <w:szCs w:val="20"/>
              </w:rPr>
              <w:t>If the statement of comprehensive income presents material changes from period to period in net sales or revenue, if applicable, describe the extent to which such changes are attributable to changes in prices or to changes in the volume or amount of goods or services being sold or to the introduction of new products or services.</w:t>
            </w:r>
          </w:p>
        </w:tc>
        <w:tc>
          <w:tcPr>
            <w:tcW w:w="1209" w:type="dxa"/>
            <w:gridSpan w:val="2"/>
            <w:tcBorders>
              <w:top w:val="single" w:sz="4" w:space="0" w:color="auto"/>
              <w:bottom w:val="single" w:sz="4" w:space="0" w:color="auto"/>
            </w:tcBorders>
            <w:vAlign w:val="bottom"/>
          </w:tcPr>
          <w:p w14:paraId="7BF76308" w14:textId="77777777" w:rsidR="008666DC" w:rsidRPr="00601D11"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5C9F2B62" w14:textId="77777777" w:rsidR="008666DC" w:rsidRPr="00601D11"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615023A5" w14:textId="77777777" w:rsidR="008666DC" w:rsidRPr="00601D11" w:rsidRDefault="008666DC" w:rsidP="008666DC">
            <w:pPr>
              <w:pStyle w:val="levela"/>
              <w:spacing w:before="120" w:after="120" w:line="240" w:lineRule="atLeast"/>
              <w:jc w:val="center"/>
              <w:rPr>
                <w:rFonts w:cs="Calibri Light"/>
                <w:sz w:val="20"/>
                <w:szCs w:val="20"/>
              </w:rPr>
            </w:pPr>
          </w:p>
        </w:tc>
      </w:tr>
      <w:tr w:rsidR="008666DC" w:rsidRPr="00601D11" w14:paraId="5A28E3CA" w14:textId="77777777" w:rsidTr="00587378">
        <w:trPr>
          <w:gridBefore w:val="1"/>
          <w:wBefore w:w="17" w:type="dxa"/>
        </w:trPr>
        <w:tc>
          <w:tcPr>
            <w:tcW w:w="7483" w:type="dxa"/>
            <w:gridSpan w:val="2"/>
          </w:tcPr>
          <w:p w14:paraId="46F3C530" w14:textId="0021C809" w:rsidR="008666DC" w:rsidRPr="00C76042" w:rsidRDefault="008666DC" w:rsidP="008666DC">
            <w:pPr>
              <w:pStyle w:val="level2"/>
              <w:numPr>
                <w:ilvl w:val="1"/>
                <w:numId w:val="28"/>
              </w:numPr>
              <w:tabs>
                <w:tab w:val="clear" w:pos="576"/>
                <w:tab w:val="clear" w:pos="1152"/>
              </w:tabs>
              <w:spacing w:after="120" w:line="240" w:lineRule="atLeast"/>
              <w:ind w:left="957" w:hanging="450"/>
              <w:rPr>
                <w:rFonts w:cs="Calibri Light"/>
                <w:sz w:val="20"/>
                <w:szCs w:val="20"/>
              </w:rPr>
            </w:pPr>
            <w:r w:rsidRPr="00BC4FEB">
              <w:rPr>
                <w:rFonts w:cs="Calibri Light"/>
                <w:i/>
                <w:iCs/>
                <w:sz w:val="20"/>
                <w:szCs w:val="20"/>
              </w:rPr>
              <w:t>Critical</w:t>
            </w:r>
            <w:r w:rsidRPr="00C76042">
              <w:rPr>
                <w:rFonts w:cs="Calibri Light"/>
                <w:i/>
                <w:iCs/>
                <w:color w:val="auto"/>
                <w:sz w:val="20"/>
                <w:szCs w:val="20"/>
                <w:shd w:val="clear" w:color="auto" w:fill="FFFFFF"/>
              </w:rPr>
              <w:t xml:space="preserve"> Accounting Estimates</w:t>
            </w:r>
            <w:r>
              <w:rPr>
                <w:rFonts w:cs="Calibri Light"/>
                <w:color w:val="auto"/>
                <w:sz w:val="20"/>
                <w:szCs w:val="20"/>
              </w:rPr>
              <w:t xml:space="preserve">.  </w:t>
            </w:r>
            <w:r w:rsidRPr="00C76042">
              <w:rPr>
                <w:rFonts w:cs="Calibri Light"/>
                <w:sz w:val="20"/>
                <w:szCs w:val="20"/>
              </w:rPr>
              <w:t xml:space="preserve">Critical accounting estimates are those estimates made in accordance with generally accepted accounting principles that involve a significant level of estimation uncertainty and have had or are reasonably likely to have a material impact on the financial condition or results of operations of the registrant. </w:t>
            </w:r>
          </w:p>
          <w:p w14:paraId="10E08F3E" w14:textId="77777777" w:rsidR="008666DC" w:rsidRDefault="008666DC" w:rsidP="008666DC">
            <w:pPr>
              <w:shd w:val="clear" w:color="auto" w:fill="FFFFFF"/>
              <w:spacing w:before="120" w:after="120" w:line="240" w:lineRule="atLeast"/>
              <w:ind w:left="957"/>
              <w:rPr>
                <w:rFonts w:cs="Calibri Light"/>
                <w:sz w:val="20"/>
                <w:szCs w:val="20"/>
              </w:rPr>
            </w:pPr>
            <w:r w:rsidRPr="00EC7AE0">
              <w:rPr>
                <w:rFonts w:cs="Calibri Light"/>
                <w:sz w:val="20"/>
                <w:szCs w:val="20"/>
              </w:rPr>
              <w:t xml:space="preserve">Provide qualitative and quantitative information necessary to understand the estimation uncertainty and the impact the critical accounting estimate has had or is reasonably likely to have on financial condition or results of operations to the extent the information is material and reasonably available. </w:t>
            </w:r>
          </w:p>
          <w:p w14:paraId="11E3F7F8" w14:textId="7D6C6706" w:rsidR="008666DC" w:rsidRDefault="008666DC" w:rsidP="008666DC">
            <w:pPr>
              <w:shd w:val="clear" w:color="auto" w:fill="FFFFFF"/>
              <w:tabs>
                <w:tab w:val="left" w:pos="322"/>
              </w:tabs>
              <w:spacing w:before="120" w:after="120" w:line="240" w:lineRule="atLeast"/>
              <w:ind w:firstLine="957"/>
              <w:rPr>
                <w:rFonts w:cs="Calibri Light"/>
                <w:sz w:val="20"/>
                <w:szCs w:val="20"/>
              </w:rPr>
            </w:pPr>
            <w:r w:rsidRPr="00EC7AE0">
              <w:rPr>
                <w:rFonts w:cs="Calibri Light"/>
                <w:sz w:val="20"/>
                <w:szCs w:val="20"/>
              </w:rPr>
              <w:t>This information should include</w:t>
            </w:r>
            <w:r>
              <w:rPr>
                <w:rFonts w:cs="Calibri Light"/>
                <w:sz w:val="20"/>
                <w:szCs w:val="20"/>
              </w:rPr>
              <w:t>:</w:t>
            </w:r>
          </w:p>
          <w:p w14:paraId="1707C166" w14:textId="71ACB2A4" w:rsidR="008666DC" w:rsidRPr="00601D11" w:rsidRDefault="008666DC" w:rsidP="008666DC">
            <w:pPr>
              <w:pStyle w:val="level2"/>
              <w:numPr>
                <w:ilvl w:val="0"/>
                <w:numId w:val="141"/>
              </w:numPr>
              <w:tabs>
                <w:tab w:val="clear" w:pos="576"/>
                <w:tab w:val="clear" w:pos="1152"/>
                <w:tab w:val="clear" w:pos="1728"/>
                <w:tab w:val="left" w:pos="1407"/>
              </w:tabs>
              <w:spacing w:after="120" w:line="240" w:lineRule="atLeast"/>
              <w:ind w:firstLine="237"/>
              <w:rPr>
                <w:rFonts w:cs="Calibri Light"/>
                <w:sz w:val="20"/>
                <w:szCs w:val="20"/>
              </w:rPr>
            </w:pPr>
            <w:r>
              <w:rPr>
                <w:rFonts w:cs="Calibri Light"/>
                <w:sz w:val="20"/>
                <w:szCs w:val="20"/>
              </w:rPr>
              <w:t>W</w:t>
            </w:r>
            <w:r w:rsidRPr="00A56C94">
              <w:rPr>
                <w:rFonts w:cs="Calibri Light"/>
                <w:sz w:val="20"/>
                <w:szCs w:val="20"/>
              </w:rPr>
              <w:t>hy each critical accounting estimate is subject to uncertainty and,</w:t>
            </w:r>
            <w:r w:rsidRPr="00D93285">
              <w:rPr>
                <w:rFonts w:cs="Calibri Light"/>
                <w:sz w:val="20"/>
                <w:szCs w:val="20"/>
              </w:rPr>
              <w:t>.</w:t>
            </w:r>
          </w:p>
        </w:tc>
        <w:tc>
          <w:tcPr>
            <w:tcW w:w="1209" w:type="dxa"/>
            <w:gridSpan w:val="2"/>
            <w:tcBorders>
              <w:top w:val="single" w:sz="4" w:space="0" w:color="auto"/>
              <w:bottom w:val="single" w:sz="4" w:space="0" w:color="auto"/>
            </w:tcBorders>
            <w:vAlign w:val="bottom"/>
          </w:tcPr>
          <w:p w14:paraId="1F932299" w14:textId="77777777" w:rsidR="008666DC" w:rsidRPr="00601D11"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6AA3186D" w14:textId="77777777" w:rsidR="008666DC" w:rsidRPr="00601D11"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0DED0D6E" w14:textId="77777777" w:rsidR="008666DC" w:rsidRPr="00601D11" w:rsidRDefault="008666DC" w:rsidP="008666DC">
            <w:pPr>
              <w:pStyle w:val="levela"/>
              <w:spacing w:before="120" w:after="120" w:line="240" w:lineRule="atLeast"/>
              <w:jc w:val="center"/>
              <w:rPr>
                <w:rFonts w:cs="Calibri Light"/>
                <w:sz w:val="20"/>
                <w:szCs w:val="20"/>
              </w:rPr>
            </w:pPr>
          </w:p>
        </w:tc>
      </w:tr>
      <w:tr w:rsidR="008666DC" w:rsidRPr="00601D11" w14:paraId="0AC66DEB" w14:textId="77777777" w:rsidTr="00587378">
        <w:trPr>
          <w:gridBefore w:val="1"/>
          <w:wBefore w:w="17" w:type="dxa"/>
        </w:trPr>
        <w:tc>
          <w:tcPr>
            <w:tcW w:w="7483" w:type="dxa"/>
            <w:gridSpan w:val="2"/>
          </w:tcPr>
          <w:p w14:paraId="318F9A62" w14:textId="3B44767A" w:rsidR="008666DC" w:rsidRPr="00601D11" w:rsidRDefault="008666DC" w:rsidP="008666DC">
            <w:pPr>
              <w:pStyle w:val="level2"/>
              <w:numPr>
                <w:ilvl w:val="0"/>
                <w:numId w:val="141"/>
              </w:numPr>
              <w:tabs>
                <w:tab w:val="clear" w:pos="576"/>
                <w:tab w:val="clear" w:pos="1152"/>
              </w:tabs>
              <w:spacing w:after="120" w:line="240" w:lineRule="atLeast"/>
              <w:ind w:left="1407" w:hanging="450"/>
              <w:rPr>
                <w:rFonts w:cs="Calibri Light"/>
                <w:sz w:val="20"/>
                <w:szCs w:val="20"/>
              </w:rPr>
            </w:pPr>
            <w:r>
              <w:rPr>
                <w:rFonts w:cs="Calibri Light"/>
                <w:sz w:val="20"/>
                <w:szCs w:val="20"/>
              </w:rPr>
              <w:t>T</w:t>
            </w:r>
            <w:r w:rsidRPr="00A56C94">
              <w:rPr>
                <w:rFonts w:cs="Calibri Light"/>
                <w:sz w:val="20"/>
                <w:szCs w:val="20"/>
              </w:rPr>
              <w:t>o the extent the information is material and reasonably available, how much each estimate and/or assumption has changed over a relevant period, and</w:t>
            </w:r>
          </w:p>
        </w:tc>
        <w:tc>
          <w:tcPr>
            <w:tcW w:w="1209" w:type="dxa"/>
            <w:gridSpan w:val="2"/>
            <w:tcBorders>
              <w:top w:val="single" w:sz="4" w:space="0" w:color="auto"/>
              <w:bottom w:val="single" w:sz="4" w:space="0" w:color="auto"/>
            </w:tcBorders>
            <w:vAlign w:val="bottom"/>
          </w:tcPr>
          <w:p w14:paraId="6D2281CF" w14:textId="77777777" w:rsidR="008666DC" w:rsidRPr="00601D11"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5FDAC4BA" w14:textId="77777777" w:rsidR="008666DC" w:rsidRPr="00601D11"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66BA0E60" w14:textId="77777777" w:rsidR="008666DC" w:rsidRPr="00601D11" w:rsidRDefault="008666DC" w:rsidP="008666DC">
            <w:pPr>
              <w:pStyle w:val="levela"/>
              <w:spacing w:before="120" w:after="120" w:line="240" w:lineRule="atLeast"/>
              <w:jc w:val="center"/>
              <w:rPr>
                <w:rFonts w:cs="Calibri Light"/>
                <w:sz w:val="20"/>
                <w:szCs w:val="20"/>
              </w:rPr>
            </w:pPr>
          </w:p>
        </w:tc>
      </w:tr>
      <w:tr w:rsidR="008666DC" w:rsidRPr="00601D11" w14:paraId="6425A0CE" w14:textId="77777777" w:rsidTr="00587378">
        <w:trPr>
          <w:gridBefore w:val="1"/>
          <w:wBefore w:w="17" w:type="dxa"/>
        </w:trPr>
        <w:tc>
          <w:tcPr>
            <w:tcW w:w="7483" w:type="dxa"/>
            <w:gridSpan w:val="2"/>
          </w:tcPr>
          <w:p w14:paraId="5417CB76" w14:textId="38548A17" w:rsidR="008666DC" w:rsidRPr="00601D11" w:rsidRDefault="008666DC" w:rsidP="008666DC">
            <w:pPr>
              <w:pStyle w:val="level2"/>
              <w:numPr>
                <w:ilvl w:val="0"/>
                <w:numId w:val="141"/>
              </w:numPr>
              <w:tabs>
                <w:tab w:val="clear" w:pos="576"/>
                <w:tab w:val="clear" w:pos="1152"/>
              </w:tabs>
              <w:spacing w:after="120" w:line="240" w:lineRule="atLeast"/>
              <w:ind w:left="1407" w:hanging="450"/>
              <w:rPr>
                <w:rFonts w:cs="Calibri Light"/>
                <w:sz w:val="20"/>
                <w:szCs w:val="20"/>
              </w:rPr>
            </w:pPr>
            <w:r>
              <w:rPr>
                <w:rFonts w:cs="Calibri Light"/>
                <w:sz w:val="20"/>
                <w:szCs w:val="20"/>
              </w:rPr>
              <w:lastRenderedPageBreak/>
              <w:t>T</w:t>
            </w:r>
            <w:r w:rsidRPr="00A56C94">
              <w:rPr>
                <w:rFonts w:cs="Calibri Light"/>
                <w:sz w:val="20"/>
                <w:szCs w:val="20"/>
              </w:rPr>
              <w:t>he sensitivity of the reported amount to the methods, assumptions and estimates underlying its calculation.</w:t>
            </w:r>
          </w:p>
        </w:tc>
        <w:tc>
          <w:tcPr>
            <w:tcW w:w="1209" w:type="dxa"/>
            <w:gridSpan w:val="2"/>
            <w:tcBorders>
              <w:top w:val="single" w:sz="4" w:space="0" w:color="auto"/>
              <w:bottom w:val="single" w:sz="4" w:space="0" w:color="auto"/>
            </w:tcBorders>
            <w:vAlign w:val="bottom"/>
          </w:tcPr>
          <w:p w14:paraId="2FE54443" w14:textId="77777777" w:rsidR="008666DC" w:rsidRPr="00601D11"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09788261" w14:textId="77777777" w:rsidR="008666DC" w:rsidRPr="00601D11"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6F2E7404" w14:textId="77777777" w:rsidR="008666DC" w:rsidRPr="00601D11" w:rsidRDefault="008666DC" w:rsidP="008666DC">
            <w:pPr>
              <w:pStyle w:val="levela"/>
              <w:spacing w:before="120" w:after="120" w:line="240" w:lineRule="atLeast"/>
              <w:jc w:val="center"/>
              <w:rPr>
                <w:rFonts w:cs="Calibri Light"/>
                <w:sz w:val="20"/>
                <w:szCs w:val="20"/>
              </w:rPr>
            </w:pPr>
          </w:p>
        </w:tc>
      </w:tr>
      <w:tr w:rsidR="008666DC" w:rsidRPr="00601D11" w14:paraId="0C8DD825" w14:textId="77777777" w:rsidTr="00587378">
        <w:trPr>
          <w:gridBefore w:val="1"/>
          <w:wBefore w:w="17" w:type="dxa"/>
        </w:trPr>
        <w:tc>
          <w:tcPr>
            <w:tcW w:w="7483" w:type="dxa"/>
            <w:gridSpan w:val="2"/>
          </w:tcPr>
          <w:p w14:paraId="0EE61CAF" w14:textId="77777777" w:rsidR="008666DC" w:rsidRDefault="008666DC" w:rsidP="008666DC">
            <w:pPr>
              <w:shd w:val="clear" w:color="auto" w:fill="FFFFFF"/>
              <w:spacing w:before="120" w:after="120" w:line="240" w:lineRule="atLeast"/>
              <w:rPr>
                <w:rFonts w:cs="Calibri Light"/>
                <w:sz w:val="20"/>
                <w:szCs w:val="20"/>
              </w:rPr>
            </w:pPr>
            <w:r w:rsidRPr="002D1B0F">
              <w:rPr>
                <w:rFonts w:cs="Calibri Light"/>
                <w:sz w:val="20"/>
                <w:szCs w:val="20"/>
              </w:rPr>
              <w:t xml:space="preserve">Instructions to paragraph (b): </w:t>
            </w:r>
          </w:p>
          <w:p w14:paraId="073AF94C" w14:textId="2CE7118F" w:rsidR="008666DC" w:rsidRPr="00601D11"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sidRPr="002D1B0F">
              <w:rPr>
                <w:rFonts w:cs="Calibri Light"/>
                <w:sz w:val="20"/>
                <w:szCs w:val="20"/>
              </w:rPr>
              <w:t xml:space="preserve">1. </w:t>
            </w:r>
            <w:r>
              <w:rPr>
                <w:rFonts w:cs="Calibri Light"/>
                <w:sz w:val="20"/>
                <w:szCs w:val="20"/>
              </w:rPr>
              <w:tab/>
            </w:r>
            <w:r w:rsidRPr="002D1B0F">
              <w:rPr>
                <w:rFonts w:cs="Calibri Light"/>
                <w:sz w:val="20"/>
                <w:szCs w:val="20"/>
              </w:rPr>
              <w:t xml:space="preserve">Generally, the discussion must cover the periods covered by the financial statements included in the filing and the registrant may use any presentation that in the registrant's judgment enhances a reader's understanding. </w:t>
            </w:r>
          </w:p>
        </w:tc>
        <w:tc>
          <w:tcPr>
            <w:tcW w:w="1209" w:type="dxa"/>
            <w:gridSpan w:val="2"/>
            <w:tcBorders>
              <w:top w:val="single" w:sz="4" w:space="0" w:color="auto"/>
              <w:bottom w:val="single" w:sz="4" w:space="0" w:color="auto"/>
            </w:tcBorders>
            <w:vAlign w:val="bottom"/>
          </w:tcPr>
          <w:p w14:paraId="7C7A97FF" w14:textId="77777777" w:rsidR="008666DC" w:rsidRPr="00601D11"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0626051B" w14:textId="77777777" w:rsidR="008666DC" w:rsidRPr="00601D11"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7B9E8CD6" w14:textId="77777777" w:rsidR="008666DC" w:rsidRPr="00601D11" w:rsidRDefault="008666DC" w:rsidP="008666DC">
            <w:pPr>
              <w:pStyle w:val="levela"/>
              <w:spacing w:before="120" w:after="120" w:line="240" w:lineRule="atLeast"/>
              <w:jc w:val="center"/>
              <w:rPr>
                <w:rFonts w:cs="Calibri Light"/>
                <w:sz w:val="20"/>
                <w:szCs w:val="20"/>
              </w:rPr>
            </w:pPr>
          </w:p>
        </w:tc>
      </w:tr>
      <w:tr w:rsidR="008666DC" w:rsidRPr="00601D11" w14:paraId="62BFC57E" w14:textId="77777777" w:rsidTr="00587378">
        <w:trPr>
          <w:gridBefore w:val="1"/>
          <w:wBefore w:w="17" w:type="dxa"/>
        </w:trPr>
        <w:tc>
          <w:tcPr>
            <w:tcW w:w="7483" w:type="dxa"/>
            <w:gridSpan w:val="2"/>
          </w:tcPr>
          <w:p w14:paraId="17BCE846" w14:textId="147719C3" w:rsidR="008666DC" w:rsidRPr="00601D11" w:rsidRDefault="008666DC" w:rsidP="008666DC">
            <w:pPr>
              <w:pStyle w:val="level2"/>
              <w:tabs>
                <w:tab w:val="clear" w:pos="576"/>
                <w:tab w:val="clear" w:pos="1152"/>
                <w:tab w:val="clear" w:pos="1728"/>
                <w:tab w:val="clear" w:pos="2304"/>
                <w:tab w:val="left" w:pos="327"/>
              </w:tabs>
              <w:spacing w:after="120" w:line="240" w:lineRule="atLeast"/>
              <w:ind w:left="327" w:hanging="327"/>
              <w:rPr>
                <w:rFonts w:cs="Calibri Light"/>
                <w:sz w:val="20"/>
                <w:szCs w:val="20"/>
              </w:rPr>
            </w:pPr>
            <w:r>
              <w:rPr>
                <w:rFonts w:cs="Calibri Light"/>
                <w:sz w:val="20"/>
                <w:szCs w:val="20"/>
              </w:rPr>
              <w:tab/>
            </w:r>
            <w:r w:rsidRPr="002D1B0F">
              <w:rPr>
                <w:rFonts w:cs="Calibri Light"/>
                <w:sz w:val="20"/>
                <w:szCs w:val="20"/>
              </w:rPr>
              <w:t xml:space="preserve">A smaller reporting company's discussion must cover the two-year period required in </w:t>
            </w:r>
            <w:r>
              <w:rPr>
                <w:rFonts w:cs="Calibri Light"/>
                <w:sz w:val="20"/>
                <w:szCs w:val="20"/>
              </w:rPr>
              <w:t xml:space="preserve">Rule </w:t>
            </w:r>
            <w:r w:rsidRPr="002D1B0F">
              <w:rPr>
                <w:rFonts w:cs="Calibri Light"/>
                <w:sz w:val="20"/>
                <w:szCs w:val="20"/>
              </w:rPr>
              <w:t>8-01 through 210.8-08 of Article 8 of Regulation S-X and may use any presentation that in the registrant's judgment enhances a reader's understanding.</w:t>
            </w:r>
          </w:p>
        </w:tc>
        <w:tc>
          <w:tcPr>
            <w:tcW w:w="1209" w:type="dxa"/>
            <w:gridSpan w:val="2"/>
            <w:tcBorders>
              <w:top w:val="single" w:sz="4" w:space="0" w:color="auto"/>
              <w:bottom w:val="single" w:sz="4" w:space="0" w:color="auto"/>
            </w:tcBorders>
            <w:vAlign w:val="bottom"/>
          </w:tcPr>
          <w:p w14:paraId="452777EE" w14:textId="77777777" w:rsidR="008666DC" w:rsidRPr="00601D11"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1630CFA3" w14:textId="77777777" w:rsidR="008666DC" w:rsidRPr="00601D11"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699A6273" w14:textId="77777777" w:rsidR="008666DC" w:rsidRPr="00601D11" w:rsidRDefault="008666DC" w:rsidP="008666DC">
            <w:pPr>
              <w:pStyle w:val="levela"/>
              <w:spacing w:before="120" w:after="120" w:line="240" w:lineRule="atLeast"/>
              <w:jc w:val="center"/>
              <w:rPr>
                <w:rFonts w:cs="Calibri Light"/>
                <w:sz w:val="20"/>
                <w:szCs w:val="20"/>
              </w:rPr>
            </w:pPr>
          </w:p>
        </w:tc>
      </w:tr>
      <w:tr w:rsidR="008666DC" w:rsidRPr="004005A4" w14:paraId="27495DFB" w14:textId="77777777" w:rsidTr="00587378">
        <w:trPr>
          <w:gridBefore w:val="1"/>
          <w:wBefore w:w="17" w:type="dxa"/>
        </w:trPr>
        <w:tc>
          <w:tcPr>
            <w:tcW w:w="7483" w:type="dxa"/>
            <w:gridSpan w:val="2"/>
          </w:tcPr>
          <w:p w14:paraId="0C184CDA" w14:textId="1A94B20B" w:rsidR="008666DC" w:rsidRPr="00393BE9" w:rsidRDefault="008666DC" w:rsidP="008666DC">
            <w:pPr>
              <w:pStyle w:val="level2"/>
              <w:tabs>
                <w:tab w:val="clear" w:pos="576"/>
                <w:tab w:val="clear" w:pos="1152"/>
                <w:tab w:val="clear" w:pos="1728"/>
                <w:tab w:val="clear" w:pos="2304"/>
                <w:tab w:val="left" w:pos="327"/>
              </w:tabs>
              <w:spacing w:after="120" w:line="240" w:lineRule="atLeast"/>
              <w:ind w:left="327" w:hanging="327"/>
              <w:rPr>
                <w:rFonts w:cs="Calibri Light"/>
                <w:b/>
                <w:bCs/>
                <w:sz w:val="20"/>
                <w:szCs w:val="20"/>
              </w:rPr>
            </w:pPr>
            <w:r>
              <w:rPr>
                <w:rFonts w:cs="Calibri Light"/>
                <w:sz w:val="20"/>
                <w:szCs w:val="20"/>
              </w:rPr>
              <w:tab/>
            </w:r>
            <w:r w:rsidRPr="002D1B0F">
              <w:rPr>
                <w:rFonts w:cs="Calibri Light"/>
                <w:sz w:val="20"/>
                <w:szCs w:val="20"/>
              </w:rPr>
              <w:t>For registrants providing financial statements covering three years in a filing, discussion about the earliest of the three years may be omitted if such discussion was already included in the registrant's prior filings on EDGAR that required disclosure in compliance with Item 303 of Regulation S-K, provided that registrants electing not to include a discussion of the earliest year must include a statement that identifies the location in the prior filing where the omitted discussion may be found.</w:t>
            </w:r>
          </w:p>
        </w:tc>
        <w:tc>
          <w:tcPr>
            <w:tcW w:w="1209" w:type="dxa"/>
            <w:gridSpan w:val="2"/>
            <w:tcBorders>
              <w:top w:val="single" w:sz="4" w:space="0" w:color="auto"/>
              <w:bottom w:val="single" w:sz="4" w:space="0" w:color="auto"/>
            </w:tcBorders>
            <w:vAlign w:val="bottom"/>
          </w:tcPr>
          <w:p w14:paraId="1B490BFC"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C5D77C8"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8C922D1"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864E15F" w14:textId="77777777" w:rsidTr="00587378">
        <w:trPr>
          <w:gridBefore w:val="1"/>
          <w:wBefore w:w="17" w:type="dxa"/>
        </w:trPr>
        <w:tc>
          <w:tcPr>
            <w:tcW w:w="7483" w:type="dxa"/>
            <w:gridSpan w:val="2"/>
          </w:tcPr>
          <w:p w14:paraId="3DC3F423" w14:textId="557F0126" w:rsidR="008666DC" w:rsidRPr="00BC0A48" w:rsidRDefault="008666DC" w:rsidP="008666DC">
            <w:pPr>
              <w:pStyle w:val="level2"/>
              <w:tabs>
                <w:tab w:val="clear" w:pos="576"/>
                <w:tab w:val="clear" w:pos="1152"/>
                <w:tab w:val="clear" w:pos="1728"/>
                <w:tab w:val="clear" w:pos="2304"/>
                <w:tab w:val="left" w:pos="327"/>
              </w:tabs>
              <w:spacing w:after="120" w:line="240" w:lineRule="atLeast"/>
              <w:ind w:left="327" w:hanging="327"/>
              <w:rPr>
                <w:rFonts w:cs="Calibri Light"/>
                <w:sz w:val="20"/>
                <w:szCs w:val="20"/>
              </w:rPr>
            </w:pPr>
            <w:r>
              <w:rPr>
                <w:rFonts w:cs="Calibri Light"/>
                <w:sz w:val="20"/>
                <w:szCs w:val="20"/>
              </w:rPr>
              <w:tab/>
            </w:r>
            <w:r w:rsidRPr="002D1B0F">
              <w:rPr>
                <w:rFonts w:cs="Calibri Light"/>
                <w:sz w:val="20"/>
                <w:szCs w:val="20"/>
              </w:rPr>
              <w:t>An emerging growth company, as defined in Rule 405 of the Securities Act or Rule 12b-2 of the Exchange Act, may provide the discussion required in paragraph (b) of this section for its two most recent fiscal years if, pursuant to Section 7(a) of the Securities Act of 1933 (15 U.S.C. 77g(a)), it provides audited financial statements for two years in a Securities Act registration statement for the initial public offering of the emerging growth company's common equity securities.</w:t>
            </w:r>
          </w:p>
        </w:tc>
        <w:tc>
          <w:tcPr>
            <w:tcW w:w="1209" w:type="dxa"/>
            <w:gridSpan w:val="2"/>
            <w:tcBorders>
              <w:top w:val="single" w:sz="4" w:space="0" w:color="auto"/>
              <w:bottom w:val="single" w:sz="4" w:space="0" w:color="auto"/>
            </w:tcBorders>
            <w:vAlign w:val="bottom"/>
          </w:tcPr>
          <w:p w14:paraId="2179C660"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7BC0B51"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40B1657"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50C69ECC" w14:textId="77777777" w:rsidTr="00587378">
        <w:trPr>
          <w:gridBefore w:val="1"/>
          <w:wBefore w:w="17" w:type="dxa"/>
        </w:trPr>
        <w:tc>
          <w:tcPr>
            <w:tcW w:w="7483" w:type="dxa"/>
            <w:gridSpan w:val="2"/>
          </w:tcPr>
          <w:p w14:paraId="709C2477" w14:textId="57073159" w:rsidR="008666DC" w:rsidRPr="00BC0A48"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Pr>
                <w:rFonts w:cs="Calibri Light"/>
                <w:sz w:val="20"/>
                <w:szCs w:val="20"/>
              </w:rPr>
              <w:t>2.</w:t>
            </w:r>
            <w:r>
              <w:rPr>
                <w:rFonts w:cs="Calibri Light"/>
                <w:sz w:val="20"/>
                <w:szCs w:val="20"/>
              </w:rPr>
              <w:tab/>
            </w:r>
            <w:r w:rsidRPr="002D1B0F">
              <w:rPr>
                <w:rFonts w:cs="Calibri Light"/>
                <w:sz w:val="20"/>
                <w:szCs w:val="20"/>
              </w:rPr>
              <w:t>If the reasons underlying a material change in one line item in the financial statements also relate to other line items, no repetition of such reasons in the discussion is required and a line-by-line analysis of the financial statements as a whole is neither required nor generally appropriate. Registrants need not recite the amounts of changes from period to period if they are readily computable from the financial statements. The discussion must not merely repeat numerical data contained in the financial statements.</w:t>
            </w:r>
          </w:p>
        </w:tc>
        <w:tc>
          <w:tcPr>
            <w:tcW w:w="1209" w:type="dxa"/>
            <w:gridSpan w:val="2"/>
            <w:tcBorders>
              <w:top w:val="single" w:sz="4" w:space="0" w:color="auto"/>
              <w:bottom w:val="single" w:sz="4" w:space="0" w:color="auto"/>
            </w:tcBorders>
            <w:vAlign w:val="bottom"/>
          </w:tcPr>
          <w:p w14:paraId="312FCCA9"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11CB4ABC"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3EFED1E2"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440461A6" w14:textId="77777777" w:rsidTr="00587378">
        <w:trPr>
          <w:gridBefore w:val="1"/>
          <w:wBefore w:w="17" w:type="dxa"/>
        </w:trPr>
        <w:tc>
          <w:tcPr>
            <w:tcW w:w="7483" w:type="dxa"/>
            <w:gridSpan w:val="2"/>
          </w:tcPr>
          <w:p w14:paraId="054B9D2E" w14:textId="759F400E" w:rsidR="008666DC" w:rsidRPr="00BC0A48"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Pr>
                <w:rFonts w:cs="Calibri Light"/>
                <w:sz w:val="20"/>
                <w:szCs w:val="20"/>
              </w:rPr>
              <w:t>3.</w:t>
            </w:r>
            <w:r>
              <w:rPr>
                <w:rFonts w:cs="Calibri Light"/>
                <w:sz w:val="20"/>
                <w:szCs w:val="20"/>
              </w:rPr>
              <w:tab/>
            </w:r>
            <w:r w:rsidRPr="002D1B0F">
              <w:rPr>
                <w:rFonts w:cs="Calibri Light"/>
                <w:sz w:val="20"/>
                <w:szCs w:val="20"/>
              </w:rPr>
              <w:t>Provide the analysis in a format that facilitates easy understanding and that supplements, and does not duplicate, disclosure already provided in the filing. For critical accounting estimates, this disclosure must supplement, but not duplicate, the description of accounting policies or other disclosures in the notes to the financial statements.</w:t>
            </w:r>
          </w:p>
        </w:tc>
        <w:tc>
          <w:tcPr>
            <w:tcW w:w="1209" w:type="dxa"/>
            <w:gridSpan w:val="2"/>
            <w:tcBorders>
              <w:top w:val="single" w:sz="4" w:space="0" w:color="auto"/>
              <w:bottom w:val="single" w:sz="4" w:space="0" w:color="auto"/>
            </w:tcBorders>
            <w:vAlign w:val="bottom"/>
          </w:tcPr>
          <w:p w14:paraId="40D9AD07"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79CFABAC"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2EF9E64A"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22880F79" w14:textId="77777777" w:rsidTr="00587378">
        <w:trPr>
          <w:gridBefore w:val="1"/>
          <w:wBefore w:w="17" w:type="dxa"/>
        </w:trPr>
        <w:tc>
          <w:tcPr>
            <w:tcW w:w="7483" w:type="dxa"/>
            <w:gridSpan w:val="2"/>
          </w:tcPr>
          <w:p w14:paraId="29FDCB81" w14:textId="1CA4031F" w:rsidR="008666DC" w:rsidRPr="00BC0A48"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Pr>
                <w:rFonts w:cs="Calibri Light"/>
                <w:sz w:val="20"/>
                <w:szCs w:val="20"/>
              </w:rPr>
              <w:t>4.</w:t>
            </w:r>
            <w:r>
              <w:rPr>
                <w:rFonts w:cs="Calibri Light"/>
                <w:sz w:val="20"/>
                <w:szCs w:val="20"/>
              </w:rPr>
              <w:tab/>
            </w:r>
            <w:r w:rsidRPr="002D1B0F">
              <w:rPr>
                <w:rFonts w:cs="Calibri Light"/>
                <w:sz w:val="20"/>
                <w:szCs w:val="20"/>
              </w:rPr>
              <w:t>For the liquidity and capital resources disclosure, discussion of material cash requirements from known contractual obligations may include, for example, lease obligations, purchase obligations, or other liabilities reflected on the registrant's balance sheet.</w:t>
            </w:r>
          </w:p>
        </w:tc>
        <w:tc>
          <w:tcPr>
            <w:tcW w:w="1209" w:type="dxa"/>
            <w:gridSpan w:val="2"/>
            <w:tcBorders>
              <w:top w:val="single" w:sz="4" w:space="0" w:color="auto"/>
              <w:bottom w:val="single" w:sz="4" w:space="0" w:color="auto"/>
            </w:tcBorders>
            <w:vAlign w:val="bottom"/>
          </w:tcPr>
          <w:p w14:paraId="0874E1A4"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070118E3"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50247ACE"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53A48A8E" w14:textId="77777777" w:rsidTr="00587378">
        <w:trPr>
          <w:gridBefore w:val="1"/>
          <w:wBefore w:w="17" w:type="dxa"/>
        </w:trPr>
        <w:tc>
          <w:tcPr>
            <w:tcW w:w="7483" w:type="dxa"/>
            <w:gridSpan w:val="2"/>
          </w:tcPr>
          <w:p w14:paraId="08759131" w14:textId="56E47F44" w:rsidR="008666DC" w:rsidRPr="00BC0A48" w:rsidRDefault="008666DC" w:rsidP="008666DC">
            <w:pPr>
              <w:pStyle w:val="level2"/>
              <w:tabs>
                <w:tab w:val="clear" w:pos="576"/>
                <w:tab w:val="clear" w:pos="1152"/>
                <w:tab w:val="clear" w:pos="1728"/>
                <w:tab w:val="clear" w:pos="2304"/>
                <w:tab w:val="left" w:pos="327"/>
              </w:tabs>
              <w:spacing w:after="120" w:line="240" w:lineRule="atLeast"/>
              <w:ind w:left="327" w:hanging="327"/>
              <w:rPr>
                <w:rFonts w:cs="Calibri Light"/>
                <w:sz w:val="20"/>
                <w:szCs w:val="20"/>
              </w:rPr>
            </w:pPr>
            <w:r>
              <w:rPr>
                <w:rFonts w:cs="Calibri Light"/>
                <w:sz w:val="20"/>
                <w:szCs w:val="20"/>
              </w:rPr>
              <w:lastRenderedPageBreak/>
              <w:tab/>
            </w:r>
            <w:r w:rsidRPr="002D1B0F">
              <w:rPr>
                <w:rFonts w:cs="Calibri Light"/>
                <w:sz w:val="20"/>
                <w:szCs w:val="20"/>
              </w:rPr>
              <w:t>Except where it is otherwise clear from the discussion, the registrant must discuss those balance sheet conditions or income or cash flow items which the registrant believes may be indicators of its liquidity condition.</w:t>
            </w:r>
          </w:p>
        </w:tc>
        <w:tc>
          <w:tcPr>
            <w:tcW w:w="1209" w:type="dxa"/>
            <w:gridSpan w:val="2"/>
            <w:tcBorders>
              <w:top w:val="single" w:sz="4" w:space="0" w:color="auto"/>
              <w:bottom w:val="single" w:sz="4" w:space="0" w:color="auto"/>
            </w:tcBorders>
            <w:vAlign w:val="bottom"/>
          </w:tcPr>
          <w:p w14:paraId="214FB761"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0A3ACF05"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0D24B0EF"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6C4E1CDB" w14:textId="77777777" w:rsidTr="00587378">
        <w:trPr>
          <w:gridBefore w:val="1"/>
          <w:wBefore w:w="17" w:type="dxa"/>
        </w:trPr>
        <w:tc>
          <w:tcPr>
            <w:tcW w:w="7483" w:type="dxa"/>
            <w:gridSpan w:val="2"/>
          </w:tcPr>
          <w:p w14:paraId="5D429099" w14:textId="04050D9C" w:rsidR="008666DC" w:rsidRPr="00BC0A48"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Pr>
                <w:rFonts w:cs="Calibri Light"/>
                <w:sz w:val="20"/>
                <w:szCs w:val="20"/>
              </w:rPr>
              <w:t>5.</w:t>
            </w:r>
            <w:r>
              <w:rPr>
                <w:rFonts w:cs="Calibri Light"/>
                <w:sz w:val="20"/>
                <w:szCs w:val="20"/>
              </w:rPr>
              <w:tab/>
            </w:r>
            <w:r w:rsidRPr="002D1B0F">
              <w:rPr>
                <w:rFonts w:cs="Calibri Light"/>
                <w:sz w:val="20"/>
                <w:szCs w:val="20"/>
              </w:rPr>
              <w:t>Where financial statements presented or incorporated by reference in the registration statement are required by Rule 4-08(e)(3) of Regulation S-X to include disclosure of restrictions on the ability of both consolidated and unconsolidated subsidiaries to transfer funds to the registrant in the form of cash dividends, loans or advances, the discussion of liquidity must include a discussion of the nature and extent of such restrictions and the impact such restrictions have had or are reasonably likely to have on the ability of the parent company to meet its cash obligations.</w:t>
            </w:r>
          </w:p>
        </w:tc>
        <w:tc>
          <w:tcPr>
            <w:tcW w:w="1209" w:type="dxa"/>
            <w:gridSpan w:val="2"/>
            <w:tcBorders>
              <w:top w:val="single" w:sz="4" w:space="0" w:color="auto"/>
              <w:bottom w:val="single" w:sz="4" w:space="0" w:color="auto"/>
            </w:tcBorders>
            <w:vAlign w:val="bottom"/>
          </w:tcPr>
          <w:p w14:paraId="5DB215FF"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1402BE5E"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484DD0BF"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1DC46C46" w14:textId="77777777" w:rsidTr="00587378">
        <w:trPr>
          <w:gridBefore w:val="1"/>
          <w:wBefore w:w="17" w:type="dxa"/>
        </w:trPr>
        <w:tc>
          <w:tcPr>
            <w:tcW w:w="7483" w:type="dxa"/>
            <w:gridSpan w:val="2"/>
          </w:tcPr>
          <w:p w14:paraId="36A45EC3" w14:textId="37E4166E" w:rsidR="008666DC" w:rsidRPr="00BC0A48"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Pr>
                <w:rFonts w:cs="Calibri Light"/>
                <w:sz w:val="20"/>
                <w:szCs w:val="20"/>
              </w:rPr>
              <w:t>6.</w:t>
            </w:r>
            <w:r>
              <w:rPr>
                <w:rFonts w:cs="Calibri Light"/>
                <w:sz w:val="20"/>
                <w:szCs w:val="20"/>
              </w:rPr>
              <w:tab/>
            </w:r>
            <w:r w:rsidRPr="002D1B0F">
              <w:rPr>
                <w:rFonts w:cs="Calibri Light"/>
                <w:sz w:val="20"/>
                <w:szCs w:val="20"/>
              </w:rPr>
              <w:t>Any forward-looking information supplied is expressly covered by the safe harbor rule for projections. See Rule 175 under the Securities Act</w:t>
            </w:r>
            <w:r>
              <w:rPr>
                <w:rFonts w:cs="Calibri Light"/>
                <w:sz w:val="20"/>
                <w:szCs w:val="20"/>
              </w:rPr>
              <w:t xml:space="preserve">, </w:t>
            </w:r>
            <w:r w:rsidRPr="002D1B0F">
              <w:rPr>
                <w:rFonts w:cs="Calibri Light"/>
                <w:sz w:val="20"/>
                <w:szCs w:val="20"/>
              </w:rPr>
              <w:t>Rule 3b-6 under the Exchange Act, and Securities Act Release No. 6084 (June 25, 1979).</w:t>
            </w:r>
          </w:p>
        </w:tc>
        <w:tc>
          <w:tcPr>
            <w:tcW w:w="1209" w:type="dxa"/>
            <w:gridSpan w:val="2"/>
            <w:tcBorders>
              <w:top w:val="single" w:sz="4" w:space="0" w:color="auto"/>
              <w:bottom w:val="single" w:sz="4" w:space="0" w:color="auto"/>
            </w:tcBorders>
            <w:vAlign w:val="bottom"/>
          </w:tcPr>
          <w:p w14:paraId="5AD43AA0"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1AD9F986"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374644A6"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05F325EC" w14:textId="77777777" w:rsidTr="00587378">
        <w:trPr>
          <w:gridBefore w:val="1"/>
          <w:wBefore w:w="17" w:type="dxa"/>
        </w:trPr>
        <w:tc>
          <w:tcPr>
            <w:tcW w:w="7483" w:type="dxa"/>
            <w:gridSpan w:val="2"/>
          </w:tcPr>
          <w:p w14:paraId="40F25D87" w14:textId="106CA061" w:rsidR="008666DC" w:rsidRPr="00BC0A48"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Pr>
                <w:rFonts w:cs="Calibri Light"/>
                <w:sz w:val="20"/>
                <w:szCs w:val="20"/>
              </w:rPr>
              <w:t>7.</w:t>
            </w:r>
            <w:r>
              <w:rPr>
                <w:rFonts w:cs="Calibri Light"/>
                <w:sz w:val="20"/>
                <w:szCs w:val="20"/>
              </w:rPr>
              <w:tab/>
            </w:r>
            <w:r w:rsidRPr="002D1B0F">
              <w:rPr>
                <w:rFonts w:cs="Calibri Light"/>
                <w:sz w:val="20"/>
                <w:szCs w:val="20"/>
              </w:rPr>
              <w:t>All references to the registrant in the discussion and in this section mean the registrant and its subsidiaries consolidated.</w:t>
            </w:r>
          </w:p>
        </w:tc>
        <w:tc>
          <w:tcPr>
            <w:tcW w:w="1209" w:type="dxa"/>
            <w:gridSpan w:val="2"/>
            <w:tcBorders>
              <w:top w:val="single" w:sz="4" w:space="0" w:color="auto"/>
              <w:bottom w:val="single" w:sz="4" w:space="0" w:color="auto"/>
            </w:tcBorders>
            <w:vAlign w:val="bottom"/>
          </w:tcPr>
          <w:p w14:paraId="2CFAEB85"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312A213D"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3849E56C"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31881C05" w14:textId="77777777" w:rsidTr="00587378">
        <w:trPr>
          <w:gridBefore w:val="1"/>
          <w:wBefore w:w="17" w:type="dxa"/>
        </w:trPr>
        <w:tc>
          <w:tcPr>
            <w:tcW w:w="7483" w:type="dxa"/>
            <w:gridSpan w:val="2"/>
          </w:tcPr>
          <w:p w14:paraId="1B5AEDED" w14:textId="2C03C742" w:rsidR="008666DC" w:rsidRPr="00BC0A48"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Pr>
                <w:rFonts w:cs="Calibri Light"/>
                <w:sz w:val="20"/>
                <w:szCs w:val="20"/>
              </w:rPr>
              <w:t>8.</w:t>
            </w:r>
            <w:r>
              <w:rPr>
                <w:rFonts w:cs="Calibri Light"/>
                <w:sz w:val="20"/>
                <w:szCs w:val="20"/>
              </w:rPr>
              <w:tab/>
            </w:r>
            <w:r w:rsidRPr="002D1B0F">
              <w:rPr>
                <w:rFonts w:cs="Calibri Light"/>
                <w:sz w:val="20"/>
                <w:szCs w:val="20"/>
              </w:rPr>
              <w:t>Discussion of commitments or obligations, including contingent obligations, arising from arrangements with unconsolidated entities or persons that have or are reasonably likely to have a material current or future effect on a registrant's financial condition, changes in financial condition, revenues or expenses, results of operations, liquidity, cash requirements or capital resources must be provided even when the arrangement results in no obligations being reported in the registrant's consolidated balance sheets. Such off-balance sheet arrangements may include: Guarantees; retained or contingent interests in assets transferred; contractual arrangements that support the credit, liquidity or market risk for transferred assets; obligations that arise or could arise from variable interests held in an unconsolidated entity; or obligations related to derivative instruments that are both indexed to and classified in a registrant's own equity under U.S. GAAP.</w:t>
            </w:r>
          </w:p>
        </w:tc>
        <w:tc>
          <w:tcPr>
            <w:tcW w:w="1209" w:type="dxa"/>
            <w:gridSpan w:val="2"/>
            <w:tcBorders>
              <w:top w:val="single" w:sz="4" w:space="0" w:color="auto"/>
              <w:bottom w:val="single" w:sz="4" w:space="0" w:color="auto"/>
            </w:tcBorders>
            <w:vAlign w:val="bottom"/>
          </w:tcPr>
          <w:p w14:paraId="0A666A47"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1607DCB8"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46AB37CA"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3775D988" w14:textId="77777777" w:rsidTr="00587378">
        <w:trPr>
          <w:gridBefore w:val="1"/>
          <w:wBefore w:w="17" w:type="dxa"/>
        </w:trPr>
        <w:tc>
          <w:tcPr>
            <w:tcW w:w="7483" w:type="dxa"/>
            <w:gridSpan w:val="2"/>
          </w:tcPr>
          <w:p w14:paraId="6D690081" w14:textId="33682D52" w:rsidR="008666DC" w:rsidRPr="00BC0A48"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Pr>
                <w:rFonts w:cs="Calibri Light"/>
                <w:sz w:val="20"/>
                <w:szCs w:val="20"/>
              </w:rPr>
              <w:t>9.</w:t>
            </w:r>
            <w:r>
              <w:tab/>
            </w:r>
            <w:r w:rsidRPr="002D1B0F">
              <w:rPr>
                <w:rFonts w:cs="Calibri Light"/>
                <w:sz w:val="20"/>
                <w:szCs w:val="20"/>
              </w:rPr>
              <w:t>If the registrant is a foreign private issuer, briefly discuss any pertinent governmental economic, fiscal, monetary, or political policies or factors that have materially affected or could materially affect, directly or indirectly, its operations or investments by United States nationals. The discussion must also consider the impact of hyperinflation if hyperinflation has occurred in any of the periods for which audited financial statements or unaudited interim financial statements are filed. See Rule 3-20(c) of Regulation S-X for a discussion of cumulative inflation rates that may trigger the requirement in this instruction 9 to this paragraph (b).</w:t>
            </w:r>
          </w:p>
        </w:tc>
        <w:tc>
          <w:tcPr>
            <w:tcW w:w="1209" w:type="dxa"/>
            <w:gridSpan w:val="2"/>
            <w:tcBorders>
              <w:top w:val="single" w:sz="4" w:space="0" w:color="auto"/>
              <w:bottom w:val="single" w:sz="4" w:space="0" w:color="auto"/>
            </w:tcBorders>
            <w:vAlign w:val="bottom"/>
          </w:tcPr>
          <w:p w14:paraId="7045561D"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2F057D1D"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009D8EA4"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6D096366" w14:textId="77777777" w:rsidTr="00587378">
        <w:trPr>
          <w:gridBefore w:val="1"/>
          <w:wBefore w:w="17" w:type="dxa"/>
        </w:trPr>
        <w:tc>
          <w:tcPr>
            <w:tcW w:w="7483" w:type="dxa"/>
            <w:gridSpan w:val="2"/>
          </w:tcPr>
          <w:p w14:paraId="3F298963" w14:textId="5DF0D16E" w:rsidR="008666DC" w:rsidRPr="00BC0A48"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Pr>
                <w:rFonts w:cs="Calibri Light"/>
                <w:sz w:val="20"/>
                <w:szCs w:val="20"/>
              </w:rPr>
              <w:t>10.</w:t>
            </w:r>
            <w:r>
              <w:rPr>
                <w:rFonts w:cs="Calibri Light"/>
                <w:sz w:val="20"/>
                <w:szCs w:val="20"/>
              </w:rPr>
              <w:tab/>
            </w:r>
            <w:r w:rsidRPr="000A552C">
              <w:rPr>
                <w:rFonts w:cs="Calibri Light"/>
                <w:sz w:val="20"/>
                <w:szCs w:val="20"/>
              </w:rPr>
              <w:t xml:space="preserve">If the registrant is a foreign private issuer, the discussion must focus on the primary financial statements presented in the registration statement or report. The foreign private issuer must refer to the reconciliation to United States generally accepted accounting principles and discuss any aspects of the difference between foreign and United States generally accepted accounting principles, not discussed in the </w:t>
            </w:r>
            <w:r w:rsidRPr="000A552C">
              <w:rPr>
                <w:rFonts w:cs="Calibri Light"/>
                <w:sz w:val="20"/>
                <w:szCs w:val="20"/>
              </w:rPr>
              <w:lastRenderedPageBreak/>
              <w:t>reconciliation, that the registrant believes are necessary for an understanding of the financial statements as a whole, if applicable.</w:t>
            </w:r>
          </w:p>
        </w:tc>
        <w:tc>
          <w:tcPr>
            <w:tcW w:w="1209" w:type="dxa"/>
            <w:gridSpan w:val="2"/>
            <w:tcBorders>
              <w:top w:val="single" w:sz="4" w:space="0" w:color="auto"/>
              <w:bottom w:val="single" w:sz="4" w:space="0" w:color="auto"/>
            </w:tcBorders>
            <w:vAlign w:val="bottom"/>
          </w:tcPr>
          <w:p w14:paraId="37886ECF"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080FDEDC"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63E5415C"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34EF2F2C" w14:textId="77777777" w:rsidTr="00587378">
        <w:trPr>
          <w:gridBefore w:val="1"/>
          <w:wBefore w:w="17" w:type="dxa"/>
        </w:trPr>
        <w:tc>
          <w:tcPr>
            <w:tcW w:w="7483" w:type="dxa"/>
            <w:gridSpan w:val="2"/>
          </w:tcPr>
          <w:p w14:paraId="714C8A5A" w14:textId="4A9321DF" w:rsidR="008666DC" w:rsidRPr="00BC0A48" w:rsidRDefault="008666DC" w:rsidP="008666DC">
            <w:pPr>
              <w:pStyle w:val="level2"/>
              <w:tabs>
                <w:tab w:val="clear" w:pos="576"/>
                <w:tab w:val="clear" w:pos="1152"/>
                <w:tab w:val="clear" w:pos="1728"/>
                <w:tab w:val="clear" w:pos="2304"/>
                <w:tab w:val="clear" w:pos="2880"/>
                <w:tab w:val="left" w:pos="327"/>
              </w:tabs>
              <w:spacing w:after="120" w:line="240" w:lineRule="atLeast"/>
              <w:ind w:left="327" w:hanging="327"/>
              <w:rPr>
                <w:rFonts w:cs="Calibri Light"/>
                <w:sz w:val="20"/>
                <w:szCs w:val="20"/>
              </w:rPr>
            </w:pPr>
            <w:r>
              <w:rPr>
                <w:rFonts w:cs="Calibri Light"/>
                <w:sz w:val="20"/>
                <w:szCs w:val="20"/>
              </w:rPr>
              <w:t>11.</w:t>
            </w:r>
            <w:r>
              <w:tab/>
            </w:r>
            <w:r w:rsidRPr="002D1B0F">
              <w:rPr>
                <w:rFonts w:cs="Calibri Light"/>
                <w:sz w:val="20"/>
                <w:szCs w:val="20"/>
              </w:rPr>
              <w:t>The term statement of comprehensive income is as defined in Rule 1-02 of Regulation S-X</w:t>
            </w:r>
          </w:p>
        </w:tc>
        <w:tc>
          <w:tcPr>
            <w:tcW w:w="1209" w:type="dxa"/>
            <w:gridSpan w:val="2"/>
            <w:tcBorders>
              <w:top w:val="single" w:sz="4" w:space="0" w:color="auto"/>
              <w:bottom w:val="single" w:sz="4" w:space="0" w:color="auto"/>
            </w:tcBorders>
            <w:vAlign w:val="bottom"/>
          </w:tcPr>
          <w:p w14:paraId="20649E9A" w14:textId="77777777" w:rsidR="008666DC" w:rsidRPr="00BC0A48" w:rsidRDefault="008666DC" w:rsidP="008666DC">
            <w:pPr>
              <w:pStyle w:val="levela"/>
              <w:spacing w:before="120" w:after="120" w:line="240" w:lineRule="atLeast"/>
              <w:jc w:val="center"/>
              <w:rPr>
                <w:rFonts w:cs="Calibri Light"/>
                <w:sz w:val="20"/>
                <w:szCs w:val="20"/>
              </w:rPr>
            </w:pPr>
          </w:p>
        </w:tc>
        <w:tc>
          <w:tcPr>
            <w:tcW w:w="236" w:type="dxa"/>
            <w:gridSpan w:val="3"/>
            <w:vAlign w:val="bottom"/>
          </w:tcPr>
          <w:p w14:paraId="4F252FD1" w14:textId="77777777" w:rsidR="008666DC" w:rsidRPr="00BC0A48" w:rsidRDefault="008666DC" w:rsidP="008666DC">
            <w:pPr>
              <w:pStyle w:val="levela"/>
              <w:spacing w:before="120" w:after="120" w:line="240" w:lineRule="atLeast"/>
              <w:jc w:val="center"/>
              <w:rPr>
                <w:rFonts w:cs="Calibri Light"/>
                <w:sz w:val="20"/>
                <w:szCs w:val="20"/>
              </w:rPr>
            </w:pPr>
          </w:p>
        </w:tc>
        <w:tc>
          <w:tcPr>
            <w:tcW w:w="1181" w:type="dxa"/>
            <w:gridSpan w:val="2"/>
            <w:tcBorders>
              <w:top w:val="single" w:sz="4" w:space="0" w:color="auto"/>
              <w:bottom w:val="single" w:sz="4" w:space="0" w:color="auto"/>
            </w:tcBorders>
            <w:vAlign w:val="bottom"/>
          </w:tcPr>
          <w:p w14:paraId="60A855C4" w14:textId="77777777" w:rsidR="008666DC" w:rsidRPr="00BC0A48" w:rsidRDefault="008666DC" w:rsidP="008666DC">
            <w:pPr>
              <w:pStyle w:val="levela"/>
              <w:spacing w:before="120" w:after="120" w:line="240" w:lineRule="atLeast"/>
              <w:jc w:val="center"/>
              <w:rPr>
                <w:rFonts w:cs="Calibri Light"/>
                <w:sz w:val="20"/>
                <w:szCs w:val="20"/>
              </w:rPr>
            </w:pPr>
          </w:p>
        </w:tc>
      </w:tr>
      <w:tr w:rsidR="008666DC" w:rsidRPr="004005A4" w14:paraId="68183941" w14:textId="77777777" w:rsidTr="00587378">
        <w:trPr>
          <w:gridBefore w:val="1"/>
          <w:wBefore w:w="17" w:type="dxa"/>
        </w:trPr>
        <w:tc>
          <w:tcPr>
            <w:tcW w:w="7483" w:type="dxa"/>
            <w:gridSpan w:val="2"/>
          </w:tcPr>
          <w:p w14:paraId="72904D64" w14:textId="77777777" w:rsidR="008666DC" w:rsidRPr="004005A4" w:rsidRDefault="008666DC" w:rsidP="008666DC">
            <w:pPr>
              <w:pStyle w:val="FormTableHeaderRow"/>
              <w:keepNext/>
              <w:rPr>
                <w:rFonts w:cs="Calibri Light"/>
                <w:bCs w:val="0"/>
                <w:sz w:val="20"/>
                <w:szCs w:val="20"/>
              </w:rPr>
            </w:pPr>
            <w:bookmarkStart w:id="48" w:name="_Item_303—Management’s_Discussion"/>
            <w:bookmarkStart w:id="49" w:name="_Item_304—Changes_in"/>
            <w:bookmarkEnd w:id="48"/>
            <w:bookmarkEnd w:id="49"/>
            <w:r w:rsidRPr="004005A4">
              <w:rPr>
                <w:rFonts w:cs="Calibri Light"/>
                <w:sz w:val="20"/>
                <w:szCs w:val="20"/>
              </w:rPr>
              <w:t>Item 304 — Changes in and disagreements with accountants on accounting and financial disclosure</w:t>
            </w:r>
          </w:p>
        </w:tc>
        <w:tc>
          <w:tcPr>
            <w:tcW w:w="1209" w:type="dxa"/>
            <w:gridSpan w:val="2"/>
            <w:tcBorders>
              <w:top w:val="single" w:sz="4" w:space="0" w:color="auto"/>
            </w:tcBorders>
            <w:vAlign w:val="bottom"/>
          </w:tcPr>
          <w:p w14:paraId="24F5F888"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B4C2EFC"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4B32828"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03060B7" w14:textId="77777777" w:rsidTr="00587378">
        <w:trPr>
          <w:gridBefore w:val="1"/>
          <w:wBefore w:w="17" w:type="dxa"/>
        </w:trPr>
        <w:tc>
          <w:tcPr>
            <w:tcW w:w="7483" w:type="dxa"/>
            <w:gridSpan w:val="2"/>
          </w:tcPr>
          <w:p w14:paraId="045971B2" w14:textId="74D9548C" w:rsidR="008666DC" w:rsidRPr="004005A4" w:rsidRDefault="008666DC" w:rsidP="008666DC">
            <w:pPr>
              <w:spacing w:before="120" w:after="120" w:line="240" w:lineRule="atLeast"/>
              <w:rPr>
                <w:rFonts w:cs="Calibri Light"/>
                <w:sz w:val="20"/>
                <w:szCs w:val="20"/>
              </w:rPr>
            </w:pPr>
            <w:r w:rsidRPr="004005A4">
              <w:rPr>
                <w:rFonts w:cs="Calibri Light"/>
                <w:sz w:val="20"/>
                <w:szCs w:val="20"/>
              </w:rPr>
              <w:t xml:space="preserve">Generally, if there is a change in the principal accountant, publicly held companies are required to file a Current Report on Form 8-K reporting (1) the change and (2) any disagreement with respect to the registrant’s accounting principles and practices and financial disclosure.  The accountant must read the statement in the Form 8-K disclosing the reasons for the change and issue a letter to the company specifically stating whether or not the accountant agrees with the reasons. </w:t>
            </w:r>
            <w:r>
              <w:rPr>
                <w:rFonts w:cs="Calibri Light"/>
                <w:sz w:val="20"/>
                <w:szCs w:val="20"/>
              </w:rPr>
              <w:t>T</w:t>
            </w:r>
            <w:r w:rsidRPr="004005A4">
              <w:rPr>
                <w:rFonts w:cs="Calibri Light"/>
                <w:sz w:val="20"/>
                <w:szCs w:val="20"/>
              </w:rPr>
              <w:t>he</w:t>
            </w:r>
            <w:r>
              <w:rPr>
                <w:rFonts w:cs="Calibri Light"/>
                <w:sz w:val="20"/>
                <w:szCs w:val="20"/>
              </w:rPr>
              <w:t xml:space="preserve"> SEC and the</w:t>
            </w:r>
            <w:r w:rsidRPr="004005A4">
              <w:rPr>
                <w:rFonts w:cs="Calibri Light"/>
                <w:sz w:val="20"/>
                <w:szCs w:val="20"/>
              </w:rPr>
              <w:t xml:space="preserve"> PCAOB have reporting requirements regarding the cessation of a client-auditor relationship. The typical chronological order of actions that must be taken by the former auditors and the SEC registrant concerning the cessation of a client-auditor relationship is as follows: </w:t>
            </w:r>
          </w:p>
          <w:p w14:paraId="766B6F89" w14:textId="77777777" w:rsidR="008666DC" w:rsidRPr="004005A4" w:rsidRDefault="008666DC" w:rsidP="008666DC">
            <w:pPr>
              <w:numPr>
                <w:ilvl w:val="0"/>
                <w:numId w:val="40"/>
              </w:numPr>
              <w:tabs>
                <w:tab w:val="clear" w:pos="720"/>
              </w:tabs>
              <w:spacing w:before="120" w:after="120" w:line="240" w:lineRule="atLeast"/>
              <w:ind w:left="322" w:hanging="270"/>
              <w:rPr>
                <w:rStyle w:val="paragraph2"/>
                <w:rFonts w:ascii="Calibri Light" w:hAnsi="Calibri Light" w:cs="Calibri Light"/>
                <w:sz w:val="20"/>
                <w:szCs w:val="20"/>
              </w:rPr>
            </w:pPr>
            <w:r w:rsidRPr="004005A4">
              <w:rPr>
                <w:rStyle w:val="paragraph2"/>
                <w:rFonts w:ascii="Calibri Light" w:hAnsi="Calibri Light" w:cs="Calibri Light"/>
                <w:sz w:val="20"/>
                <w:szCs w:val="20"/>
                <w:specVanish w:val="0"/>
              </w:rPr>
              <w:t xml:space="preserve">Within </w:t>
            </w:r>
            <w:r w:rsidRPr="004005A4">
              <w:rPr>
                <w:rStyle w:val="paragraph2"/>
                <w:rFonts w:ascii="Calibri Light" w:hAnsi="Calibri Light" w:cs="Calibri Light"/>
                <w:i/>
                <w:sz w:val="20"/>
                <w:szCs w:val="20"/>
                <w:specVanish w:val="0"/>
              </w:rPr>
              <w:t>four</w:t>
            </w:r>
            <w:r w:rsidRPr="004005A4">
              <w:rPr>
                <w:rStyle w:val="paragraph2"/>
                <w:rFonts w:ascii="Calibri Light" w:hAnsi="Calibri Light" w:cs="Calibri Light"/>
                <w:sz w:val="20"/>
                <w:szCs w:val="20"/>
                <w:specVanish w:val="0"/>
              </w:rPr>
              <w:t xml:space="preserve"> business days of the date a change in auditors is determined, the SEC registrant must file a Form 8-K to report certain information required by Item 4.01 of Form 8-K. </w:t>
            </w:r>
          </w:p>
          <w:p w14:paraId="12A2CB9D" w14:textId="7339FE6F" w:rsidR="008666DC" w:rsidRPr="004005A4" w:rsidRDefault="008666DC" w:rsidP="008666DC">
            <w:pPr>
              <w:numPr>
                <w:ilvl w:val="0"/>
                <w:numId w:val="40"/>
              </w:numPr>
              <w:tabs>
                <w:tab w:val="clear" w:pos="720"/>
              </w:tabs>
              <w:spacing w:before="120" w:after="120" w:line="240" w:lineRule="atLeast"/>
              <w:ind w:left="322" w:hanging="270"/>
              <w:rPr>
                <w:rFonts w:cs="Calibri Light"/>
                <w:sz w:val="20"/>
                <w:szCs w:val="20"/>
              </w:rPr>
            </w:pPr>
            <w:r w:rsidRPr="004005A4">
              <w:rPr>
                <w:rStyle w:val="paragraph3"/>
                <w:rFonts w:ascii="Calibri Light" w:hAnsi="Calibri Light" w:cs="Calibri Light"/>
                <w:sz w:val="20"/>
                <w:szCs w:val="20"/>
                <w:specVanish w:val="0"/>
              </w:rPr>
              <w:t>In certain situations</w:t>
            </w:r>
            <w:r w:rsidRPr="001E425A">
              <w:rPr>
                <w:rStyle w:val="paragraph3"/>
                <w:rFonts w:ascii="Calibri Light" w:hAnsi="Calibri Light" w:cs="Calibri Light"/>
                <w:sz w:val="20"/>
                <w:szCs w:val="20"/>
                <w:specVanish w:val="0"/>
              </w:rPr>
              <w:t>, Section 1000.08(m) of the SEC Practice Section (SECP</w:t>
            </w:r>
            <w:r>
              <w:rPr>
                <w:rStyle w:val="paragraph3"/>
                <w:rFonts w:ascii="Calibri Light" w:hAnsi="Calibri Light" w:cs="Calibri Light"/>
                <w:sz w:val="20"/>
                <w:szCs w:val="20"/>
                <w:specVanish w:val="0"/>
              </w:rPr>
              <w:t>S</w:t>
            </w:r>
            <w:r w:rsidRPr="004005A4">
              <w:rPr>
                <w:rStyle w:val="paragraph3"/>
                <w:rFonts w:ascii="Calibri Light" w:hAnsi="Calibri Light" w:cs="Calibri Light"/>
                <w:sz w:val="20"/>
                <w:szCs w:val="20"/>
                <w:specVanish w:val="0"/>
              </w:rPr>
              <w:t xml:space="preserve">), as adopted by the PCAOB via Rule 3400T, </w:t>
            </w:r>
            <w:r w:rsidRPr="004005A4">
              <w:rPr>
                <w:rStyle w:val="paragraph3"/>
                <w:rFonts w:ascii="Calibri Light" w:hAnsi="Calibri Light" w:cs="Calibri Light"/>
                <w:i/>
                <w:sz w:val="20"/>
                <w:szCs w:val="20"/>
                <w:specVanish w:val="0"/>
              </w:rPr>
              <w:t>Interim Quality Control Standards</w:t>
            </w:r>
            <w:r w:rsidRPr="004005A4">
              <w:rPr>
                <w:rStyle w:val="paragraph3"/>
                <w:rFonts w:ascii="Calibri Light" w:hAnsi="Calibri Light" w:cs="Calibri Light"/>
                <w:sz w:val="20"/>
                <w:szCs w:val="20"/>
                <w:specVanish w:val="0"/>
              </w:rPr>
              <w:t xml:space="preserve">, requires the former auditors to send a separate notification letter regarding the cessation of the client-auditor relationship (referred to as the SECPS notification letter </w:t>
            </w:r>
            <w:r w:rsidRPr="00214233">
              <w:rPr>
                <w:rStyle w:val="paragraph2"/>
                <w:rFonts w:ascii="Calibri Light" w:hAnsi="Calibri Light" w:cs="Calibri Light"/>
                <w:sz w:val="20"/>
                <w:szCs w:val="20"/>
                <w:specVanish w:val="0"/>
              </w:rPr>
              <w:t>or</w:t>
            </w:r>
            <w:r w:rsidRPr="004005A4">
              <w:rPr>
                <w:rStyle w:val="paragraph3"/>
                <w:rFonts w:ascii="Calibri Light" w:hAnsi="Calibri Light" w:cs="Calibri Light"/>
                <w:sz w:val="20"/>
                <w:szCs w:val="20"/>
                <w:specVanish w:val="0"/>
              </w:rPr>
              <w:t xml:space="preserve"> cessation letter). </w:t>
            </w:r>
          </w:p>
          <w:p w14:paraId="0A6A0ECB" w14:textId="77777777" w:rsidR="008666DC" w:rsidRPr="004005A4" w:rsidRDefault="008666DC" w:rsidP="008666DC">
            <w:pPr>
              <w:numPr>
                <w:ilvl w:val="0"/>
                <w:numId w:val="40"/>
              </w:numPr>
              <w:tabs>
                <w:tab w:val="clear" w:pos="720"/>
              </w:tabs>
              <w:spacing w:before="120" w:after="120" w:line="240" w:lineRule="atLeast"/>
              <w:ind w:left="322" w:hanging="270"/>
              <w:rPr>
                <w:rStyle w:val="paragraph4"/>
                <w:rFonts w:ascii="Calibri Light" w:hAnsi="Calibri Light" w:cs="Calibri Light"/>
                <w:sz w:val="20"/>
                <w:szCs w:val="20"/>
              </w:rPr>
            </w:pPr>
            <w:r w:rsidRPr="004005A4">
              <w:rPr>
                <w:rStyle w:val="paragraph4"/>
                <w:rFonts w:ascii="Calibri Light" w:hAnsi="Calibri Light" w:cs="Calibri Light"/>
                <w:sz w:val="20"/>
                <w:szCs w:val="20"/>
                <w:specVanish w:val="0"/>
              </w:rPr>
              <w:t xml:space="preserve">The former auditors must provide the SEC registrant with a letter stating whether the former auditors agree or disagree with management's representations required to be made in Form 8-K, and such SEC registrant must file the letter with </w:t>
            </w:r>
            <w:r w:rsidRPr="00214233">
              <w:rPr>
                <w:rStyle w:val="paragraph2"/>
                <w:rFonts w:ascii="Calibri Light" w:hAnsi="Calibri Light" w:cs="Calibri Light"/>
                <w:sz w:val="20"/>
                <w:szCs w:val="20"/>
                <w:specVanish w:val="0"/>
              </w:rPr>
              <w:t>the</w:t>
            </w:r>
            <w:r w:rsidRPr="004005A4">
              <w:rPr>
                <w:rStyle w:val="paragraph4"/>
                <w:rFonts w:ascii="Calibri Light" w:hAnsi="Calibri Light" w:cs="Calibri Light"/>
                <w:sz w:val="20"/>
                <w:szCs w:val="20"/>
                <w:specVanish w:val="0"/>
              </w:rPr>
              <w:t xml:space="preserve"> SEC within </w:t>
            </w:r>
            <w:r w:rsidRPr="004005A4">
              <w:rPr>
                <w:rStyle w:val="paragraph4"/>
                <w:rFonts w:ascii="Calibri Light" w:hAnsi="Calibri Light" w:cs="Calibri Light"/>
                <w:i/>
                <w:sz w:val="20"/>
                <w:szCs w:val="20"/>
                <w:specVanish w:val="0"/>
              </w:rPr>
              <w:t>10</w:t>
            </w:r>
            <w:r w:rsidRPr="004005A4">
              <w:rPr>
                <w:rStyle w:val="paragraph4"/>
                <w:rFonts w:ascii="Calibri Light" w:hAnsi="Calibri Light" w:cs="Calibri Light"/>
                <w:sz w:val="20"/>
                <w:szCs w:val="20"/>
                <w:specVanish w:val="0"/>
              </w:rPr>
              <w:t xml:space="preserve"> business days after the filing of Form 8-K. This letter, required by Item 304(a)(3) of Regulation S-K, is commonly called the Exhibit 16 letter, based on the exhibit it is filed under in Form 8-K. </w:t>
            </w:r>
          </w:p>
          <w:p w14:paraId="21C64389" w14:textId="6C88E59C" w:rsidR="008666DC" w:rsidRPr="004005A4" w:rsidRDefault="008666DC" w:rsidP="008666DC">
            <w:pPr>
              <w:numPr>
                <w:ilvl w:val="0"/>
                <w:numId w:val="40"/>
              </w:numPr>
              <w:tabs>
                <w:tab w:val="clear" w:pos="720"/>
              </w:tabs>
              <w:spacing w:before="120" w:after="120" w:line="240" w:lineRule="atLeast"/>
              <w:ind w:left="322" w:hanging="270"/>
              <w:rPr>
                <w:rFonts w:cs="Calibri Light"/>
                <w:sz w:val="20"/>
                <w:szCs w:val="20"/>
              </w:rPr>
            </w:pPr>
            <w:r w:rsidRPr="004005A4">
              <w:rPr>
                <w:rStyle w:val="paragraph5"/>
                <w:rFonts w:ascii="Calibri Light" w:hAnsi="Calibri Light" w:cs="Calibri Light"/>
                <w:sz w:val="20"/>
                <w:szCs w:val="20"/>
                <w:specVanish w:val="0"/>
              </w:rPr>
              <w:t xml:space="preserve">Notwithstanding the 10-business-day period, the SEC registrant must file with the SEC the letter received from the former auditors concerning their agreement or </w:t>
            </w:r>
            <w:r w:rsidRPr="00214233">
              <w:rPr>
                <w:rStyle w:val="paragraph2"/>
                <w:rFonts w:ascii="Calibri Light" w:hAnsi="Calibri Light" w:cs="Calibri Light"/>
                <w:sz w:val="20"/>
                <w:szCs w:val="20"/>
                <w:specVanish w:val="0"/>
              </w:rPr>
              <w:t>disagreement</w:t>
            </w:r>
            <w:r w:rsidRPr="004005A4">
              <w:rPr>
                <w:rStyle w:val="paragraph5"/>
                <w:rFonts w:ascii="Calibri Light" w:hAnsi="Calibri Light" w:cs="Calibri Light"/>
                <w:sz w:val="20"/>
                <w:szCs w:val="20"/>
                <w:specVanish w:val="0"/>
              </w:rPr>
              <w:t xml:space="preserve"> with the SEC registrant's statements in Form 8-K within </w:t>
            </w:r>
            <w:r w:rsidRPr="004005A4">
              <w:rPr>
                <w:rStyle w:val="paragraph5"/>
                <w:rFonts w:ascii="Calibri Light" w:hAnsi="Calibri Light" w:cs="Calibri Light"/>
                <w:i/>
                <w:sz w:val="20"/>
                <w:szCs w:val="20"/>
                <w:specVanish w:val="0"/>
              </w:rPr>
              <w:t>two</w:t>
            </w:r>
            <w:r w:rsidRPr="004005A4">
              <w:rPr>
                <w:rStyle w:val="paragraph5"/>
                <w:rFonts w:ascii="Calibri Light" w:hAnsi="Calibri Light" w:cs="Calibri Light"/>
                <w:sz w:val="20"/>
                <w:szCs w:val="20"/>
                <w:specVanish w:val="0"/>
              </w:rPr>
              <w:t xml:space="preserve"> business days of the receipt of such letter.</w:t>
            </w:r>
          </w:p>
        </w:tc>
        <w:tc>
          <w:tcPr>
            <w:tcW w:w="1209" w:type="dxa"/>
            <w:gridSpan w:val="2"/>
            <w:tcBorders>
              <w:bottom w:val="single" w:sz="4" w:space="0" w:color="auto"/>
            </w:tcBorders>
            <w:vAlign w:val="bottom"/>
          </w:tcPr>
          <w:p w14:paraId="4E19A4AD" w14:textId="77777777" w:rsidR="008666DC" w:rsidRPr="004005A4" w:rsidRDefault="008666DC" w:rsidP="008666DC">
            <w:pPr>
              <w:spacing w:before="120" w:after="120" w:line="240" w:lineRule="atLeast"/>
              <w:ind w:left="480"/>
              <w:rPr>
                <w:rFonts w:cs="Calibri Light"/>
                <w:sz w:val="20"/>
                <w:szCs w:val="20"/>
              </w:rPr>
            </w:pPr>
          </w:p>
        </w:tc>
        <w:tc>
          <w:tcPr>
            <w:tcW w:w="236" w:type="dxa"/>
            <w:gridSpan w:val="3"/>
            <w:vAlign w:val="bottom"/>
          </w:tcPr>
          <w:p w14:paraId="48CF6CBF"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588BA471"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36802352" w14:textId="77777777" w:rsidTr="00587378">
        <w:trPr>
          <w:gridBefore w:val="1"/>
          <w:wBefore w:w="17" w:type="dxa"/>
        </w:trPr>
        <w:tc>
          <w:tcPr>
            <w:tcW w:w="7483" w:type="dxa"/>
            <w:gridSpan w:val="2"/>
          </w:tcPr>
          <w:p w14:paraId="5AFB01E7" w14:textId="5933D2AC" w:rsidR="008666DC" w:rsidRPr="004005A4" w:rsidRDefault="008666DC" w:rsidP="008666DC">
            <w:pPr>
              <w:numPr>
                <w:ilvl w:val="0"/>
                <w:numId w:val="40"/>
              </w:numPr>
              <w:tabs>
                <w:tab w:val="clear" w:pos="720"/>
              </w:tabs>
              <w:spacing w:before="120" w:after="120" w:line="240" w:lineRule="atLeast"/>
              <w:ind w:left="322" w:hanging="270"/>
              <w:rPr>
                <w:rFonts w:cs="Calibri Light"/>
                <w:sz w:val="20"/>
                <w:szCs w:val="20"/>
              </w:rPr>
            </w:pPr>
            <w:r w:rsidRPr="004005A4">
              <w:rPr>
                <w:rFonts w:cs="Calibri Light"/>
                <w:sz w:val="20"/>
                <w:szCs w:val="20"/>
              </w:rPr>
              <w:t xml:space="preserve">If, during the two most recent years or any </w:t>
            </w:r>
            <w:r w:rsidRPr="00214233">
              <w:rPr>
                <w:rStyle w:val="paragraph2"/>
                <w:rFonts w:ascii="Calibri Light" w:hAnsi="Calibri Light" w:cs="Calibri Light"/>
                <w:sz w:val="20"/>
                <w:szCs w:val="20"/>
                <w:specVanish w:val="0"/>
              </w:rPr>
              <w:t>subsequent</w:t>
            </w:r>
            <w:r w:rsidRPr="004005A4">
              <w:rPr>
                <w:rFonts w:cs="Calibri Light"/>
                <w:sz w:val="20"/>
                <w:szCs w:val="20"/>
              </w:rPr>
              <w:t xml:space="preserve"> interim period, the registrant’s principal independent accountants (or the independent accountants of a significant subsidiary on whom the principal accountants expressed reliance) resigned, declined to stand for re-election, or were dismissed, disclose:</w:t>
            </w:r>
          </w:p>
        </w:tc>
        <w:tc>
          <w:tcPr>
            <w:tcW w:w="1209" w:type="dxa"/>
            <w:gridSpan w:val="2"/>
            <w:tcBorders>
              <w:top w:val="single" w:sz="4" w:space="0" w:color="auto"/>
            </w:tcBorders>
            <w:vAlign w:val="bottom"/>
          </w:tcPr>
          <w:p w14:paraId="6A84E850"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7D134C9"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FE2AFD3"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DA31446" w14:textId="77777777" w:rsidTr="00587378">
        <w:trPr>
          <w:gridBefore w:val="1"/>
          <w:wBefore w:w="17" w:type="dxa"/>
        </w:trPr>
        <w:tc>
          <w:tcPr>
            <w:tcW w:w="7483" w:type="dxa"/>
            <w:gridSpan w:val="2"/>
          </w:tcPr>
          <w:p w14:paraId="6CD7C964" w14:textId="77777777" w:rsidR="008666DC" w:rsidRPr="004005A4" w:rsidRDefault="008666DC" w:rsidP="008666DC">
            <w:pPr>
              <w:pStyle w:val="levelb"/>
              <w:tabs>
                <w:tab w:val="clear" w:pos="576"/>
                <w:tab w:val="clear" w:pos="1152"/>
              </w:tabs>
              <w:spacing w:after="120" w:line="240" w:lineRule="atLeast"/>
              <w:ind w:left="592" w:hanging="270"/>
              <w:rPr>
                <w:rFonts w:cs="Calibri Light"/>
                <w:sz w:val="20"/>
                <w:szCs w:val="20"/>
              </w:rPr>
            </w:pPr>
            <w:r w:rsidRPr="004005A4">
              <w:rPr>
                <w:rFonts w:cs="Calibri Light"/>
                <w:sz w:val="20"/>
                <w:szCs w:val="20"/>
              </w:rPr>
              <w:t>a.</w:t>
            </w:r>
            <w:r w:rsidRPr="004005A4">
              <w:rPr>
                <w:rFonts w:cs="Calibri Light"/>
                <w:sz w:val="20"/>
                <w:szCs w:val="20"/>
              </w:rPr>
              <w:tab/>
              <w:t>Whether the former accountants resigned, declined to stand for re-election, or were dismissed, and the date thereof.</w:t>
            </w:r>
          </w:p>
        </w:tc>
        <w:tc>
          <w:tcPr>
            <w:tcW w:w="1209" w:type="dxa"/>
            <w:gridSpan w:val="2"/>
            <w:tcBorders>
              <w:bottom w:val="single" w:sz="6" w:space="0" w:color="auto"/>
            </w:tcBorders>
            <w:vAlign w:val="bottom"/>
          </w:tcPr>
          <w:p w14:paraId="2D5601E8"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793EF6E"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61553A1B"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C8AB7AF" w14:textId="77777777" w:rsidTr="00587378">
        <w:trPr>
          <w:gridBefore w:val="1"/>
          <w:wBefore w:w="17" w:type="dxa"/>
        </w:trPr>
        <w:tc>
          <w:tcPr>
            <w:tcW w:w="7483" w:type="dxa"/>
            <w:gridSpan w:val="2"/>
          </w:tcPr>
          <w:p w14:paraId="144D7B94" w14:textId="77777777" w:rsidR="008666DC" w:rsidRPr="004005A4" w:rsidRDefault="008666DC" w:rsidP="008666DC">
            <w:pPr>
              <w:pStyle w:val="levelb"/>
              <w:keepNext/>
              <w:tabs>
                <w:tab w:val="clear" w:pos="576"/>
                <w:tab w:val="clear" w:pos="1152"/>
              </w:tabs>
              <w:spacing w:after="120" w:line="240" w:lineRule="atLeast"/>
              <w:ind w:left="592" w:hanging="270"/>
              <w:rPr>
                <w:rFonts w:cs="Calibri Light"/>
                <w:sz w:val="20"/>
                <w:szCs w:val="20"/>
              </w:rPr>
            </w:pPr>
            <w:r w:rsidRPr="004005A4">
              <w:rPr>
                <w:rFonts w:cs="Calibri Light"/>
                <w:sz w:val="20"/>
                <w:szCs w:val="20"/>
              </w:rPr>
              <w:lastRenderedPageBreak/>
              <w:t>b.</w:t>
            </w:r>
            <w:r w:rsidRPr="004005A4">
              <w:rPr>
                <w:rFonts w:cs="Calibri Light"/>
                <w:sz w:val="20"/>
                <w:szCs w:val="20"/>
              </w:rPr>
              <w:tab/>
              <w:t>Whether the principal accountants’ report on the financial statements for either of the past two years contained an adverse opinion or a disclaimer of opinion, or was qualified or modified as to uncertainty, audit scope, or accounting principles.  Describe the nature of each such adverse opinion, disclaimer of opinion, modification, or qualification.</w:t>
            </w:r>
          </w:p>
        </w:tc>
        <w:tc>
          <w:tcPr>
            <w:tcW w:w="1209" w:type="dxa"/>
            <w:gridSpan w:val="2"/>
            <w:tcBorders>
              <w:top w:val="single" w:sz="6" w:space="0" w:color="auto"/>
            </w:tcBorders>
            <w:vAlign w:val="bottom"/>
          </w:tcPr>
          <w:p w14:paraId="7B8A8E7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D876F4D"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1FC5A654"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50787AAC" w14:textId="77777777" w:rsidTr="00587378">
        <w:trPr>
          <w:gridBefore w:val="1"/>
          <w:wBefore w:w="17" w:type="dxa"/>
        </w:trPr>
        <w:tc>
          <w:tcPr>
            <w:tcW w:w="7483" w:type="dxa"/>
            <w:gridSpan w:val="2"/>
          </w:tcPr>
          <w:p w14:paraId="70B5A63D" w14:textId="39899CE6" w:rsidR="008666DC" w:rsidRPr="004005A4" w:rsidRDefault="008666DC" w:rsidP="008666DC">
            <w:pPr>
              <w:pStyle w:val="levelb"/>
              <w:tabs>
                <w:tab w:val="clear" w:pos="576"/>
                <w:tab w:val="clear" w:pos="1152"/>
              </w:tabs>
              <w:spacing w:after="120" w:line="240" w:lineRule="atLeast"/>
              <w:ind w:left="592" w:hanging="270"/>
              <w:rPr>
                <w:rFonts w:cs="Calibri Light"/>
                <w:sz w:val="20"/>
                <w:szCs w:val="20"/>
              </w:rPr>
            </w:pPr>
            <w:r w:rsidRPr="004005A4">
              <w:rPr>
                <w:rFonts w:cs="Calibri Light"/>
                <w:sz w:val="20"/>
                <w:szCs w:val="20"/>
              </w:rPr>
              <w:t>c.</w:t>
            </w:r>
            <w:r w:rsidRPr="004005A4">
              <w:rPr>
                <w:rFonts w:cs="Calibri Light"/>
                <w:sz w:val="20"/>
                <w:szCs w:val="20"/>
              </w:rPr>
              <w:tab/>
              <w:t>Whether the audit committee (or similar committee of the board of directors) or the board of directors</w:t>
            </w:r>
            <w:r>
              <w:rPr>
                <w:rFonts w:cs="Calibri Light"/>
                <w:sz w:val="20"/>
                <w:szCs w:val="20"/>
              </w:rPr>
              <w:t xml:space="preserve"> (if issuer has no such committee)</w:t>
            </w:r>
            <w:r w:rsidRPr="004005A4">
              <w:rPr>
                <w:rFonts w:cs="Calibri Light"/>
                <w:sz w:val="20"/>
                <w:szCs w:val="20"/>
              </w:rPr>
              <w:t xml:space="preserve"> recommended or approved the change in independent accountants.</w:t>
            </w:r>
          </w:p>
        </w:tc>
        <w:tc>
          <w:tcPr>
            <w:tcW w:w="1209" w:type="dxa"/>
            <w:gridSpan w:val="2"/>
            <w:tcBorders>
              <w:top w:val="single" w:sz="4" w:space="0" w:color="auto"/>
              <w:bottom w:val="single" w:sz="6" w:space="0" w:color="auto"/>
            </w:tcBorders>
            <w:vAlign w:val="bottom"/>
          </w:tcPr>
          <w:p w14:paraId="03B76122"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D160947"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416EBDE9"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9D66055" w14:textId="77777777" w:rsidTr="00587378">
        <w:trPr>
          <w:gridBefore w:val="1"/>
          <w:wBefore w:w="17" w:type="dxa"/>
        </w:trPr>
        <w:tc>
          <w:tcPr>
            <w:tcW w:w="7483" w:type="dxa"/>
            <w:gridSpan w:val="2"/>
          </w:tcPr>
          <w:p w14:paraId="3906E8F5" w14:textId="77777777" w:rsidR="008666DC" w:rsidRPr="004005A4" w:rsidRDefault="008666DC" w:rsidP="008666DC">
            <w:pPr>
              <w:pStyle w:val="levelb"/>
              <w:tabs>
                <w:tab w:val="clear" w:pos="576"/>
                <w:tab w:val="clear" w:pos="1152"/>
              </w:tabs>
              <w:spacing w:after="120" w:line="240" w:lineRule="atLeast"/>
              <w:ind w:left="592" w:hanging="270"/>
              <w:rPr>
                <w:rFonts w:cs="Calibri Light"/>
                <w:sz w:val="20"/>
                <w:szCs w:val="20"/>
              </w:rPr>
            </w:pPr>
            <w:r w:rsidRPr="004005A4">
              <w:rPr>
                <w:rFonts w:cs="Calibri Light"/>
                <w:sz w:val="20"/>
                <w:szCs w:val="20"/>
              </w:rPr>
              <w:t>d.</w:t>
            </w:r>
            <w:r w:rsidRPr="004005A4">
              <w:rPr>
                <w:rFonts w:cs="Calibri Light"/>
                <w:sz w:val="20"/>
                <w:szCs w:val="20"/>
              </w:rPr>
              <w:tab/>
              <w:t>Whether during the two most recent years and any subsequent interim period preceding the change in independent accountants, there were any disagreements with the former accountants on any matter of accounting principles or practices, financial statement disclosure, or auditing scope or procedure, which, if not resolved to the satisfaction of the former accountants, would have caused them to make reference to the disagreement in their report.</w:t>
            </w:r>
          </w:p>
        </w:tc>
        <w:tc>
          <w:tcPr>
            <w:tcW w:w="1209" w:type="dxa"/>
            <w:gridSpan w:val="2"/>
            <w:tcBorders>
              <w:top w:val="single" w:sz="6" w:space="0" w:color="auto"/>
            </w:tcBorders>
            <w:vAlign w:val="bottom"/>
          </w:tcPr>
          <w:p w14:paraId="5923DBFD"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FBB62B5"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62C6A5E0"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A2E680E" w14:textId="77777777" w:rsidTr="00587378">
        <w:trPr>
          <w:gridBefore w:val="1"/>
          <w:wBefore w:w="17" w:type="dxa"/>
        </w:trPr>
        <w:tc>
          <w:tcPr>
            <w:tcW w:w="7483" w:type="dxa"/>
            <w:gridSpan w:val="2"/>
          </w:tcPr>
          <w:p w14:paraId="303A948A" w14:textId="77777777" w:rsidR="008666DC" w:rsidRPr="004005A4" w:rsidRDefault="008666DC" w:rsidP="008666DC">
            <w:pPr>
              <w:pStyle w:val="level5"/>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(i)</w:t>
            </w:r>
            <w:r w:rsidRPr="004005A4">
              <w:rPr>
                <w:rFonts w:cs="Calibri Light"/>
                <w:sz w:val="20"/>
                <w:szCs w:val="20"/>
              </w:rPr>
              <w:tab/>
              <w:t>Describe each such disagreement.</w:t>
            </w:r>
          </w:p>
        </w:tc>
        <w:tc>
          <w:tcPr>
            <w:tcW w:w="1209" w:type="dxa"/>
            <w:gridSpan w:val="2"/>
            <w:tcBorders>
              <w:bottom w:val="single" w:sz="6" w:space="0" w:color="auto"/>
            </w:tcBorders>
            <w:vAlign w:val="bottom"/>
          </w:tcPr>
          <w:p w14:paraId="52614F1E"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A251BB2"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7CA467C8"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0B84597" w14:textId="77777777" w:rsidTr="00587378">
        <w:trPr>
          <w:gridBefore w:val="1"/>
          <w:wBefore w:w="17" w:type="dxa"/>
        </w:trPr>
        <w:tc>
          <w:tcPr>
            <w:tcW w:w="7483" w:type="dxa"/>
            <w:gridSpan w:val="2"/>
          </w:tcPr>
          <w:p w14:paraId="715AB96C" w14:textId="77777777" w:rsidR="008666DC" w:rsidRPr="004005A4" w:rsidRDefault="008666DC" w:rsidP="008666DC">
            <w:pPr>
              <w:pStyle w:val="level5"/>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(ii)</w:t>
            </w:r>
            <w:r w:rsidRPr="004005A4">
              <w:rPr>
                <w:rFonts w:cs="Calibri Light"/>
                <w:sz w:val="20"/>
                <w:szCs w:val="20"/>
              </w:rPr>
              <w:tab/>
              <w:t>State whether the audit committee (or similar committee of the board of directors) or the board of directors discussed the disagreement(s) with the former accountants.</w:t>
            </w:r>
          </w:p>
        </w:tc>
        <w:tc>
          <w:tcPr>
            <w:tcW w:w="1209" w:type="dxa"/>
            <w:gridSpan w:val="2"/>
            <w:tcBorders>
              <w:top w:val="single" w:sz="6" w:space="0" w:color="auto"/>
              <w:bottom w:val="single" w:sz="4" w:space="0" w:color="auto"/>
            </w:tcBorders>
            <w:vAlign w:val="bottom"/>
          </w:tcPr>
          <w:p w14:paraId="40886A5B"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C65044B"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5A6285EA"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E4AB2BD" w14:textId="77777777" w:rsidTr="00587378">
        <w:trPr>
          <w:gridBefore w:val="1"/>
          <w:wBefore w:w="17" w:type="dxa"/>
        </w:trPr>
        <w:tc>
          <w:tcPr>
            <w:tcW w:w="7483" w:type="dxa"/>
            <w:gridSpan w:val="2"/>
          </w:tcPr>
          <w:p w14:paraId="085274B2" w14:textId="77777777" w:rsidR="008666DC" w:rsidRPr="004005A4" w:rsidRDefault="008666DC" w:rsidP="008666DC">
            <w:pPr>
              <w:pStyle w:val="level5"/>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(iii)</w:t>
            </w:r>
            <w:r w:rsidRPr="004005A4">
              <w:rPr>
                <w:rFonts w:cs="Calibri Light"/>
                <w:sz w:val="20"/>
                <w:szCs w:val="20"/>
              </w:rPr>
              <w:tab/>
              <w:t>State whether the former accountants were authorized by the registrant to respond fully to the inquiries of the successor accountants concerning the subject matter of each such disagreement.  Describe the nature of any limitation imposed on the former accountants and the reasons for the limitation(s).</w:t>
            </w:r>
          </w:p>
        </w:tc>
        <w:tc>
          <w:tcPr>
            <w:tcW w:w="1209" w:type="dxa"/>
            <w:gridSpan w:val="2"/>
            <w:tcBorders>
              <w:top w:val="single" w:sz="4" w:space="0" w:color="auto"/>
              <w:bottom w:val="single" w:sz="6" w:space="0" w:color="auto"/>
            </w:tcBorders>
            <w:vAlign w:val="bottom"/>
          </w:tcPr>
          <w:p w14:paraId="5E53850A"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523A933"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041ED7D5"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C607CF0" w14:textId="77777777" w:rsidTr="00587378">
        <w:trPr>
          <w:gridBefore w:val="1"/>
          <w:wBefore w:w="17" w:type="dxa"/>
        </w:trPr>
        <w:tc>
          <w:tcPr>
            <w:tcW w:w="7483" w:type="dxa"/>
            <w:gridSpan w:val="2"/>
          </w:tcPr>
          <w:p w14:paraId="02B7C485" w14:textId="77777777" w:rsidR="008666DC" w:rsidRPr="004005A4" w:rsidRDefault="008666DC" w:rsidP="008666DC">
            <w:pPr>
              <w:pStyle w:val="levelb"/>
              <w:tabs>
                <w:tab w:val="clear" w:pos="576"/>
                <w:tab w:val="clear" w:pos="1152"/>
              </w:tabs>
              <w:spacing w:after="120" w:line="240" w:lineRule="atLeast"/>
              <w:ind w:left="592" w:hanging="270"/>
              <w:rPr>
                <w:rFonts w:cs="Calibri Light"/>
                <w:sz w:val="20"/>
                <w:szCs w:val="20"/>
              </w:rPr>
            </w:pPr>
            <w:r w:rsidRPr="004005A4">
              <w:rPr>
                <w:rFonts w:cs="Calibri Light"/>
                <w:sz w:val="20"/>
                <w:szCs w:val="20"/>
              </w:rPr>
              <w:t>e.</w:t>
            </w:r>
            <w:r w:rsidRPr="004005A4">
              <w:rPr>
                <w:rFonts w:cs="Calibri Light"/>
                <w:sz w:val="20"/>
                <w:szCs w:val="20"/>
              </w:rPr>
              <w:tab/>
              <w:t>Provide the information required by Item 1.d., above (even though a difference of opinion regarding the event was not expressed by the registrant and the former accountants) for each of kind of reportable event listed below:</w:t>
            </w:r>
          </w:p>
        </w:tc>
        <w:tc>
          <w:tcPr>
            <w:tcW w:w="1209" w:type="dxa"/>
            <w:gridSpan w:val="2"/>
            <w:tcBorders>
              <w:top w:val="single" w:sz="6" w:space="0" w:color="auto"/>
            </w:tcBorders>
            <w:vAlign w:val="bottom"/>
          </w:tcPr>
          <w:p w14:paraId="5EFADD35"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905319E"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374D5271"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3C90CE7F" w14:textId="77777777" w:rsidTr="00587378">
        <w:trPr>
          <w:gridBefore w:val="1"/>
          <w:wBefore w:w="17" w:type="dxa"/>
        </w:trPr>
        <w:tc>
          <w:tcPr>
            <w:tcW w:w="7483" w:type="dxa"/>
            <w:gridSpan w:val="2"/>
          </w:tcPr>
          <w:p w14:paraId="0CA5CC65" w14:textId="2944E351" w:rsidR="008666DC" w:rsidRPr="004005A4" w:rsidRDefault="008666DC" w:rsidP="008666DC">
            <w:pPr>
              <w:pStyle w:val="level5"/>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(i)</w:t>
            </w:r>
            <w:r w:rsidRPr="004005A4">
              <w:rPr>
                <w:rFonts w:cs="Calibri Light"/>
                <w:sz w:val="20"/>
                <w:szCs w:val="20"/>
              </w:rPr>
              <w:tab/>
              <w:t xml:space="preserve">The accountants </w:t>
            </w:r>
            <w:r>
              <w:rPr>
                <w:rFonts w:cs="Calibri Light"/>
                <w:sz w:val="20"/>
                <w:szCs w:val="20"/>
              </w:rPr>
              <w:t xml:space="preserve">having </w:t>
            </w:r>
            <w:r w:rsidRPr="004005A4">
              <w:rPr>
                <w:rFonts w:cs="Calibri Light"/>
                <w:sz w:val="20"/>
                <w:szCs w:val="20"/>
              </w:rPr>
              <w:t>advised the registrant that the internal controls necessary for the registrant to develop reliable financial statements do not exist.</w:t>
            </w:r>
          </w:p>
        </w:tc>
        <w:tc>
          <w:tcPr>
            <w:tcW w:w="1209" w:type="dxa"/>
            <w:gridSpan w:val="2"/>
            <w:vAlign w:val="bottom"/>
          </w:tcPr>
          <w:p w14:paraId="4F9F03ED"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2666EA5"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4EAF77B9"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149178E" w14:textId="77777777" w:rsidTr="00587378">
        <w:trPr>
          <w:gridBefore w:val="1"/>
          <w:wBefore w:w="17" w:type="dxa"/>
        </w:trPr>
        <w:tc>
          <w:tcPr>
            <w:tcW w:w="7483" w:type="dxa"/>
            <w:gridSpan w:val="2"/>
          </w:tcPr>
          <w:p w14:paraId="1A4EB342" w14:textId="4676DF80" w:rsidR="008666DC" w:rsidRPr="004005A4" w:rsidRDefault="008666DC" w:rsidP="008666DC">
            <w:pPr>
              <w:pStyle w:val="level5"/>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(ii)</w:t>
            </w:r>
            <w:r w:rsidRPr="004005A4">
              <w:rPr>
                <w:rFonts w:cs="Calibri Light"/>
                <w:sz w:val="20"/>
                <w:szCs w:val="20"/>
              </w:rPr>
              <w:tab/>
              <w:t xml:space="preserve">The accountants </w:t>
            </w:r>
            <w:r>
              <w:rPr>
                <w:rFonts w:cs="Calibri Light"/>
                <w:sz w:val="20"/>
                <w:szCs w:val="20"/>
              </w:rPr>
              <w:t xml:space="preserve">having </w:t>
            </w:r>
            <w:r w:rsidRPr="004005A4">
              <w:rPr>
                <w:rFonts w:cs="Calibri Light"/>
                <w:sz w:val="20"/>
                <w:szCs w:val="20"/>
              </w:rPr>
              <w:t>advised the registrant that information had come to their attention that caused them to be unable to rely on management’s representations or that made them unwilling to be associated with the financial statements prepared by management.</w:t>
            </w:r>
          </w:p>
        </w:tc>
        <w:tc>
          <w:tcPr>
            <w:tcW w:w="1209" w:type="dxa"/>
            <w:gridSpan w:val="2"/>
            <w:tcBorders>
              <w:top w:val="single" w:sz="6" w:space="0" w:color="auto"/>
              <w:bottom w:val="single" w:sz="4" w:space="0" w:color="auto"/>
            </w:tcBorders>
            <w:vAlign w:val="bottom"/>
          </w:tcPr>
          <w:p w14:paraId="583FABA3"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DA8830E"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64B866B5"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DF147CB" w14:textId="77777777" w:rsidTr="00587378">
        <w:trPr>
          <w:gridBefore w:val="1"/>
          <w:wBefore w:w="17" w:type="dxa"/>
        </w:trPr>
        <w:tc>
          <w:tcPr>
            <w:tcW w:w="7483" w:type="dxa"/>
            <w:gridSpan w:val="2"/>
          </w:tcPr>
          <w:p w14:paraId="3C196858" w14:textId="6B64F2C9" w:rsidR="008666DC" w:rsidRPr="004005A4" w:rsidRDefault="008666DC" w:rsidP="008666DC">
            <w:pPr>
              <w:pStyle w:val="level5"/>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(iii)</w:t>
            </w:r>
            <w:r w:rsidRPr="004005A4">
              <w:rPr>
                <w:rFonts w:cs="Calibri Light"/>
                <w:sz w:val="20"/>
                <w:szCs w:val="20"/>
              </w:rPr>
              <w:tab/>
            </w:r>
            <w:r w:rsidRPr="005176A2">
              <w:rPr>
                <w:rFonts w:cs="Calibri Light"/>
                <w:sz w:val="20"/>
                <w:szCs w:val="20"/>
              </w:rPr>
              <w:t>The accountants having advised the registrant of the need to expand significantly the scope of its audit, or that information has come to the accountant's attention during the time period covered by Item 304(a)(1)(iv), that if further investigated may</w:t>
            </w:r>
            <w:r>
              <w:rPr>
                <w:rFonts w:cs="Calibri Light"/>
                <w:sz w:val="20"/>
                <w:szCs w:val="20"/>
              </w:rPr>
              <w:t>:</w:t>
            </w:r>
            <w:r w:rsidRPr="004005A4">
              <w:rPr>
                <w:rFonts w:cs="Calibri Light"/>
                <w:sz w:val="20"/>
                <w:szCs w:val="20"/>
              </w:rPr>
              <w:t xml:space="preserve"> (a) materially affect the fairness or reliability of either a previously issued audit report or the underlying financial statements, </w:t>
            </w:r>
            <w:r w:rsidRPr="004005A4">
              <w:rPr>
                <w:rFonts w:cs="Calibri Light"/>
                <w:sz w:val="20"/>
                <w:szCs w:val="20"/>
              </w:rPr>
              <w:lastRenderedPageBreak/>
              <w:t>or the financial statements issued or to be issued covering the period(s) subsequent to the date of the most recent financial statements covered by an audit report (including information that may prevent the accountants from rendering an unqualified audit report on those financial statements), or (b) cause the accountants to be unwilling to rely on management’s representations or be associated with the registrant’s financial statements.</w:t>
            </w:r>
          </w:p>
        </w:tc>
        <w:tc>
          <w:tcPr>
            <w:tcW w:w="1209" w:type="dxa"/>
            <w:gridSpan w:val="2"/>
            <w:tcBorders>
              <w:top w:val="single" w:sz="4" w:space="0" w:color="auto"/>
            </w:tcBorders>
            <w:vAlign w:val="bottom"/>
          </w:tcPr>
          <w:p w14:paraId="35C4D5EE"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B4FDCC2"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1D4DB64"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45E5EE6" w14:textId="77777777" w:rsidTr="00587378">
        <w:trPr>
          <w:gridBefore w:val="1"/>
          <w:wBefore w:w="17" w:type="dxa"/>
        </w:trPr>
        <w:tc>
          <w:tcPr>
            <w:tcW w:w="7483" w:type="dxa"/>
            <w:gridSpan w:val="2"/>
          </w:tcPr>
          <w:p w14:paraId="2C5C26FD" w14:textId="6760BE40" w:rsidR="008666DC" w:rsidRPr="004005A4" w:rsidRDefault="008666DC" w:rsidP="008666DC">
            <w:pPr>
              <w:pStyle w:val="level5"/>
              <w:tabs>
                <w:tab w:val="clear" w:pos="576"/>
                <w:tab w:val="clear" w:pos="1152"/>
                <w:tab w:val="clear" w:pos="1728"/>
              </w:tabs>
              <w:spacing w:after="120" w:line="240" w:lineRule="atLeast"/>
              <w:ind w:left="862" w:hanging="270"/>
              <w:rPr>
                <w:rFonts w:cs="Calibri Light"/>
                <w:sz w:val="20"/>
                <w:szCs w:val="20"/>
              </w:rPr>
            </w:pPr>
            <w:r w:rsidRPr="004005A4">
              <w:rPr>
                <w:rFonts w:cs="Calibri Light"/>
                <w:sz w:val="20"/>
                <w:szCs w:val="20"/>
              </w:rPr>
              <w:t>(iv)</w:t>
            </w:r>
            <w:r w:rsidRPr="004005A4">
              <w:rPr>
                <w:rFonts w:cs="Calibri Light"/>
                <w:sz w:val="20"/>
                <w:szCs w:val="20"/>
              </w:rPr>
              <w:tab/>
              <w:t>The accountants</w:t>
            </w:r>
            <w:r>
              <w:rPr>
                <w:rFonts w:cs="Calibri Light"/>
                <w:sz w:val="20"/>
                <w:szCs w:val="20"/>
              </w:rPr>
              <w:t xml:space="preserve"> having</w:t>
            </w:r>
            <w:r w:rsidRPr="004005A4">
              <w:rPr>
                <w:rFonts w:cs="Calibri Light"/>
                <w:sz w:val="20"/>
                <w:szCs w:val="20"/>
              </w:rPr>
              <w:t xml:space="preserve"> advised the registrant that information had come to the accountants’ attention that materially impacts the fairness or reliability of either (a) a previously issued audit report or the underlying financial statements, or (b) the financial statements issued or to be issued covering the fiscal period(s) subsequent to the date of the most recent financial statements covered by an audit report (including information that, unless resolved to the accountants’ satisfaction, would prevent them from rendering an unqualified audit report on those financial statements), and the issue </w:t>
            </w:r>
            <w:r>
              <w:rPr>
                <w:rFonts w:cs="Calibri Light"/>
                <w:sz w:val="20"/>
                <w:szCs w:val="20"/>
              </w:rPr>
              <w:t>has</w:t>
            </w:r>
            <w:r w:rsidRPr="004005A4">
              <w:rPr>
                <w:rFonts w:cs="Calibri Light"/>
                <w:sz w:val="20"/>
                <w:szCs w:val="20"/>
              </w:rPr>
              <w:t xml:space="preserve"> not</w:t>
            </w:r>
            <w:r>
              <w:rPr>
                <w:rFonts w:cs="Calibri Light"/>
                <w:sz w:val="20"/>
                <w:szCs w:val="20"/>
              </w:rPr>
              <w:t xml:space="preserve"> been</w:t>
            </w:r>
            <w:r w:rsidRPr="004005A4">
              <w:rPr>
                <w:rFonts w:cs="Calibri Light"/>
                <w:sz w:val="20"/>
                <w:szCs w:val="20"/>
              </w:rPr>
              <w:t xml:space="preserve"> resolved (for any reason) to the accountants’ satisfaction prior to their departure.</w:t>
            </w:r>
          </w:p>
        </w:tc>
        <w:tc>
          <w:tcPr>
            <w:tcW w:w="1209" w:type="dxa"/>
            <w:gridSpan w:val="2"/>
            <w:tcBorders>
              <w:top w:val="single" w:sz="4" w:space="0" w:color="auto"/>
            </w:tcBorders>
            <w:vAlign w:val="bottom"/>
          </w:tcPr>
          <w:p w14:paraId="665095A5" w14:textId="77777777" w:rsidR="008666DC" w:rsidRPr="004005A4" w:rsidRDefault="008666DC" w:rsidP="008666DC">
            <w:pPr>
              <w:pStyle w:val="levela"/>
              <w:keepNext/>
              <w:spacing w:before="120" w:after="120" w:line="240" w:lineRule="atLeast"/>
              <w:jc w:val="center"/>
              <w:rPr>
                <w:rFonts w:cs="Calibri Light"/>
                <w:b/>
                <w:sz w:val="20"/>
                <w:szCs w:val="20"/>
              </w:rPr>
            </w:pPr>
          </w:p>
        </w:tc>
        <w:tc>
          <w:tcPr>
            <w:tcW w:w="236" w:type="dxa"/>
            <w:gridSpan w:val="3"/>
            <w:vAlign w:val="bottom"/>
          </w:tcPr>
          <w:p w14:paraId="3C89BDB3" w14:textId="77777777" w:rsidR="008666DC" w:rsidRPr="004005A4" w:rsidRDefault="008666DC" w:rsidP="008666DC">
            <w:pPr>
              <w:pStyle w:val="levela"/>
              <w:keepNext/>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B3F3EF1" w14:textId="77777777" w:rsidR="008666DC" w:rsidRPr="004005A4" w:rsidRDefault="008666DC" w:rsidP="008666DC">
            <w:pPr>
              <w:pStyle w:val="levela"/>
              <w:keepNext/>
              <w:spacing w:before="120" w:after="120" w:line="240" w:lineRule="atLeast"/>
              <w:jc w:val="center"/>
              <w:rPr>
                <w:rFonts w:cs="Calibri Light"/>
                <w:b/>
                <w:sz w:val="20"/>
                <w:szCs w:val="20"/>
              </w:rPr>
            </w:pPr>
          </w:p>
        </w:tc>
      </w:tr>
      <w:tr w:rsidR="008666DC" w:rsidRPr="004005A4" w14:paraId="204F1BAA" w14:textId="77777777" w:rsidTr="00587378">
        <w:trPr>
          <w:gridBefore w:val="1"/>
          <w:wBefore w:w="17" w:type="dxa"/>
        </w:trPr>
        <w:tc>
          <w:tcPr>
            <w:tcW w:w="7483" w:type="dxa"/>
            <w:gridSpan w:val="2"/>
          </w:tcPr>
          <w:p w14:paraId="036B4BA4" w14:textId="28D8A9FA" w:rsidR="008666DC" w:rsidRPr="004005A4" w:rsidRDefault="00F42F18" w:rsidP="008666DC">
            <w:pPr>
              <w:pStyle w:val="levela"/>
              <w:tabs>
                <w:tab w:val="clear" w:pos="576"/>
              </w:tabs>
              <w:spacing w:before="120" w:after="120" w:line="240" w:lineRule="atLeast"/>
              <w:ind w:left="232" w:hanging="232"/>
              <w:rPr>
                <w:rFonts w:cs="Calibri Light"/>
                <w:sz w:val="20"/>
                <w:szCs w:val="20"/>
              </w:rPr>
            </w:pPr>
            <w:r>
              <w:rPr>
                <w:rFonts w:cs="Calibri Light"/>
                <w:sz w:val="20"/>
                <w:szCs w:val="20"/>
              </w:rPr>
              <w:t>6.</w:t>
            </w:r>
            <w:r>
              <w:rPr>
                <w:rFonts w:cs="Calibri Light"/>
                <w:sz w:val="20"/>
                <w:szCs w:val="20"/>
              </w:rPr>
              <w:tab/>
            </w:r>
            <w:r w:rsidR="008666DC" w:rsidRPr="004005A4">
              <w:rPr>
                <w:rFonts w:cs="Calibri Light"/>
                <w:sz w:val="20"/>
                <w:szCs w:val="20"/>
              </w:rPr>
              <w:t>If, during the two most recent years or any subsequent interim period, new principal accountants (or new accountants for a significant subsidiary on whom the principal accountants are expected to express reliance) have been engaged, identify the new accountants and the date of engagement.</w:t>
            </w:r>
          </w:p>
        </w:tc>
        <w:tc>
          <w:tcPr>
            <w:tcW w:w="1209" w:type="dxa"/>
            <w:gridSpan w:val="2"/>
            <w:tcBorders>
              <w:top w:val="single" w:sz="4" w:space="0" w:color="auto"/>
              <w:bottom w:val="single" w:sz="6" w:space="0" w:color="auto"/>
            </w:tcBorders>
            <w:vAlign w:val="bottom"/>
          </w:tcPr>
          <w:p w14:paraId="46417AE4"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9144C07"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7AB58227"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BC8FABA" w14:textId="77777777" w:rsidTr="00587378">
        <w:trPr>
          <w:gridBefore w:val="1"/>
          <w:wBefore w:w="17" w:type="dxa"/>
        </w:trPr>
        <w:tc>
          <w:tcPr>
            <w:tcW w:w="7483" w:type="dxa"/>
            <w:gridSpan w:val="2"/>
          </w:tcPr>
          <w:p w14:paraId="15E5083A" w14:textId="55E14067" w:rsidR="008666DC" w:rsidRPr="004005A4" w:rsidRDefault="00F42F18" w:rsidP="008666DC">
            <w:pPr>
              <w:pStyle w:val="levela"/>
              <w:tabs>
                <w:tab w:val="clear" w:pos="576"/>
              </w:tabs>
              <w:spacing w:before="120" w:after="120" w:line="240" w:lineRule="atLeast"/>
              <w:ind w:left="232" w:hanging="232"/>
              <w:rPr>
                <w:rFonts w:cs="Calibri Light"/>
                <w:sz w:val="20"/>
                <w:szCs w:val="20"/>
              </w:rPr>
            </w:pPr>
            <w:r>
              <w:rPr>
                <w:rFonts w:cs="Calibri Light"/>
                <w:sz w:val="20"/>
                <w:szCs w:val="20"/>
              </w:rPr>
              <w:t>7.</w:t>
            </w:r>
            <w:r>
              <w:rPr>
                <w:rFonts w:cs="Calibri Light"/>
                <w:sz w:val="20"/>
                <w:szCs w:val="20"/>
              </w:rPr>
              <w:tab/>
            </w:r>
            <w:r w:rsidR="008666DC" w:rsidRPr="004005A4">
              <w:rPr>
                <w:rFonts w:cs="Calibri Light"/>
                <w:sz w:val="20"/>
                <w:szCs w:val="20"/>
              </w:rPr>
              <w:t>If, during the two most recent years or subsequent interim period prior to engaging new accountants, the registrant (or someone on its behalf) consulted the new accountants regarding (a) either the application of accounting principles to a specified transaction (either completed or proposed) or the type of audit opinion that might be rendered on the registrant’s financial statements, and a written report or oral advice was provided that the new accountants concluded was an important factor considered by the registrant in reaching a decision about the accounting, auditing, or financial reporting issue; or (b) any matter that was the subject of a disagreement [See Item 1.d. above] or a reportable event [See Item 1.e. above] then:</w:t>
            </w:r>
          </w:p>
        </w:tc>
        <w:tc>
          <w:tcPr>
            <w:tcW w:w="1209" w:type="dxa"/>
            <w:gridSpan w:val="2"/>
            <w:tcBorders>
              <w:top w:val="single" w:sz="6" w:space="0" w:color="auto"/>
            </w:tcBorders>
            <w:vAlign w:val="bottom"/>
          </w:tcPr>
          <w:p w14:paraId="0E7946C8"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D9D127D"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6DDB2936"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445C169" w14:textId="77777777" w:rsidTr="00587378">
        <w:trPr>
          <w:gridBefore w:val="1"/>
          <w:wBefore w:w="17" w:type="dxa"/>
        </w:trPr>
        <w:tc>
          <w:tcPr>
            <w:tcW w:w="7483" w:type="dxa"/>
            <w:gridSpan w:val="2"/>
          </w:tcPr>
          <w:p w14:paraId="384759A8" w14:textId="77777777" w:rsidR="008666DC" w:rsidRPr="004005A4" w:rsidRDefault="008666DC" w:rsidP="008666DC">
            <w:pPr>
              <w:pStyle w:val="levelb"/>
              <w:keepNext/>
              <w:tabs>
                <w:tab w:val="clear" w:pos="576"/>
                <w:tab w:val="clear" w:pos="1152"/>
              </w:tabs>
              <w:spacing w:after="120" w:line="240" w:lineRule="atLeast"/>
              <w:ind w:left="502" w:hanging="270"/>
              <w:rPr>
                <w:rFonts w:cs="Calibri Light"/>
                <w:sz w:val="20"/>
                <w:szCs w:val="20"/>
              </w:rPr>
            </w:pPr>
            <w:r w:rsidRPr="004005A4">
              <w:rPr>
                <w:rFonts w:cs="Calibri Light"/>
                <w:sz w:val="20"/>
                <w:szCs w:val="20"/>
              </w:rPr>
              <w:t>a.</w:t>
            </w:r>
            <w:r w:rsidRPr="004005A4">
              <w:rPr>
                <w:rFonts w:cs="Calibri Light"/>
                <w:sz w:val="20"/>
                <w:szCs w:val="20"/>
              </w:rPr>
              <w:tab/>
              <w:t>Disclose the issue(s) that was(were) the subject of the consultation(s).</w:t>
            </w:r>
          </w:p>
        </w:tc>
        <w:tc>
          <w:tcPr>
            <w:tcW w:w="1209" w:type="dxa"/>
            <w:gridSpan w:val="2"/>
            <w:tcBorders>
              <w:bottom w:val="single" w:sz="6" w:space="0" w:color="auto"/>
            </w:tcBorders>
            <w:vAlign w:val="bottom"/>
          </w:tcPr>
          <w:p w14:paraId="244762B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61A1DFEA"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1A17F604"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EFC6347" w14:textId="77777777" w:rsidTr="00587378">
        <w:trPr>
          <w:gridBefore w:val="1"/>
          <w:wBefore w:w="17" w:type="dxa"/>
        </w:trPr>
        <w:tc>
          <w:tcPr>
            <w:tcW w:w="7483" w:type="dxa"/>
            <w:gridSpan w:val="2"/>
          </w:tcPr>
          <w:p w14:paraId="23199756"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b.</w:t>
            </w:r>
            <w:r w:rsidRPr="004005A4">
              <w:rPr>
                <w:rFonts w:cs="Calibri Light"/>
                <w:sz w:val="20"/>
                <w:szCs w:val="20"/>
              </w:rPr>
              <w:tab/>
              <w:t>Describe the views of the new accountants (as expressed orally or in writing) on each such issue.  If written views were provided, file such as an exhibit to the filing.</w:t>
            </w:r>
          </w:p>
        </w:tc>
        <w:tc>
          <w:tcPr>
            <w:tcW w:w="1209" w:type="dxa"/>
            <w:gridSpan w:val="2"/>
            <w:tcBorders>
              <w:top w:val="single" w:sz="6" w:space="0" w:color="auto"/>
            </w:tcBorders>
            <w:vAlign w:val="bottom"/>
          </w:tcPr>
          <w:p w14:paraId="27CF8EF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60AB7F14"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2E36FFB4"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6DF29E4B" w14:textId="77777777" w:rsidTr="00587378">
        <w:trPr>
          <w:gridBefore w:val="1"/>
          <w:wBefore w:w="17" w:type="dxa"/>
        </w:trPr>
        <w:tc>
          <w:tcPr>
            <w:tcW w:w="7483" w:type="dxa"/>
            <w:gridSpan w:val="2"/>
          </w:tcPr>
          <w:p w14:paraId="037947D4"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c.</w:t>
            </w:r>
            <w:r w:rsidRPr="004005A4">
              <w:rPr>
                <w:rFonts w:cs="Calibri Light"/>
                <w:sz w:val="20"/>
                <w:szCs w:val="20"/>
              </w:rPr>
              <w:tab/>
              <w:t>State whether the former accountants were consulted by the registrant regarding any such issue.  If the former accountants were consulted, provide a summary of their views.</w:t>
            </w:r>
          </w:p>
        </w:tc>
        <w:tc>
          <w:tcPr>
            <w:tcW w:w="1209" w:type="dxa"/>
            <w:gridSpan w:val="2"/>
            <w:tcBorders>
              <w:top w:val="single" w:sz="4" w:space="0" w:color="auto"/>
              <w:bottom w:val="single" w:sz="4" w:space="0" w:color="auto"/>
            </w:tcBorders>
            <w:vAlign w:val="bottom"/>
          </w:tcPr>
          <w:p w14:paraId="5EC549DC"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1AF5F74"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FEDB982"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8B2D37B" w14:textId="77777777" w:rsidTr="00587378">
        <w:trPr>
          <w:gridBefore w:val="1"/>
          <w:wBefore w:w="17" w:type="dxa"/>
        </w:trPr>
        <w:tc>
          <w:tcPr>
            <w:tcW w:w="7483" w:type="dxa"/>
            <w:gridSpan w:val="2"/>
          </w:tcPr>
          <w:p w14:paraId="0FAF9CEF"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d.</w:t>
            </w:r>
            <w:r w:rsidRPr="004005A4">
              <w:rPr>
                <w:rFonts w:cs="Calibri Light"/>
                <w:sz w:val="20"/>
                <w:szCs w:val="20"/>
              </w:rPr>
              <w:tab/>
              <w:t>File, as an exhibit to the filing, any letter provided by the new accountants that contains any new information, clarification of the registrant’s expression of the new accountants’ views, or the respects in which the new accountants do not agree with the statements made by the registrant relative to such consultations.</w:t>
            </w:r>
          </w:p>
        </w:tc>
        <w:tc>
          <w:tcPr>
            <w:tcW w:w="1209" w:type="dxa"/>
            <w:gridSpan w:val="2"/>
            <w:tcBorders>
              <w:top w:val="single" w:sz="4" w:space="0" w:color="auto"/>
              <w:bottom w:val="single" w:sz="4" w:space="0" w:color="auto"/>
            </w:tcBorders>
            <w:vAlign w:val="bottom"/>
          </w:tcPr>
          <w:p w14:paraId="5F242FB3"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A46CCAF"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59270334"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76BEE78" w14:textId="77777777" w:rsidTr="00587378">
        <w:trPr>
          <w:gridBefore w:val="1"/>
          <w:wBefore w:w="17" w:type="dxa"/>
        </w:trPr>
        <w:tc>
          <w:tcPr>
            <w:tcW w:w="7483" w:type="dxa"/>
            <w:gridSpan w:val="2"/>
          </w:tcPr>
          <w:p w14:paraId="0F67FD9D" w14:textId="3D7090AD" w:rsidR="008666DC" w:rsidRPr="004005A4" w:rsidRDefault="00F42F18" w:rsidP="008666DC">
            <w:pPr>
              <w:pStyle w:val="levela"/>
              <w:tabs>
                <w:tab w:val="clear" w:pos="576"/>
              </w:tabs>
              <w:spacing w:before="120" w:after="120" w:line="240" w:lineRule="atLeast"/>
              <w:ind w:left="232" w:hanging="232"/>
              <w:rPr>
                <w:rFonts w:cs="Calibri Light"/>
                <w:sz w:val="20"/>
                <w:szCs w:val="20"/>
              </w:rPr>
            </w:pPr>
            <w:r>
              <w:rPr>
                <w:rFonts w:cs="Calibri Light"/>
                <w:sz w:val="20"/>
                <w:szCs w:val="20"/>
              </w:rPr>
              <w:lastRenderedPageBreak/>
              <w:t>8</w:t>
            </w:r>
            <w:r w:rsidR="008666DC" w:rsidRPr="004005A4">
              <w:rPr>
                <w:rFonts w:cs="Calibri Light"/>
                <w:sz w:val="20"/>
                <w:szCs w:val="20"/>
              </w:rPr>
              <w:t>.</w:t>
            </w:r>
            <w:r w:rsidR="008666DC" w:rsidRPr="004005A4">
              <w:rPr>
                <w:rFonts w:cs="Calibri Light"/>
                <w:sz w:val="20"/>
                <w:szCs w:val="20"/>
              </w:rPr>
              <w:tab/>
              <w:t xml:space="preserve">File, as an exhibit to the filing, a letter provided by the former accountants that states whether they agree with the registrant’s disclosures made pursuant to Items 1 through 3, above.  The letter is to state the respects of any disagreements the former accountants have concerning the disclosures.  If the former accountants’ letter is not available at the time of the filing, the former accountants’ letter is to be filed as an amendment within 10 business days thereafter.  </w:t>
            </w:r>
          </w:p>
        </w:tc>
        <w:tc>
          <w:tcPr>
            <w:tcW w:w="1209" w:type="dxa"/>
            <w:gridSpan w:val="2"/>
            <w:tcBorders>
              <w:top w:val="single" w:sz="4" w:space="0" w:color="auto"/>
              <w:bottom w:val="single" w:sz="4" w:space="0" w:color="auto"/>
            </w:tcBorders>
            <w:vAlign w:val="bottom"/>
          </w:tcPr>
          <w:p w14:paraId="2379210A"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8F54E87"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5D27F56"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67EFADC8" w14:textId="77777777" w:rsidTr="00587378">
        <w:trPr>
          <w:gridBefore w:val="1"/>
          <w:wBefore w:w="17" w:type="dxa"/>
        </w:trPr>
        <w:tc>
          <w:tcPr>
            <w:tcW w:w="7483" w:type="dxa"/>
            <w:gridSpan w:val="2"/>
          </w:tcPr>
          <w:p w14:paraId="72A83E8B" w14:textId="633C38F9" w:rsidR="008666DC" w:rsidRPr="004005A4" w:rsidRDefault="008666DC" w:rsidP="008666DC">
            <w:pPr>
              <w:pStyle w:val="levela"/>
              <w:tabs>
                <w:tab w:val="clear" w:pos="576"/>
              </w:tabs>
              <w:spacing w:before="120" w:after="120" w:line="240" w:lineRule="atLeast"/>
              <w:ind w:left="232" w:firstLine="0"/>
              <w:rPr>
                <w:rFonts w:cs="Calibri Light"/>
                <w:sz w:val="20"/>
                <w:szCs w:val="20"/>
              </w:rPr>
            </w:pPr>
            <w:r w:rsidRPr="004005A4">
              <w:rPr>
                <w:rFonts w:cs="Calibri Light"/>
                <w:sz w:val="20"/>
                <w:szCs w:val="20"/>
              </w:rPr>
              <w:t>Notwithstanding this 10-day requirement, the letter is to be filed within two business days of receipt by the registrant.  If the former accountants’ letter is received on a Saturday, Sunday, or holiday on which the SEC is not open, the two-business-day period begins to run on and includes the first business day thereafter.</w:t>
            </w:r>
          </w:p>
        </w:tc>
        <w:tc>
          <w:tcPr>
            <w:tcW w:w="1209" w:type="dxa"/>
            <w:gridSpan w:val="2"/>
            <w:tcBorders>
              <w:top w:val="single" w:sz="4" w:space="0" w:color="auto"/>
            </w:tcBorders>
            <w:vAlign w:val="bottom"/>
          </w:tcPr>
          <w:p w14:paraId="3B74493E"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72A94FB"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7A249A2"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CA1D987" w14:textId="77777777" w:rsidTr="00587378">
        <w:trPr>
          <w:gridBefore w:val="1"/>
          <w:wBefore w:w="17" w:type="dxa"/>
        </w:trPr>
        <w:tc>
          <w:tcPr>
            <w:tcW w:w="7483" w:type="dxa"/>
            <w:gridSpan w:val="2"/>
          </w:tcPr>
          <w:p w14:paraId="70EABB01" w14:textId="2A95229F" w:rsidR="008666DC" w:rsidRPr="004005A4" w:rsidRDefault="008666DC" w:rsidP="008666DC">
            <w:pPr>
              <w:pStyle w:val="levela"/>
              <w:tabs>
                <w:tab w:val="clear" w:pos="576"/>
              </w:tabs>
              <w:spacing w:before="120" w:after="120" w:line="240" w:lineRule="atLeast"/>
              <w:ind w:left="232" w:firstLine="0"/>
              <w:rPr>
                <w:rFonts w:cs="Calibri Light"/>
                <w:sz w:val="20"/>
                <w:szCs w:val="20"/>
              </w:rPr>
            </w:pPr>
            <w:r w:rsidRPr="004005A4">
              <w:rPr>
                <w:rFonts w:cs="Calibri Light"/>
                <w:sz w:val="20"/>
                <w:szCs w:val="20"/>
              </w:rPr>
              <w:t>If the former accountants provide the registrant with an interim letter, and if such letter was not included in the original document, file such interim letter by amendment within two business days of receipt.</w:t>
            </w:r>
          </w:p>
        </w:tc>
        <w:tc>
          <w:tcPr>
            <w:tcW w:w="1209" w:type="dxa"/>
            <w:gridSpan w:val="2"/>
            <w:vAlign w:val="bottom"/>
          </w:tcPr>
          <w:p w14:paraId="7814FE0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8629608"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592286FF"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301B3D2D" w14:textId="77777777" w:rsidTr="00587378">
        <w:trPr>
          <w:gridBefore w:val="1"/>
          <w:wBefore w:w="17" w:type="dxa"/>
        </w:trPr>
        <w:tc>
          <w:tcPr>
            <w:tcW w:w="7483" w:type="dxa"/>
            <w:gridSpan w:val="2"/>
          </w:tcPr>
          <w:p w14:paraId="0822D14F" w14:textId="226B0DD9" w:rsidR="008666DC" w:rsidRPr="004005A4" w:rsidRDefault="00F42F18" w:rsidP="008666DC">
            <w:pPr>
              <w:pStyle w:val="levela"/>
              <w:tabs>
                <w:tab w:val="clear" w:pos="576"/>
              </w:tabs>
              <w:spacing w:before="120" w:after="120" w:line="240" w:lineRule="atLeast"/>
              <w:ind w:left="232" w:hanging="232"/>
              <w:rPr>
                <w:rFonts w:cs="Calibri Light"/>
                <w:sz w:val="20"/>
                <w:szCs w:val="20"/>
              </w:rPr>
            </w:pPr>
            <w:r>
              <w:rPr>
                <w:rFonts w:cs="Calibri Light"/>
                <w:sz w:val="20"/>
                <w:szCs w:val="20"/>
              </w:rPr>
              <w:t>9</w:t>
            </w:r>
            <w:r w:rsidR="008666DC" w:rsidRPr="004005A4">
              <w:rPr>
                <w:rFonts w:cs="Calibri Light"/>
                <w:sz w:val="20"/>
                <w:szCs w:val="20"/>
              </w:rPr>
              <w:t>.</w:t>
            </w:r>
            <w:r w:rsidR="008666DC" w:rsidRPr="004005A4">
              <w:rPr>
                <w:rFonts w:cs="Calibri Light"/>
                <w:sz w:val="20"/>
                <w:szCs w:val="20"/>
              </w:rPr>
              <w:tab/>
              <w:t>If disclosure was required of any disagreements [Item 1.d., above] or reportable events [Item 1.e., above] and if during the year in which the change in accountants took place (or during the subsequent year) there were any transactions or events similar to those involved in such disagreement(s) or reportable event(s) that were accounted for (or disclosed) in a manner different from that which the former accountants apparently would have required, then:</w:t>
            </w:r>
          </w:p>
        </w:tc>
        <w:tc>
          <w:tcPr>
            <w:tcW w:w="1209" w:type="dxa"/>
            <w:gridSpan w:val="2"/>
            <w:tcBorders>
              <w:top w:val="single" w:sz="4" w:space="0" w:color="auto"/>
            </w:tcBorders>
            <w:vAlign w:val="bottom"/>
          </w:tcPr>
          <w:p w14:paraId="3AC47F3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F505D2F"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9139A81"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38A0BC18" w14:textId="77777777" w:rsidTr="00587378">
        <w:trPr>
          <w:gridBefore w:val="1"/>
          <w:wBefore w:w="17" w:type="dxa"/>
        </w:trPr>
        <w:tc>
          <w:tcPr>
            <w:tcW w:w="7483" w:type="dxa"/>
            <w:gridSpan w:val="2"/>
          </w:tcPr>
          <w:p w14:paraId="2006B9EC"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a.</w:t>
            </w:r>
            <w:r w:rsidRPr="004005A4">
              <w:rPr>
                <w:rFonts w:cs="Calibri Light"/>
                <w:sz w:val="20"/>
                <w:szCs w:val="20"/>
              </w:rPr>
              <w:tab/>
              <w:t>Disclose the existence and the nature of the disagreement or reportable event.</w:t>
            </w:r>
          </w:p>
        </w:tc>
        <w:tc>
          <w:tcPr>
            <w:tcW w:w="1209" w:type="dxa"/>
            <w:gridSpan w:val="2"/>
            <w:tcBorders>
              <w:bottom w:val="single" w:sz="4" w:space="0" w:color="auto"/>
            </w:tcBorders>
            <w:vAlign w:val="bottom"/>
          </w:tcPr>
          <w:p w14:paraId="3D174CA8"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1E48C2B"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77E21DDE"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C285DBD" w14:textId="77777777" w:rsidTr="00587378">
        <w:trPr>
          <w:gridBefore w:val="1"/>
          <w:wBefore w:w="17" w:type="dxa"/>
        </w:trPr>
        <w:tc>
          <w:tcPr>
            <w:tcW w:w="7483" w:type="dxa"/>
            <w:gridSpan w:val="2"/>
          </w:tcPr>
          <w:p w14:paraId="095CB4AC"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b.</w:t>
            </w:r>
            <w:r w:rsidRPr="004005A4">
              <w:rPr>
                <w:rFonts w:cs="Calibri Light"/>
                <w:sz w:val="20"/>
                <w:szCs w:val="20"/>
              </w:rPr>
              <w:tab/>
              <w:t>State the effect on the financial statements if the method that the former accountants would have apparently concluded was required, had been followed.</w:t>
            </w:r>
          </w:p>
        </w:tc>
        <w:tc>
          <w:tcPr>
            <w:tcW w:w="1209" w:type="dxa"/>
            <w:gridSpan w:val="2"/>
            <w:tcBorders>
              <w:top w:val="single" w:sz="4" w:space="0" w:color="auto"/>
            </w:tcBorders>
            <w:vAlign w:val="bottom"/>
          </w:tcPr>
          <w:p w14:paraId="448BD6B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3B82495"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A6051A2"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69BD9BF" w14:textId="77777777" w:rsidTr="00587378">
        <w:trPr>
          <w:gridBefore w:val="1"/>
          <w:wBefore w:w="17" w:type="dxa"/>
        </w:trPr>
        <w:tc>
          <w:tcPr>
            <w:tcW w:w="7483" w:type="dxa"/>
            <w:gridSpan w:val="2"/>
          </w:tcPr>
          <w:p w14:paraId="23A0E3BE"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c.</w:t>
            </w:r>
            <w:r w:rsidRPr="004005A4">
              <w:rPr>
                <w:rFonts w:cs="Calibri Light"/>
                <w:sz w:val="20"/>
                <w:szCs w:val="20"/>
              </w:rPr>
              <w:tab/>
              <w:t>The above disclosures are not required if the method asserted by the former accountants ceases to be generally accepted because of subsequent changes in authoritative standards or interpretations.</w:t>
            </w:r>
          </w:p>
        </w:tc>
        <w:tc>
          <w:tcPr>
            <w:tcW w:w="1209" w:type="dxa"/>
            <w:gridSpan w:val="2"/>
            <w:tcBorders>
              <w:top w:val="single" w:sz="4" w:space="0" w:color="auto"/>
              <w:bottom w:val="single" w:sz="4" w:space="0" w:color="auto"/>
            </w:tcBorders>
            <w:vAlign w:val="bottom"/>
          </w:tcPr>
          <w:p w14:paraId="6E4DBFD2"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7C4C64A"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12F7C70C"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F7DE781" w14:textId="77777777" w:rsidTr="00587378">
        <w:trPr>
          <w:gridBefore w:val="1"/>
          <w:wBefore w:w="17" w:type="dxa"/>
        </w:trPr>
        <w:tc>
          <w:tcPr>
            <w:tcW w:w="7483" w:type="dxa"/>
            <w:gridSpan w:val="2"/>
          </w:tcPr>
          <w:p w14:paraId="63FD4BAD" w14:textId="77777777" w:rsidR="008666DC" w:rsidRPr="004005A4" w:rsidRDefault="008666DC" w:rsidP="008666DC">
            <w:pPr>
              <w:pStyle w:val="FormTableHeaderRow"/>
              <w:keepNext/>
              <w:rPr>
                <w:rFonts w:cs="Calibri Light"/>
                <w:bCs w:val="0"/>
                <w:sz w:val="20"/>
                <w:szCs w:val="20"/>
              </w:rPr>
            </w:pPr>
            <w:bookmarkStart w:id="50" w:name="_Item_305—Quantitative_and"/>
            <w:bookmarkEnd w:id="50"/>
            <w:r w:rsidRPr="004005A4">
              <w:rPr>
                <w:rFonts w:cs="Calibri Light"/>
                <w:sz w:val="20"/>
                <w:szCs w:val="20"/>
              </w:rPr>
              <w:t>Item 305 — Quantitative and qualitative disclosure about market risk</w:t>
            </w:r>
          </w:p>
        </w:tc>
        <w:tc>
          <w:tcPr>
            <w:tcW w:w="1209" w:type="dxa"/>
            <w:gridSpan w:val="2"/>
            <w:tcBorders>
              <w:top w:val="single" w:sz="4" w:space="0" w:color="auto"/>
            </w:tcBorders>
            <w:vAlign w:val="bottom"/>
          </w:tcPr>
          <w:p w14:paraId="074D1D25"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463BA22"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0E86BD6"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CADA634" w14:textId="77777777" w:rsidTr="00587378">
        <w:trPr>
          <w:gridBefore w:val="1"/>
          <w:wBefore w:w="17" w:type="dxa"/>
        </w:trPr>
        <w:tc>
          <w:tcPr>
            <w:tcW w:w="7483" w:type="dxa"/>
            <w:gridSpan w:val="2"/>
          </w:tcPr>
          <w:p w14:paraId="3C2715F5" w14:textId="77777777" w:rsidR="008666DC" w:rsidRPr="004005A4" w:rsidRDefault="008666DC" w:rsidP="008666DC">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a.</w:t>
            </w:r>
            <w:r w:rsidRPr="004005A4">
              <w:rPr>
                <w:rFonts w:cs="Calibri Light"/>
                <w:b/>
                <w:sz w:val="20"/>
                <w:szCs w:val="20"/>
              </w:rPr>
              <w:tab/>
              <w:t>Quantitative information about market risk.</w:t>
            </w:r>
          </w:p>
        </w:tc>
        <w:tc>
          <w:tcPr>
            <w:tcW w:w="1209" w:type="dxa"/>
            <w:gridSpan w:val="2"/>
            <w:vAlign w:val="bottom"/>
          </w:tcPr>
          <w:p w14:paraId="42822687"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60CF0AC"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0979B1FB"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3946D1CC" w14:textId="77777777" w:rsidTr="00587378">
        <w:trPr>
          <w:gridBefore w:val="1"/>
          <w:wBefore w:w="17" w:type="dxa"/>
        </w:trPr>
        <w:tc>
          <w:tcPr>
            <w:tcW w:w="7483" w:type="dxa"/>
            <w:gridSpan w:val="2"/>
          </w:tcPr>
          <w:p w14:paraId="4CCDDF53"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(1)</w:t>
            </w:r>
            <w:r w:rsidRPr="004005A4">
              <w:rPr>
                <w:rFonts w:cs="Calibri Light"/>
                <w:sz w:val="20"/>
                <w:szCs w:val="20"/>
              </w:rPr>
              <w:tab/>
              <w:t xml:space="preserve">Registrants should provide, in their reporting currency, quantitative information about market risk as of the end of the latest fiscal year, in accordance with one of the following three disclosure alternatives. In preparing this quantitative information, registrants should categorize market risk sensitive instruments into instruments entered into for trading purposes and instruments entered into for purposes other than trading purposes. Within both the trading and other than trading portfolios, separate quantitative information should be presented, to the extent material, for each market risk exposure category (i.e., interest rate risk, foreign currency exchange rate risk, commodity price risk, and other relevant market risks, such as equity price risk). A registrant may use one of the three alternatives set forth below for all of the required quantitative disclosures about </w:t>
            </w:r>
            <w:r w:rsidRPr="004005A4">
              <w:rPr>
                <w:rFonts w:cs="Calibri Light"/>
                <w:sz w:val="20"/>
                <w:szCs w:val="20"/>
              </w:rPr>
              <w:lastRenderedPageBreak/>
              <w:t>market risk. A registrant may also choose, from among the three alternatives, one disclosure alternative for market risk sensitive instruments entered into for trading purposes and another disclosure alternative for market risk sensitive instruments entered into for other than trading purposes. Alternatively, a registrant may choose any disclosure alternative, from among the three alternatives, for each risk exposure category within the trading and other than trading portfolios. The three disclosure alternatives are:</w:t>
            </w:r>
          </w:p>
        </w:tc>
        <w:tc>
          <w:tcPr>
            <w:tcW w:w="1209" w:type="dxa"/>
            <w:gridSpan w:val="2"/>
            <w:vAlign w:val="bottom"/>
          </w:tcPr>
          <w:p w14:paraId="10FD431B"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F040F04"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39C0ECBD"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942D6A3" w14:textId="77777777" w:rsidTr="00587378">
        <w:trPr>
          <w:gridBefore w:val="1"/>
          <w:wBefore w:w="17" w:type="dxa"/>
        </w:trPr>
        <w:tc>
          <w:tcPr>
            <w:tcW w:w="7483" w:type="dxa"/>
            <w:gridSpan w:val="2"/>
          </w:tcPr>
          <w:p w14:paraId="6CEB4F5B" w14:textId="77777777" w:rsidR="008666DC" w:rsidRPr="004005A4" w:rsidRDefault="008666DC" w:rsidP="008666DC">
            <w:pPr>
              <w:pStyle w:val="level5"/>
              <w:tabs>
                <w:tab w:val="clear" w:pos="576"/>
                <w:tab w:val="clear" w:pos="1152"/>
                <w:tab w:val="clear" w:pos="1728"/>
              </w:tabs>
              <w:spacing w:after="120" w:line="240" w:lineRule="atLeast"/>
              <w:ind w:left="682" w:hanging="180"/>
              <w:rPr>
                <w:rFonts w:cs="Calibri Light"/>
                <w:sz w:val="20"/>
                <w:szCs w:val="20"/>
              </w:rPr>
            </w:pPr>
            <w:r w:rsidRPr="004005A4">
              <w:rPr>
                <w:rFonts w:cs="Calibri Light"/>
                <w:sz w:val="20"/>
                <w:szCs w:val="20"/>
              </w:rPr>
              <w:t>(i)</w:t>
            </w:r>
            <w:r w:rsidRPr="004005A4">
              <w:rPr>
                <w:rFonts w:cs="Calibri Light"/>
                <w:sz w:val="20"/>
                <w:szCs w:val="20"/>
              </w:rPr>
              <w:tab/>
              <w:t>(A)(1) Tabular presentation of information related to market risk sensitive instruments; such information should include fair values of the market risk sensitive instruments and contract terms sufficient to determine future cash flows from those instruments, categorized by expected maturity dates.</w:t>
            </w:r>
          </w:p>
        </w:tc>
        <w:tc>
          <w:tcPr>
            <w:tcW w:w="1209" w:type="dxa"/>
            <w:gridSpan w:val="2"/>
            <w:tcBorders>
              <w:bottom w:val="single" w:sz="6" w:space="0" w:color="auto"/>
            </w:tcBorders>
            <w:vAlign w:val="bottom"/>
          </w:tcPr>
          <w:p w14:paraId="1A50448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460D8D1"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6" w:space="0" w:color="auto"/>
            </w:tcBorders>
            <w:vAlign w:val="bottom"/>
          </w:tcPr>
          <w:p w14:paraId="626A7622"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65C32852" w14:textId="77777777" w:rsidTr="00587378">
        <w:trPr>
          <w:gridBefore w:val="1"/>
          <w:wBefore w:w="17" w:type="dxa"/>
        </w:trPr>
        <w:tc>
          <w:tcPr>
            <w:tcW w:w="7483" w:type="dxa"/>
            <w:gridSpan w:val="2"/>
          </w:tcPr>
          <w:p w14:paraId="0430EE5B" w14:textId="618FFA62" w:rsidR="008666DC" w:rsidRPr="004005A4" w:rsidRDefault="008666DC" w:rsidP="008666DC">
            <w:pPr>
              <w:pStyle w:val="level5"/>
              <w:tabs>
                <w:tab w:val="clear" w:pos="576"/>
                <w:tab w:val="clear" w:pos="1152"/>
                <w:tab w:val="clear" w:pos="1728"/>
              </w:tabs>
              <w:spacing w:after="120" w:line="240" w:lineRule="atLeast"/>
              <w:ind w:left="682" w:firstLine="0"/>
              <w:rPr>
                <w:rFonts w:cs="Calibri Light"/>
                <w:sz w:val="20"/>
                <w:szCs w:val="20"/>
              </w:rPr>
            </w:pPr>
            <w:r w:rsidRPr="004005A4">
              <w:rPr>
                <w:rFonts w:cs="Calibri Light"/>
                <w:sz w:val="20"/>
                <w:szCs w:val="20"/>
              </w:rPr>
              <w:t>(A)(2) Tabular information relating to contract terms should allow readers of the table to determine expected cash flows from the market risk sensitive instruments for each of the next five years. Comparable tabular information for any remaining years should be displayed as an aggregate amount.</w:t>
            </w:r>
          </w:p>
        </w:tc>
        <w:tc>
          <w:tcPr>
            <w:tcW w:w="1209" w:type="dxa"/>
            <w:gridSpan w:val="2"/>
            <w:tcBorders>
              <w:top w:val="single" w:sz="6" w:space="0" w:color="auto"/>
              <w:bottom w:val="single" w:sz="4" w:space="0" w:color="auto"/>
            </w:tcBorders>
            <w:vAlign w:val="bottom"/>
          </w:tcPr>
          <w:p w14:paraId="6434C2F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72785FE"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224C5770"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4011877" w14:textId="77777777" w:rsidTr="00587378">
        <w:trPr>
          <w:gridBefore w:val="1"/>
          <w:wBefore w:w="17" w:type="dxa"/>
        </w:trPr>
        <w:tc>
          <w:tcPr>
            <w:tcW w:w="7483" w:type="dxa"/>
            <w:gridSpan w:val="2"/>
          </w:tcPr>
          <w:p w14:paraId="0AEEBA51" w14:textId="30B1B843" w:rsidR="008666DC" w:rsidRPr="004005A4" w:rsidRDefault="008666DC" w:rsidP="008666DC">
            <w:pPr>
              <w:pStyle w:val="level5"/>
              <w:tabs>
                <w:tab w:val="clear" w:pos="576"/>
                <w:tab w:val="clear" w:pos="1152"/>
                <w:tab w:val="clear" w:pos="1728"/>
              </w:tabs>
              <w:spacing w:after="120" w:line="240" w:lineRule="atLeast"/>
              <w:ind w:left="682" w:firstLine="0"/>
              <w:rPr>
                <w:rFonts w:cs="Calibri Light"/>
                <w:sz w:val="20"/>
                <w:szCs w:val="20"/>
              </w:rPr>
            </w:pPr>
            <w:r w:rsidRPr="004005A4">
              <w:rPr>
                <w:rFonts w:cs="Calibri Light"/>
                <w:sz w:val="20"/>
                <w:szCs w:val="20"/>
              </w:rPr>
              <w:t>(A)(3) Within each risk exposure category, the market risk sensitive instruments should be grouped based on common characteristics. Within the foreign currency exchange rate risk category, the market risk sensitive instruments should be grouped by functional currency and within the commodity price risk category, the market risk sensitive instruments should be grouped by type of commodity.</w:t>
            </w:r>
          </w:p>
        </w:tc>
        <w:tc>
          <w:tcPr>
            <w:tcW w:w="1209" w:type="dxa"/>
            <w:gridSpan w:val="2"/>
            <w:tcBorders>
              <w:top w:val="single" w:sz="4" w:space="0" w:color="auto"/>
            </w:tcBorders>
            <w:vAlign w:val="bottom"/>
          </w:tcPr>
          <w:p w14:paraId="036E77D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FF73DDB"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B0CC57E"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083478C" w14:textId="77777777" w:rsidTr="00587378">
        <w:trPr>
          <w:gridBefore w:val="1"/>
          <w:wBefore w:w="17" w:type="dxa"/>
        </w:trPr>
        <w:tc>
          <w:tcPr>
            <w:tcW w:w="7483" w:type="dxa"/>
            <w:gridSpan w:val="2"/>
          </w:tcPr>
          <w:p w14:paraId="39144EB8" w14:textId="5A5CAEFB" w:rsidR="008666DC" w:rsidRPr="004005A4" w:rsidRDefault="008666DC" w:rsidP="008666DC">
            <w:pPr>
              <w:pStyle w:val="level5"/>
              <w:tabs>
                <w:tab w:val="clear" w:pos="576"/>
                <w:tab w:val="clear" w:pos="1152"/>
                <w:tab w:val="clear" w:pos="1728"/>
              </w:tabs>
              <w:spacing w:after="120" w:line="240" w:lineRule="atLeast"/>
              <w:ind w:left="682" w:firstLine="0"/>
              <w:rPr>
                <w:rFonts w:cs="Calibri Light"/>
                <w:sz w:val="20"/>
                <w:szCs w:val="20"/>
              </w:rPr>
            </w:pPr>
            <w:r w:rsidRPr="004005A4">
              <w:rPr>
                <w:rFonts w:cs="Calibri Light"/>
                <w:sz w:val="20"/>
                <w:szCs w:val="20"/>
              </w:rPr>
              <w:t>(A)(4) See the Appendix to this Item for a suggested format for presentation of this information; and</w:t>
            </w:r>
          </w:p>
        </w:tc>
        <w:tc>
          <w:tcPr>
            <w:tcW w:w="1209" w:type="dxa"/>
            <w:gridSpan w:val="2"/>
            <w:tcBorders>
              <w:top w:val="single" w:sz="4" w:space="0" w:color="auto"/>
            </w:tcBorders>
            <w:vAlign w:val="bottom"/>
          </w:tcPr>
          <w:p w14:paraId="5B1CB93E"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7FB558A"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00D7D0F"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22A09D8" w14:textId="77777777" w:rsidTr="00587378">
        <w:trPr>
          <w:gridBefore w:val="1"/>
          <w:wBefore w:w="17" w:type="dxa"/>
        </w:trPr>
        <w:tc>
          <w:tcPr>
            <w:tcW w:w="7483" w:type="dxa"/>
            <w:gridSpan w:val="2"/>
          </w:tcPr>
          <w:p w14:paraId="675C87F2" w14:textId="77777777" w:rsidR="008666DC" w:rsidRPr="004005A4" w:rsidRDefault="008666DC" w:rsidP="008666DC">
            <w:pPr>
              <w:pStyle w:val="level5"/>
              <w:tabs>
                <w:tab w:val="clear" w:pos="576"/>
                <w:tab w:val="clear" w:pos="1152"/>
                <w:tab w:val="clear" w:pos="1728"/>
              </w:tabs>
              <w:spacing w:after="120" w:line="240" w:lineRule="atLeast"/>
              <w:ind w:left="682" w:firstLine="0"/>
              <w:rPr>
                <w:rFonts w:cs="Calibri Light"/>
                <w:sz w:val="20"/>
                <w:szCs w:val="20"/>
              </w:rPr>
            </w:pPr>
            <w:r w:rsidRPr="004005A4">
              <w:rPr>
                <w:rFonts w:cs="Calibri Light"/>
                <w:sz w:val="20"/>
                <w:szCs w:val="20"/>
              </w:rPr>
              <w:t>(B) Registrants should provide a description of the contents of the table and any related assumptions necessary to understand the disclosures required under paragraph (a)(1)(i)(A) of Item 305; or</w:t>
            </w:r>
          </w:p>
        </w:tc>
        <w:tc>
          <w:tcPr>
            <w:tcW w:w="1209" w:type="dxa"/>
            <w:gridSpan w:val="2"/>
            <w:tcBorders>
              <w:top w:val="single" w:sz="6" w:space="0" w:color="auto"/>
              <w:bottom w:val="single" w:sz="4" w:space="0" w:color="auto"/>
            </w:tcBorders>
            <w:vAlign w:val="bottom"/>
          </w:tcPr>
          <w:p w14:paraId="63D83E55"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9DC2089"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0CD929EC"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4D202EC" w14:textId="77777777" w:rsidTr="00587378">
        <w:trPr>
          <w:gridBefore w:val="1"/>
          <w:wBefore w:w="17" w:type="dxa"/>
        </w:trPr>
        <w:tc>
          <w:tcPr>
            <w:tcW w:w="7483" w:type="dxa"/>
            <w:gridSpan w:val="2"/>
          </w:tcPr>
          <w:p w14:paraId="21C86568" w14:textId="2BB27FCC" w:rsidR="008666DC" w:rsidRPr="004005A4" w:rsidRDefault="008666DC" w:rsidP="008666DC">
            <w:pPr>
              <w:pStyle w:val="level5"/>
              <w:tabs>
                <w:tab w:val="clear" w:pos="576"/>
                <w:tab w:val="clear" w:pos="1152"/>
                <w:tab w:val="clear" w:pos="1728"/>
              </w:tabs>
              <w:spacing w:after="120" w:line="240" w:lineRule="atLeast"/>
              <w:ind w:left="682" w:hanging="180"/>
              <w:rPr>
                <w:rFonts w:cs="Calibri Light"/>
                <w:sz w:val="20"/>
                <w:szCs w:val="20"/>
              </w:rPr>
            </w:pPr>
            <w:r w:rsidRPr="004005A4">
              <w:rPr>
                <w:rFonts w:cs="Calibri Light"/>
                <w:sz w:val="20"/>
                <w:szCs w:val="20"/>
              </w:rPr>
              <w:t>(ii)(A) Sensitivity analysis disclosures that express the potential loss in future earnings, fair values, or cash flows of market risk sensitive instruments resulting from one or more selected hypothetical changes in interest rates, foreign currency exchange rates, commodity prices, and other relevant market rates or prices over a selected period of time. The magnitude of selected hypothetical changes in rates or prices may differ among and within market risk exposure categories; and</w:t>
            </w:r>
          </w:p>
        </w:tc>
        <w:tc>
          <w:tcPr>
            <w:tcW w:w="1209" w:type="dxa"/>
            <w:gridSpan w:val="2"/>
            <w:tcBorders>
              <w:top w:val="single" w:sz="4" w:space="0" w:color="auto"/>
              <w:bottom w:val="single" w:sz="4" w:space="0" w:color="auto"/>
            </w:tcBorders>
            <w:vAlign w:val="bottom"/>
          </w:tcPr>
          <w:p w14:paraId="1FE71AA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FF566C7"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474EDC3"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0F80E5C" w14:textId="77777777" w:rsidTr="00587378">
        <w:trPr>
          <w:gridBefore w:val="1"/>
          <w:wBefore w:w="17" w:type="dxa"/>
        </w:trPr>
        <w:tc>
          <w:tcPr>
            <w:tcW w:w="7483" w:type="dxa"/>
            <w:gridSpan w:val="2"/>
          </w:tcPr>
          <w:p w14:paraId="57C6CA3C" w14:textId="77777777" w:rsidR="008666DC" w:rsidRPr="004005A4" w:rsidRDefault="008666DC" w:rsidP="008666DC">
            <w:pPr>
              <w:pStyle w:val="level5"/>
              <w:tabs>
                <w:tab w:val="clear" w:pos="576"/>
                <w:tab w:val="clear" w:pos="1152"/>
                <w:tab w:val="clear" w:pos="1728"/>
              </w:tabs>
              <w:spacing w:after="120" w:line="240" w:lineRule="atLeast"/>
              <w:ind w:left="682" w:hanging="14"/>
              <w:rPr>
                <w:rFonts w:cs="Calibri Light"/>
                <w:sz w:val="20"/>
                <w:szCs w:val="20"/>
              </w:rPr>
            </w:pPr>
            <w:r w:rsidRPr="004005A4">
              <w:rPr>
                <w:rFonts w:cs="Calibri Light"/>
                <w:sz w:val="20"/>
                <w:szCs w:val="20"/>
              </w:rPr>
              <w:t>(B) Registrants should provide a description of the model, assumptions, and parameters, which are necessary to understand the disclosures required under paragraph (a)(1)(ii)(A) of Item 305; or</w:t>
            </w:r>
          </w:p>
        </w:tc>
        <w:tc>
          <w:tcPr>
            <w:tcW w:w="1209" w:type="dxa"/>
            <w:gridSpan w:val="2"/>
            <w:tcBorders>
              <w:top w:val="single" w:sz="4" w:space="0" w:color="auto"/>
            </w:tcBorders>
            <w:vAlign w:val="bottom"/>
          </w:tcPr>
          <w:p w14:paraId="004949F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6A797B2"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6735105"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ED6584A" w14:textId="77777777" w:rsidTr="00587378">
        <w:trPr>
          <w:gridBefore w:val="1"/>
          <w:wBefore w:w="17" w:type="dxa"/>
        </w:trPr>
        <w:tc>
          <w:tcPr>
            <w:tcW w:w="7483" w:type="dxa"/>
            <w:gridSpan w:val="2"/>
          </w:tcPr>
          <w:p w14:paraId="474B876F" w14:textId="79DD6E6D" w:rsidR="008666DC" w:rsidRPr="004005A4" w:rsidRDefault="008666DC" w:rsidP="008666DC">
            <w:pPr>
              <w:pStyle w:val="level5"/>
              <w:tabs>
                <w:tab w:val="clear" w:pos="576"/>
                <w:tab w:val="clear" w:pos="1152"/>
                <w:tab w:val="clear" w:pos="1728"/>
              </w:tabs>
              <w:spacing w:after="120" w:line="240" w:lineRule="atLeast"/>
              <w:ind w:left="682" w:hanging="180"/>
              <w:rPr>
                <w:rFonts w:cs="Calibri Light"/>
                <w:sz w:val="20"/>
                <w:szCs w:val="20"/>
              </w:rPr>
            </w:pPr>
            <w:r w:rsidRPr="004005A4">
              <w:rPr>
                <w:rFonts w:cs="Calibri Light"/>
                <w:sz w:val="20"/>
                <w:szCs w:val="20"/>
              </w:rPr>
              <w:t xml:space="preserve">(iii)(A) Value at risk disclosures that express the potential loss in future earnings, fair values, or cash flows of market risk sensitive instruments over a selected period of time, with a selected likelihood of occurrence, from changes in interest rates, </w:t>
            </w:r>
            <w:r w:rsidRPr="004005A4">
              <w:rPr>
                <w:rFonts w:cs="Calibri Light"/>
                <w:sz w:val="20"/>
                <w:szCs w:val="20"/>
              </w:rPr>
              <w:lastRenderedPageBreak/>
              <w:t>foreign currency exchange rates, commodity prices, and other relevant market rates or prices;</w:t>
            </w:r>
          </w:p>
        </w:tc>
        <w:tc>
          <w:tcPr>
            <w:tcW w:w="1209" w:type="dxa"/>
            <w:gridSpan w:val="2"/>
            <w:tcBorders>
              <w:top w:val="single" w:sz="6" w:space="0" w:color="auto"/>
              <w:bottom w:val="single" w:sz="4" w:space="0" w:color="auto"/>
            </w:tcBorders>
            <w:vAlign w:val="bottom"/>
          </w:tcPr>
          <w:p w14:paraId="37978704"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B2373A7"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2A18A749"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DA0C379" w14:textId="77777777" w:rsidTr="00587378">
        <w:trPr>
          <w:gridBefore w:val="1"/>
          <w:wBefore w:w="17" w:type="dxa"/>
        </w:trPr>
        <w:tc>
          <w:tcPr>
            <w:tcW w:w="7483" w:type="dxa"/>
            <w:gridSpan w:val="2"/>
          </w:tcPr>
          <w:p w14:paraId="5005CE46" w14:textId="77777777" w:rsidR="008666DC" w:rsidRPr="004005A4" w:rsidRDefault="008666DC" w:rsidP="008666DC">
            <w:pPr>
              <w:pStyle w:val="level5"/>
              <w:tabs>
                <w:tab w:val="clear" w:pos="576"/>
                <w:tab w:val="clear" w:pos="1152"/>
                <w:tab w:val="clear" w:pos="1728"/>
              </w:tabs>
              <w:spacing w:after="120" w:line="240" w:lineRule="atLeast"/>
              <w:ind w:left="682" w:hanging="14"/>
              <w:rPr>
                <w:rFonts w:cs="Calibri Light"/>
                <w:sz w:val="20"/>
                <w:szCs w:val="20"/>
              </w:rPr>
            </w:pPr>
            <w:r w:rsidRPr="004005A4">
              <w:rPr>
                <w:rFonts w:cs="Calibri Light"/>
                <w:sz w:val="20"/>
                <w:szCs w:val="20"/>
              </w:rPr>
              <w:t>(B)(1) For each category for which value at risk disclosures are required under paragraph (a)(1)(iii)(A) of Item 305, provide either:</w:t>
            </w:r>
          </w:p>
        </w:tc>
        <w:tc>
          <w:tcPr>
            <w:tcW w:w="1209" w:type="dxa"/>
            <w:gridSpan w:val="2"/>
            <w:tcBorders>
              <w:top w:val="single" w:sz="4" w:space="0" w:color="auto"/>
            </w:tcBorders>
            <w:vAlign w:val="bottom"/>
          </w:tcPr>
          <w:p w14:paraId="09C7208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737D7B9"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45BB7A2"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D5ADA22" w14:textId="77777777" w:rsidTr="00587378">
        <w:trPr>
          <w:gridBefore w:val="1"/>
          <w:wBefore w:w="17" w:type="dxa"/>
        </w:trPr>
        <w:tc>
          <w:tcPr>
            <w:tcW w:w="7483" w:type="dxa"/>
            <w:gridSpan w:val="2"/>
          </w:tcPr>
          <w:p w14:paraId="1B780274" w14:textId="77777777" w:rsidR="008666DC" w:rsidRPr="004005A4" w:rsidRDefault="008666DC" w:rsidP="008666DC">
            <w:pPr>
              <w:pStyle w:val="level6"/>
              <w:tabs>
                <w:tab w:val="clear" w:pos="576"/>
                <w:tab w:val="clear" w:pos="1152"/>
                <w:tab w:val="clear" w:pos="1728"/>
                <w:tab w:val="clear" w:pos="2304"/>
              </w:tabs>
              <w:spacing w:after="120" w:line="240" w:lineRule="atLeast"/>
              <w:ind w:left="1492" w:hanging="270"/>
              <w:rPr>
                <w:rFonts w:cs="Calibri Light"/>
                <w:sz w:val="20"/>
                <w:szCs w:val="20"/>
              </w:rPr>
            </w:pPr>
            <w:r w:rsidRPr="004005A4">
              <w:rPr>
                <w:rFonts w:cs="Calibri Light"/>
                <w:sz w:val="20"/>
                <w:szCs w:val="20"/>
              </w:rPr>
              <w:t>(i)</w:t>
            </w:r>
            <w:r w:rsidRPr="004005A4">
              <w:rPr>
                <w:rFonts w:cs="Calibri Light"/>
                <w:sz w:val="20"/>
                <w:szCs w:val="20"/>
              </w:rPr>
              <w:tab/>
              <w:t>The average, high and low amounts, or the distribution of the value at risk amounts for the reporting period; or</w:t>
            </w:r>
          </w:p>
        </w:tc>
        <w:tc>
          <w:tcPr>
            <w:tcW w:w="1209" w:type="dxa"/>
            <w:gridSpan w:val="2"/>
            <w:tcBorders>
              <w:bottom w:val="single" w:sz="6" w:space="0" w:color="auto"/>
            </w:tcBorders>
            <w:vAlign w:val="bottom"/>
          </w:tcPr>
          <w:p w14:paraId="6602DB9A"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6AF9D62"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6A35646F"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EFA4671" w14:textId="77777777" w:rsidTr="00587378">
        <w:trPr>
          <w:gridBefore w:val="1"/>
          <w:wBefore w:w="17" w:type="dxa"/>
        </w:trPr>
        <w:tc>
          <w:tcPr>
            <w:tcW w:w="7483" w:type="dxa"/>
            <w:gridSpan w:val="2"/>
          </w:tcPr>
          <w:p w14:paraId="416EFBBB" w14:textId="77777777" w:rsidR="008666DC" w:rsidRPr="004005A4" w:rsidRDefault="008666DC" w:rsidP="008666DC">
            <w:pPr>
              <w:pStyle w:val="level6"/>
              <w:tabs>
                <w:tab w:val="clear" w:pos="576"/>
                <w:tab w:val="clear" w:pos="1152"/>
                <w:tab w:val="clear" w:pos="1728"/>
                <w:tab w:val="clear" w:pos="2304"/>
              </w:tabs>
              <w:spacing w:after="120" w:line="240" w:lineRule="atLeast"/>
              <w:ind w:left="1492" w:hanging="270"/>
              <w:rPr>
                <w:rFonts w:cs="Calibri Light"/>
                <w:sz w:val="20"/>
                <w:szCs w:val="20"/>
              </w:rPr>
            </w:pPr>
            <w:r w:rsidRPr="004005A4">
              <w:rPr>
                <w:rFonts w:cs="Calibri Light"/>
                <w:sz w:val="20"/>
                <w:szCs w:val="20"/>
              </w:rPr>
              <w:t>(ii)</w:t>
            </w:r>
            <w:r w:rsidRPr="004005A4">
              <w:rPr>
                <w:rFonts w:cs="Calibri Light"/>
                <w:sz w:val="20"/>
                <w:szCs w:val="20"/>
              </w:rPr>
              <w:tab/>
              <w:t>The average, high and low amounts, or the distribution of actual changes in fair values, earnings, or cash flows from the market risk sensitive instruments occurring during the reporting period; or</w:t>
            </w:r>
          </w:p>
        </w:tc>
        <w:tc>
          <w:tcPr>
            <w:tcW w:w="1209" w:type="dxa"/>
            <w:gridSpan w:val="2"/>
            <w:tcBorders>
              <w:top w:val="single" w:sz="6" w:space="0" w:color="auto"/>
            </w:tcBorders>
            <w:vAlign w:val="bottom"/>
          </w:tcPr>
          <w:p w14:paraId="59BC034F"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CD7C764"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1D090B11"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DB0684A" w14:textId="77777777" w:rsidTr="00587378">
        <w:trPr>
          <w:gridBefore w:val="1"/>
          <w:wBefore w:w="17" w:type="dxa"/>
        </w:trPr>
        <w:tc>
          <w:tcPr>
            <w:tcW w:w="7483" w:type="dxa"/>
            <w:gridSpan w:val="2"/>
          </w:tcPr>
          <w:p w14:paraId="626D50E3" w14:textId="77777777" w:rsidR="008666DC" w:rsidRPr="004005A4" w:rsidRDefault="008666DC" w:rsidP="008666DC">
            <w:pPr>
              <w:pStyle w:val="level6"/>
              <w:tabs>
                <w:tab w:val="clear" w:pos="576"/>
                <w:tab w:val="clear" w:pos="1152"/>
                <w:tab w:val="clear" w:pos="1728"/>
                <w:tab w:val="clear" w:pos="2304"/>
              </w:tabs>
              <w:spacing w:after="120" w:line="240" w:lineRule="atLeast"/>
              <w:ind w:left="1492" w:hanging="270"/>
              <w:rPr>
                <w:rFonts w:cs="Calibri Light"/>
                <w:sz w:val="20"/>
                <w:szCs w:val="20"/>
              </w:rPr>
            </w:pPr>
            <w:r w:rsidRPr="004005A4">
              <w:rPr>
                <w:rFonts w:cs="Calibri Light"/>
                <w:sz w:val="20"/>
                <w:szCs w:val="20"/>
              </w:rPr>
              <w:t>(iii)</w:t>
            </w:r>
            <w:r w:rsidRPr="004005A4">
              <w:rPr>
                <w:rFonts w:cs="Calibri Light"/>
                <w:sz w:val="20"/>
                <w:szCs w:val="20"/>
              </w:rPr>
              <w:tab/>
              <w:t>The percentage or number of times the actual changes in fair values, earnings, or cash flows from the market risk sensitive instruments exceeded the value at risk amounts during the reporting period;</w:t>
            </w:r>
          </w:p>
        </w:tc>
        <w:tc>
          <w:tcPr>
            <w:tcW w:w="1209" w:type="dxa"/>
            <w:gridSpan w:val="2"/>
            <w:tcBorders>
              <w:top w:val="single" w:sz="6" w:space="0" w:color="auto"/>
            </w:tcBorders>
            <w:vAlign w:val="bottom"/>
          </w:tcPr>
          <w:p w14:paraId="16C50DC7"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0AE41B1"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581AF832"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C7D7692" w14:textId="77777777" w:rsidTr="00587378">
        <w:trPr>
          <w:gridBefore w:val="1"/>
          <w:wBefore w:w="17" w:type="dxa"/>
        </w:trPr>
        <w:tc>
          <w:tcPr>
            <w:tcW w:w="7483" w:type="dxa"/>
            <w:gridSpan w:val="2"/>
          </w:tcPr>
          <w:p w14:paraId="139D955C" w14:textId="77777777" w:rsidR="008666DC" w:rsidRPr="004005A4" w:rsidRDefault="008666DC" w:rsidP="008666DC">
            <w:pPr>
              <w:pStyle w:val="level5"/>
              <w:tabs>
                <w:tab w:val="clear" w:pos="576"/>
                <w:tab w:val="clear" w:pos="1152"/>
                <w:tab w:val="clear" w:pos="1728"/>
              </w:tabs>
              <w:spacing w:after="120" w:line="240" w:lineRule="atLeast"/>
              <w:ind w:left="682" w:hanging="14"/>
              <w:rPr>
                <w:rFonts w:cs="Calibri Light"/>
                <w:sz w:val="20"/>
                <w:szCs w:val="20"/>
              </w:rPr>
            </w:pPr>
            <w:r w:rsidRPr="004005A4">
              <w:rPr>
                <w:rFonts w:cs="Calibri Light"/>
                <w:sz w:val="20"/>
                <w:szCs w:val="20"/>
              </w:rPr>
              <w:t>(B)(2) Information required under paragraph (a)(1)(iii)(B)(1) of Item 305 is not required for the first fiscal year-end in which a registrant must present Item 305 information; and</w:t>
            </w:r>
          </w:p>
        </w:tc>
        <w:tc>
          <w:tcPr>
            <w:tcW w:w="1209" w:type="dxa"/>
            <w:gridSpan w:val="2"/>
            <w:tcBorders>
              <w:top w:val="single" w:sz="4" w:space="0" w:color="auto"/>
              <w:bottom w:val="single" w:sz="6" w:space="0" w:color="auto"/>
            </w:tcBorders>
            <w:vAlign w:val="bottom"/>
          </w:tcPr>
          <w:p w14:paraId="1F779FEC"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B3EEEBC"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48597F82"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6415E9C" w14:textId="77777777" w:rsidTr="00587378">
        <w:trPr>
          <w:gridBefore w:val="1"/>
          <w:wBefore w:w="17" w:type="dxa"/>
        </w:trPr>
        <w:tc>
          <w:tcPr>
            <w:tcW w:w="7483" w:type="dxa"/>
            <w:gridSpan w:val="2"/>
          </w:tcPr>
          <w:p w14:paraId="643A786F" w14:textId="77777777" w:rsidR="008666DC" w:rsidRPr="004005A4" w:rsidRDefault="008666DC" w:rsidP="008666DC">
            <w:pPr>
              <w:pStyle w:val="level5"/>
              <w:tabs>
                <w:tab w:val="clear" w:pos="576"/>
                <w:tab w:val="clear" w:pos="1152"/>
                <w:tab w:val="clear" w:pos="1728"/>
              </w:tabs>
              <w:spacing w:after="120" w:line="240" w:lineRule="atLeast"/>
              <w:ind w:left="952" w:hanging="284"/>
              <w:rPr>
                <w:rFonts w:cs="Calibri Light"/>
                <w:sz w:val="20"/>
                <w:szCs w:val="20"/>
              </w:rPr>
            </w:pPr>
            <w:r w:rsidRPr="004005A4">
              <w:rPr>
                <w:rFonts w:cs="Calibri Light"/>
                <w:sz w:val="20"/>
                <w:szCs w:val="20"/>
              </w:rPr>
              <w:t>(C)</w:t>
            </w:r>
            <w:r w:rsidRPr="004005A4">
              <w:rPr>
                <w:rFonts w:cs="Calibri Light"/>
                <w:sz w:val="20"/>
                <w:szCs w:val="20"/>
              </w:rPr>
              <w:tab/>
              <w:t>Registrants should provide a description of the model, assumptions, and parameters, which are necessary to understand the disclosures required under paragraphs (a)(1)(iii)(A) and (B) of Item 305.</w:t>
            </w:r>
          </w:p>
        </w:tc>
        <w:tc>
          <w:tcPr>
            <w:tcW w:w="1209" w:type="dxa"/>
            <w:gridSpan w:val="2"/>
            <w:vAlign w:val="bottom"/>
          </w:tcPr>
          <w:p w14:paraId="322B196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A7A97E1"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0C215833"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97308E4" w14:textId="77777777" w:rsidTr="00587378">
        <w:trPr>
          <w:gridBefore w:val="1"/>
          <w:wBefore w:w="17" w:type="dxa"/>
        </w:trPr>
        <w:tc>
          <w:tcPr>
            <w:tcW w:w="7483" w:type="dxa"/>
            <w:gridSpan w:val="2"/>
          </w:tcPr>
          <w:p w14:paraId="44D78ED1"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(2)</w:t>
            </w:r>
            <w:r w:rsidRPr="004005A4">
              <w:rPr>
                <w:rFonts w:cs="Calibri Light"/>
                <w:sz w:val="20"/>
                <w:szCs w:val="20"/>
              </w:rPr>
              <w:tab/>
              <w:t>Registrants should discuss material limitations that cause the information required under paragraph (a)(1) of Item 305 not to reflect fully the net market risk exposures of the entity. This discussion should include summarized descriptions of instruments, positions, and transactions omitted from the quantitative market risk disclosure information or the features of instruments, positions, and transactions that are included, but not reflected fully in the quantitative market risk disclosure information.</w:t>
            </w:r>
          </w:p>
        </w:tc>
        <w:tc>
          <w:tcPr>
            <w:tcW w:w="1209" w:type="dxa"/>
            <w:gridSpan w:val="2"/>
            <w:tcBorders>
              <w:top w:val="single" w:sz="4" w:space="0" w:color="auto"/>
            </w:tcBorders>
            <w:vAlign w:val="bottom"/>
          </w:tcPr>
          <w:p w14:paraId="1C8EC36A"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BEB8B08"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06417D5D"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86FC03F" w14:textId="77777777" w:rsidTr="00587378">
        <w:trPr>
          <w:gridBefore w:val="1"/>
          <w:wBefore w:w="17" w:type="dxa"/>
        </w:trPr>
        <w:tc>
          <w:tcPr>
            <w:tcW w:w="7483" w:type="dxa"/>
            <w:gridSpan w:val="2"/>
          </w:tcPr>
          <w:p w14:paraId="6D28DDD4"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(3)</w:t>
            </w:r>
            <w:r w:rsidRPr="004005A4">
              <w:rPr>
                <w:rFonts w:cs="Calibri Light"/>
                <w:sz w:val="20"/>
                <w:szCs w:val="20"/>
              </w:rPr>
              <w:tab/>
              <w:t>Registrants should present summarized market risk information for the preceding fiscal year. In addition, registrants should discuss the reasons for material quantitative changes in market risk exposures between the current and preceding fiscal years. Information required by this paragraph (a)(3), however, is not required if disclosure is not required under paragraph (a)(1) of Item 305 for the current fiscal year. Information required by this paragraph (a)(3) is not required for the first fiscal year-end in which a registrant must present Item 305 information.</w:t>
            </w:r>
          </w:p>
        </w:tc>
        <w:tc>
          <w:tcPr>
            <w:tcW w:w="1209" w:type="dxa"/>
            <w:gridSpan w:val="2"/>
            <w:tcBorders>
              <w:top w:val="single" w:sz="4" w:space="0" w:color="auto"/>
            </w:tcBorders>
            <w:vAlign w:val="bottom"/>
          </w:tcPr>
          <w:p w14:paraId="53D30766"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61CFB7C8"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8CA6ACA"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50D91D69" w14:textId="77777777" w:rsidTr="00587378">
        <w:trPr>
          <w:gridBefore w:val="1"/>
          <w:wBefore w:w="17" w:type="dxa"/>
        </w:trPr>
        <w:tc>
          <w:tcPr>
            <w:tcW w:w="7483" w:type="dxa"/>
            <w:gridSpan w:val="2"/>
          </w:tcPr>
          <w:p w14:paraId="422EE3EA"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(4)</w:t>
            </w:r>
            <w:r w:rsidRPr="004005A4">
              <w:rPr>
                <w:rFonts w:cs="Calibri Light"/>
                <w:sz w:val="20"/>
                <w:szCs w:val="20"/>
              </w:rPr>
              <w:tab/>
              <w:t>If registrants change disclosure alternatives or key model characteristics, assumptions, and parameters used in providing quantitative information about market risk (e.g., changing from tabular presentations to value at risk, changing the scope of instruments included in the model, or changing the definition of loss from fair values to earnings), and if the effects of any such change is material, the registrant should:</w:t>
            </w:r>
          </w:p>
        </w:tc>
        <w:tc>
          <w:tcPr>
            <w:tcW w:w="1209" w:type="dxa"/>
            <w:gridSpan w:val="2"/>
            <w:tcBorders>
              <w:top w:val="single" w:sz="6" w:space="0" w:color="auto"/>
            </w:tcBorders>
            <w:vAlign w:val="bottom"/>
          </w:tcPr>
          <w:p w14:paraId="1BEA563C"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7FB078E"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445D7833"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A33433C" w14:textId="77777777" w:rsidTr="00587378">
        <w:trPr>
          <w:gridBefore w:val="1"/>
          <w:wBefore w:w="17" w:type="dxa"/>
        </w:trPr>
        <w:tc>
          <w:tcPr>
            <w:tcW w:w="7483" w:type="dxa"/>
            <w:gridSpan w:val="2"/>
          </w:tcPr>
          <w:p w14:paraId="344A19AA" w14:textId="77777777" w:rsidR="008666DC" w:rsidRPr="004005A4" w:rsidRDefault="008666DC" w:rsidP="008666DC">
            <w:pPr>
              <w:pStyle w:val="level6"/>
              <w:tabs>
                <w:tab w:val="clear" w:pos="576"/>
                <w:tab w:val="clear" w:pos="1152"/>
                <w:tab w:val="clear" w:pos="1728"/>
                <w:tab w:val="clear" w:pos="2304"/>
              </w:tabs>
              <w:spacing w:after="120" w:line="240" w:lineRule="atLeast"/>
              <w:ind w:left="772" w:hanging="270"/>
              <w:rPr>
                <w:rFonts w:cs="Calibri Light"/>
                <w:sz w:val="20"/>
                <w:szCs w:val="20"/>
              </w:rPr>
            </w:pPr>
            <w:r w:rsidRPr="004005A4">
              <w:rPr>
                <w:rFonts w:cs="Calibri Light"/>
                <w:sz w:val="20"/>
                <w:szCs w:val="20"/>
              </w:rPr>
              <w:lastRenderedPageBreak/>
              <w:t xml:space="preserve">(i) </w:t>
            </w:r>
            <w:r w:rsidRPr="004005A4">
              <w:rPr>
                <w:rFonts w:cs="Calibri Light"/>
                <w:sz w:val="20"/>
                <w:szCs w:val="20"/>
              </w:rPr>
              <w:tab/>
              <w:t>Explain the reasons for the change; and</w:t>
            </w:r>
          </w:p>
        </w:tc>
        <w:tc>
          <w:tcPr>
            <w:tcW w:w="1209" w:type="dxa"/>
            <w:gridSpan w:val="2"/>
            <w:tcBorders>
              <w:bottom w:val="single" w:sz="4" w:space="0" w:color="auto"/>
            </w:tcBorders>
            <w:vAlign w:val="bottom"/>
          </w:tcPr>
          <w:p w14:paraId="19C76467"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1638E80"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335E7820"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4935FF7" w14:textId="77777777" w:rsidTr="00587378">
        <w:trPr>
          <w:gridBefore w:val="1"/>
          <w:wBefore w:w="17" w:type="dxa"/>
        </w:trPr>
        <w:tc>
          <w:tcPr>
            <w:tcW w:w="7483" w:type="dxa"/>
            <w:gridSpan w:val="2"/>
          </w:tcPr>
          <w:p w14:paraId="2BA725F2" w14:textId="77777777" w:rsidR="008666DC" w:rsidRPr="004005A4" w:rsidRDefault="008666DC" w:rsidP="008666DC">
            <w:pPr>
              <w:pStyle w:val="level6"/>
              <w:tabs>
                <w:tab w:val="clear" w:pos="576"/>
                <w:tab w:val="clear" w:pos="1152"/>
                <w:tab w:val="clear" w:pos="1728"/>
                <w:tab w:val="clear" w:pos="2304"/>
              </w:tabs>
              <w:spacing w:after="120" w:line="240" w:lineRule="atLeast"/>
              <w:ind w:left="772" w:hanging="270"/>
              <w:rPr>
                <w:rFonts w:cs="Calibri Light"/>
                <w:sz w:val="20"/>
                <w:szCs w:val="20"/>
              </w:rPr>
            </w:pPr>
            <w:r w:rsidRPr="004005A4">
              <w:rPr>
                <w:rFonts w:cs="Calibri Light"/>
                <w:sz w:val="20"/>
                <w:szCs w:val="20"/>
              </w:rPr>
              <w:t>(ii)</w:t>
            </w:r>
            <w:r w:rsidRPr="004005A4">
              <w:rPr>
                <w:rFonts w:cs="Calibri Light"/>
                <w:sz w:val="20"/>
                <w:szCs w:val="20"/>
              </w:rPr>
              <w:tab/>
              <w:t>Either provide summarized comparable information, under the new disclosure method, for the year preceding the current year or, in addition to providing disclosure for the current year under the new method, provide disclosures for the current year and preceding fiscal year under the method used in the preceding year.</w:t>
            </w:r>
          </w:p>
        </w:tc>
        <w:tc>
          <w:tcPr>
            <w:tcW w:w="1209" w:type="dxa"/>
            <w:gridSpan w:val="2"/>
            <w:tcBorders>
              <w:top w:val="single" w:sz="4" w:space="0" w:color="auto"/>
              <w:bottom w:val="single" w:sz="6" w:space="0" w:color="auto"/>
            </w:tcBorders>
            <w:vAlign w:val="bottom"/>
          </w:tcPr>
          <w:p w14:paraId="466783E3"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C3B868A"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62A52543"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FB1DB99" w14:textId="77777777" w:rsidTr="00587378">
        <w:trPr>
          <w:gridBefore w:val="1"/>
          <w:wBefore w:w="17" w:type="dxa"/>
        </w:trPr>
        <w:tc>
          <w:tcPr>
            <w:tcW w:w="7483" w:type="dxa"/>
            <w:gridSpan w:val="2"/>
          </w:tcPr>
          <w:p w14:paraId="54D584C2" w14:textId="77777777" w:rsidR="008666DC" w:rsidRPr="004005A4" w:rsidRDefault="008666DC" w:rsidP="008666DC">
            <w:pPr>
              <w:pStyle w:val="levela"/>
              <w:tabs>
                <w:tab w:val="clear" w:pos="576"/>
              </w:tabs>
              <w:spacing w:before="120" w:after="120" w:line="240" w:lineRule="atLeast"/>
              <w:ind w:left="322" w:hanging="322"/>
              <w:rPr>
                <w:rFonts w:cs="Calibri Light"/>
                <w:b/>
                <w:sz w:val="20"/>
                <w:szCs w:val="20"/>
              </w:rPr>
            </w:pPr>
            <w:r w:rsidRPr="004005A4">
              <w:rPr>
                <w:rFonts w:cs="Calibri Light"/>
                <w:sz w:val="20"/>
                <w:szCs w:val="20"/>
              </w:rPr>
              <w:t>b.</w:t>
            </w:r>
            <w:r w:rsidRPr="004005A4">
              <w:rPr>
                <w:rFonts w:cs="Calibri Light"/>
                <w:sz w:val="20"/>
                <w:szCs w:val="20"/>
              </w:rPr>
              <w:tab/>
            </w:r>
            <w:r w:rsidRPr="004005A4">
              <w:rPr>
                <w:rFonts w:cs="Calibri Light"/>
                <w:b/>
                <w:sz w:val="20"/>
                <w:szCs w:val="20"/>
              </w:rPr>
              <w:t>Qualitative information about market risk.</w:t>
            </w:r>
          </w:p>
        </w:tc>
        <w:tc>
          <w:tcPr>
            <w:tcW w:w="1209" w:type="dxa"/>
            <w:gridSpan w:val="2"/>
            <w:tcBorders>
              <w:top w:val="single" w:sz="6" w:space="0" w:color="auto"/>
            </w:tcBorders>
            <w:vAlign w:val="bottom"/>
          </w:tcPr>
          <w:p w14:paraId="1E52F466"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6F76B270"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37A8542C"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0846E21" w14:textId="77777777" w:rsidTr="00587378">
        <w:trPr>
          <w:gridBefore w:val="1"/>
          <w:wBefore w:w="17" w:type="dxa"/>
        </w:trPr>
        <w:tc>
          <w:tcPr>
            <w:tcW w:w="7483" w:type="dxa"/>
            <w:gridSpan w:val="2"/>
          </w:tcPr>
          <w:p w14:paraId="75425E96" w14:textId="77777777" w:rsidR="008666DC" w:rsidRPr="004005A4" w:rsidRDefault="008666DC" w:rsidP="008666DC">
            <w:pPr>
              <w:pStyle w:val="levelb"/>
              <w:tabs>
                <w:tab w:val="clear" w:pos="576"/>
                <w:tab w:val="clear" w:pos="1152"/>
              </w:tabs>
              <w:spacing w:after="120" w:line="240" w:lineRule="atLeast"/>
              <w:ind w:left="502" w:hanging="270"/>
              <w:rPr>
                <w:rFonts w:cs="Calibri Light"/>
                <w:b/>
                <w:sz w:val="20"/>
                <w:szCs w:val="20"/>
              </w:rPr>
            </w:pPr>
            <w:r w:rsidRPr="004005A4">
              <w:rPr>
                <w:rFonts w:cs="Calibri Light"/>
                <w:sz w:val="20"/>
                <w:szCs w:val="20"/>
              </w:rPr>
              <w:t>(1)</w:t>
            </w:r>
            <w:r w:rsidRPr="004005A4">
              <w:rPr>
                <w:rFonts w:cs="Calibri Light"/>
                <w:sz w:val="20"/>
                <w:szCs w:val="20"/>
              </w:rPr>
              <w:tab/>
              <w:t>To the extent material, describe:</w:t>
            </w:r>
          </w:p>
        </w:tc>
        <w:tc>
          <w:tcPr>
            <w:tcW w:w="1209" w:type="dxa"/>
            <w:gridSpan w:val="2"/>
            <w:vAlign w:val="bottom"/>
          </w:tcPr>
          <w:p w14:paraId="0E3390D0"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6B4739D3"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268251AF"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D818A60" w14:textId="77777777" w:rsidTr="00587378">
        <w:trPr>
          <w:gridBefore w:val="1"/>
          <w:wBefore w:w="17" w:type="dxa"/>
        </w:trPr>
        <w:tc>
          <w:tcPr>
            <w:tcW w:w="7483" w:type="dxa"/>
            <w:gridSpan w:val="2"/>
          </w:tcPr>
          <w:p w14:paraId="2381D3BD" w14:textId="77777777" w:rsidR="008666DC" w:rsidRPr="004005A4" w:rsidRDefault="008666DC" w:rsidP="008666DC">
            <w:pPr>
              <w:pStyle w:val="level6"/>
              <w:tabs>
                <w:tab w:val="clear" w:pos="576"/>
                <w:tab w:val="clear" w:pos="1152"/>
                <w:tab w:val="clear" w:pos="1728"/>
                <w:tab w:val="clear" w:pos="2304"/>
              </w:tabs>
              <w:spacing w:after="120" w:line="240" w:lineRule="atLeast"/>
              <w:ind w:left="772" w:hanging="270"/>
              <w:rPr>
                <w:rFonts w:cs="Calibri Light"/>
                <w:sz w:val="20"/>
                <w:szCs w:val="20"/>
              </w:rPr>
            </w:pPr>
            <w:r w:rsidRPr="004005A4">
              <w:rPr>
                <w:rFonts w:cs="Calibri Light"/>
                <w:sz w:val="20"/>
                <w:szCs w:val="20"/>
              </w:rPr>
              <w:t>(i)</w:t>
            </w:r>
            <w:r w:rsidRPr="004005A4">
              <w:rPr>
                <w:rFonts w:cs="Calibri Light"/>
                <w:sz w:val="20"/>
                <w:szCs w:val="20"/>
              </w:rPr>
              <w:tab/>
              <w:t>The registrant’s primary market risk exposures;</w:t>
            </w:r>
          </w:p>
        </w:tc>
        <w:tc>
          <w:tcPr>
            <w:tcW w:w="1209" w:type="dxa"/>
            <w:gridSpan w:val="2"/>
            <w:vAlign w:val="bottom"/>
          </w:tcPr>
          <w:p w14:paraId="46A4B4EE"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7BDDBF0"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09AB58FD"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1998A6A" w14:textId="77777777" w:rsidTr="00587378">
        <w:trPr>
          <w:gridBefore w:val="1"/>
          <w:wBefore w:w="17" w:type="dxa"/>
        </w:trPr>
        <w:tc>
          <w:tcPr>
            <w:tcW w:w="7483" w:type="dxa"/>
            <w:gridSpan w:val="2"/>
          </w:tcPr>
          <w:p w14:paraId="3DA63BA6" w14:textId="77777777" w:rsidR="008666DC" w:rsidRPr="004005A4" w:rsidRDefault="008666DC" w:rsidP="008666DC">
            <w:pPr>
              <w:pStyle w:val="level6"/>
              <w:tabs>
                <w:tab w:val="clear" w:pos="576"/>
                <w:tab w:val="clear" w:pos="1152"/>
                <w:tab w:val="clear" w:pos="1728"/>
                <w:tab w:val="clear" w:pos="2304"/>
              </w:tabs>
              <w:spacing w:after="120" w:line="240" w:lineRule="atLeast"/>
              <w:ind w:left="772" w:hanging="270"/>
              <w:rPr>
                <w:rFonts w:cs="Calibri Light"/>
                <w:sz w:val="20"/>
                <w:szCs w:val="20"/>
              </w:rPr>
            </w:pPr>
            <w:r w:rsidRPr="004005A4">
              <w:rPr>
                <w:rFonts w:cs="Calibri Light"/>
                <w:sz w:val="20"/>
                <w:szCs w:val="20"/>
              </w:rPr>
              <w:t>(ii)</w:t>
            </w:r>
            <w:r w:rsidRPr="004005A4">
              <w:rPr>
                <w:rFonts w:cs="Calibri Light"/>
                <w:sz w:val="20"/>
                <w:szCs w:val="20"/>
              </w:rPr>
              <w:tab/>
              <w:t>How those exposures are managed. Such descriptions should include, but not be limited to, a discussion of the objectives, general strategies, and instruments, if any, used to manage those exposures; and</w:t>
            </w:r>
          </w:p>
        </w:tc>
        <w:tc>
          <w:tcPr>
            <w:tcW w:w="1209" w:type="dxa"/>
            <w:gridSpan w:val="2"/>
            <w:tcBorders>
              <w:top w:val="single" w:sz="6" w:space="0" w:color="auto"/>
            </w:tcBorders>
            <w:vAlign w:val="bottom"/>
          </w:tcPr>
          <w:p w14:paraId="2D4B20AE"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63170BA"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21BE6E48"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5CE26D8A" w14:textId="77777777" w:rsidTr="00587378">
        <w:trPr>
          <w:gridBefore w:val="1"/>
          <w:wBefore w:w="17" w:type="dxa"/>
        </w:trPr>
        <w:tc>
          <w:tcPr>
            <w:tcW w:w="7483" w:type="dxa"/>
            <w:gridSpan w:val="2"/>
          </w:tcPr>
          <w:p w14:paraId="1A5FB836" w14:textId="77777777" w:rsidR="008666DC" w:rsidRPr="004005A4" w:rsidRDefault="008666DC" w:rsidP="008666DC">
            <w:pPr>
              <w:pStyle w:val="level6"/>
              <w:tabs>
                <w:tab w:val="clear" w:pos="576"/>
                <w:tab w:val="clear" w:pos="1152"/>
                <w:tab w:val="clear" w:pos="1728"/>
                <w:tab w:val="clear" w:pos="2304"/>
              </w:tabs>
              <w:spacing w:after="120" w:line="240" w:lineRule="atLeast"/>
              <w:ind w:left="772" w:hanging="270"/>
              <w:rPr>
                <w:rFonts w:cs="Calibri Light"/>
                <w:sz w:val="20"/>
                <w:szCs w:val="20"/>
              </w:rPr>
            </w:pPr>
            <w:r w:rsidRPr="004005A4">
              <w:rPr>
                <w:rFonts w:cs="Calibri Light"/>
                <w:sz w:val="20"/>
                <w:szCs w:val="20"/>
              </w:rPr>
              <w:t>(iii)</w:t>
            </w:r>
            <w:r w:rsidRPr="004005A4">
              <w:rPr>
                <w:rFonts w:cs="Calibri Light"/>
                <w:sz w:val="20"/>
                <w:szCs w:val="20"/>
              </w:rPr>
              <w:tab/>
              <w:t>Changes in either the registrant’s primary market risk exposures or how those exposures are managed, when compared to what was in effect during the most recently completed fiscal year and what is known or expected to be in effect in future reporting periods.</w:t>
            </w:r>
          </w:p>
        </w:tc>
        <w:tc>
          <w:tcPr>
            <w:tcW w:w="1209" w:type="dxa"/>
            <w:gridSpan w:val="2"/>
            <w:tcBorders>
              <w:top w:val="single" w:sz="4" w:space="0" w:color="auto"/>
              <w:bottom w:val="single" w:sz="6" w:space="0" w:color="auto"/>
            </w:tcBorders>
            <w:vAlign w:val="bottom"/>
          </w:tcPr>
          <w:p w14:paraId="652AAFD4"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1A84B68"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6" w:space="0" w:color="auto"/>
            </w:tcBorders>
            <w:vAlign w:val="bottom"/>
          </w:tcPr>
          <w:p w14:paraId="2061A422"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50803026" w14:textId="77777777" w:rsidTr="00587378">
        <w:trPr>
          <w:gridBefore w:val="1"/>
          <w:wBefore w:w="17" w:type="dxa"/>
        </w:trPr>
        <w:tc>
          <w:tcPr>
            <w:tcW w:w="7483" w:type="dxa"/>
            <w:gridSpan w:val="2"/>
          </w:tcPr>
          <w:p w14:paraId="75912205" w14:textId="77777777" w:rsidR="008666DC" w:rsidRPr="004005A4" w:rsidRDefault="008666DC" w:rsidP="008666DC">
            <w:pPr>
              <w:pStyle w:val="levelb"/>
              <w:tabs>
                <w:tab w:val="clear" w:pos="576"/>
                <w:tab w:val="clear" w:pos="1152"/>
              </w:tabs>
              <w:spacing w:after="120" w:line="240" w:lineRule="atLeast"/>
              <w:ind w:left="502" w:hanging="270"/>
              <w:rPr>
                <w:rFonts w:cs="Calibri Light"/>
                <w:sz w:val="20"/>
                <w:szCs w:val="20"/>
              </w:rPr>
            </w:pPr>
            <w:r w:rsidRPr="004005A4">
              <w:rPr>
                <w:rFonts w:cs="Calibri Light"/>
                <w:sz w:val="20"/>
                <w:szCs w:val="20"/>
              </w:rPr>
              <w:t>(2)</w:t>
            </w:r>
            <w:r w:rsidRPr="004005A4">
              <w:rPr>
                <w:rFonts w:cs="Calibri Light"/>
                <w:sz w:val="20"/>
                <w:szCs w:val="20"/>
              </w:rPr>
              <w:tab/>
              <w:t>Qualitative information about market risk should be presented separately for market risk sensitive instruments entered into for trading purposes and those entered into for purposes other than trading.</w:t>
            </w:r>
          </w:p>
        </w:tc>
        <w:tc>
          <w:tcPr>
            <w:tcW w:w="1209" w:type="dxa"/>
            <w:gridSpan w:val="2"/>
            <w:tcBorders>
              <w:top w:val="single" w:sz="6" w:space="0" w:color="auto"/>
              <w:bottom w:val="single" w:sz="4" w:space="0" w:color="auto"/>
            </w:tcBorders>
            <w:vAlign w:val="bottom"/>
          </w:tcPr>
          <w:p w14:paraId="5BD3005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8C00FD9"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bottom w:val="single" w:sz="4" w:space="0" w:color="auto"/>
            </w:tcBorders>
            <w:vAlign w:val="bottom"/>
          </w:tcPr>
          <w:p w14:paraId="0B2CCB4E"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E0774EA" w14:textId="77777777" w:rsidTr="00587378">
        <w:trPr>
          <w:gridBefore w:val="1"/>
          <w:wBefore w:w="17" w:type="dxa"/>
        </w:trPr>
        <w:tc>
          <w:tcPr>
            <w:tcW w:w="7483" w:type="dxa"/>
            <w:gridSpan w:val="2"/>
          </w:tcPr>
          <w:p w14:paraId="60C40036" w14:textId="77777777" w:rsidR="008666DC" w:rsidRPr="004005A4" w:rsidRDefault="008666DC" w:rsidP="008666DC">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c.</w:t>
            </w:r>
            <w:r w:rsidRPr="004005A4">
              <w:rPr>
                <w:rFonts w:cs="Calibri Light"/>
                <w:sz w:val="20"/>
                <w:szCs w:val="20"/>
              </w:rPr>
              <w:tab/>
            </w:r>
            <w:r w:rsidRPr="004005A4">
              <w:rPr>
                <w:rFonts w:cs="Calibri Light"/>
                <w:b/>
                <w:sz w:val="20"/>
                <w:szCs w:val="20"/>
              </w:rPr>
              <w:t>Interim periods.</w:t>
            </w:r>
            <w:r w:rsidRPr="004005A4">
              <w:rPr>
                <w:rFonts w:cs="Calibri Light"/>
                <w:sz w:val="20"/>
                <w:szCs w:val="20"/>
              </w:rPr>
              <w:t xml:space="preserve"> If interim period financial statements are included or are required to be included by Article 3 of Regulation S-X (17 CFR 210), discussion and analysis should be provided so as to enable the reader to assess the sources and effects of material changes in information that would be provided under Item 305 from the end of the preceding fiscal year to the date of the most recent interim balance sheet.</w:t>
            </w:r>
          </w:p>
        </w:tc>
        <w:tc>
          <w:tcPr>
            <w:tcW w:w="1209" w:type="dxa"/>
            <w:gridSpan w:val="2"/>
            <w:tcBorders>
              <w:top w:val="single" w:sz="4" w:space="0" w:color="auto"/>
            </w:tcBorders>
            <w:vAlign w:val="bottom"/>
          </w:tcPr>
          <w:p w14:paraId="5A4912B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0602DC1"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4C82A31"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91755F6" w14:textId="77777777" w:rsidTr="00587378">
        <w:trPr>
          <w:gridBefore w:val="1"/>
          <w:wBefore w:w="17" w:type="dxa"/>
        </w:trPr>
        <w:tc>
          <w:tcPr>
            <w:tcW w:w="7483" w:type="dxa"/>
            <w:gridSpan w:val="2"/>
          </w:tcPr>
          <w:p w14:paraId="0F1D0A0E" w14:textId="77777777" w:rsidR="008666DC" w:rsidRPr="004005A4" w:rsidRDefault="008666DC" w:rsidP="008666DC">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d.</w:t>
            </w:r>
            <w:r w:rsidRPr="004005A4">
              <w:rPr>
                <w:rFonts w:cs="Calibri Light"/>
                <w:sz w:val="20"/>
                <w:szCs w:val="20"/>
              </w:rPr>
              <w:tab/>
            </w:r>
            <w:r w:rsidRPr="004005A4">
              <w:rPr>
                <w:rFonts w:cs="Calibri Light"/>
                <w:b/>
                <w:sz w:val="20"/>
                <w:szCs w:val="20"/>
              </w:rPr>
              <w:t>Safe Harbor.</w:t>
            </w:r>
            <w:r w:rsidRPr="004005A4">
              <w:rPr>
                <w:rFonts w:cs="Calibri Light"/>
                <w:sz w:val="20"/>
                <w:szCs w:val="20"/>
              </w:rPr>
              <w:t xml:space="preserve"> </w:t>
            </w:r>
          </w:p>
          <w:p w14:paraId="681774C7" w14:textId="77777777" w:rsidR="008666DC" w:rsidRPr="004005A4" w:rsidRDefault="008666DC" w:rsidP="008666DC">
            <w:pPr>
              <w:pStyle w:val="levelb"/>
              <w:tabs>
                <w:tab w:val="clear" w:pos="576"/>
                <w:tab w:val="clear" w:pos="1152"/>
              </w:tabs>
              <w:spacing w:after="120" w:line="240" w:lineRule="atLeast"/>
              <w:ind w:left="502" w:hanging="270"/>
              <w:rPr>
                <w:rFonts w:cs="Calibri Light"/>
                <w:b/>
                <w:sz w:val="20"/>
                <w:szCs w:val="20"/>
              </w:rPr>
            </w:pPr>
            <w:r w:rsidRPr="004005A4">
              <w:rPr>
                <w:rFonts w:cs="Calibri Light"/>
                <w:sz w:val="20"/>
                <w:szCs w:val="20"/>
              </w:rPr>
              <w:t>(1)</w:t>
            </w:r>
            <w:r w:rsidRPr="004005A4">
              <w:rPr>
                <w:rFonts w:cs="Calibri Light"/>
                <w:sz w:val="20"/>
                <w:szCs w:val="20"/>
              </w:rPr>
              <w:tab/>
              <w:t>The safe harbor provided in Section 27A of the Securities Act of 1933 (15 U.S.C. 77z-2) and Section 21E of the Securities Exchange Act of 1934 (15 U.S.C. 78u-5) (“statutory safe harbors”) should apply, with respect to all types of issuers and transactions, to information provided pursuant to paragraphs (a), (b), and (c) of Item 305, provided that the disclosure is made by an issuer; a person acting on behalf of the issuer; an outside reviewer retained by the issuer making a statement on behalf of the issuer; or an underwriter, with respect to information provided by the issuer or information derived from information provided by the issuer.</w:t>
            </w:r>
          </w:p>
        </w:tc>
        <w:tc>
          <w:tcPr>
            <w:tcW w:w="1209" w:type="dxa"/>
            <w:gridSpan w:val="2"/>
            <w:tcBorders>
              <w:top w:val="single" w:sz="6" w:space="0" w:color="auto"/>
            </w:tcBorders>
            <w:vAlign w:val="bottom"/>
          </w:tcPr>
          <w:p w14:paraId="66E7F140" w14:textId="77777777" w:rsidR="008666DC" w:rsidRPr="004005A4" w:rsidRDefault="008666DC" w:rsidP="008666DC">
            <w:pPr>
              <w:pStyle w:val="levela"/>
              <w:tabs>
                <w:tab w:val="clear" w:pos="576"/>
                <w:tab w:val="left" w:pos="630"/>
              </w:tabs>
              <w:spacing w:before="120" w:after="120" w:line="240" w:lineRule="atLeast"/>
              <w:jc w:val="center"/>
              <w:rPr>
                <w:rFonts w:cs="Calibri Light"/>
                <w:b/>
                <w:sz w:val="20"/>
                <w:szCs w:val="20"/>
              </w:rPr>
            </w:pPr>
          </w:p>
        </w:tc>
        <w:tc>
          <w:tcPr>
            <w:tcW w:w="236" w:type="dxa"/>
            <w:gridSpan w:val="3"/>
            <w:vAlign w:val="bottom"/>
          </w:tcPr>
          <w:p w14:paraId="6B1F00DC"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6" w:space="0" w:color="auto"/>
            </w:tcBorders>
            <w:vAlign w:val="bottom"/>
          </w:tcPr>
          <w:p w14:paraId="1F70E53F"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00E5F5B" w14:textId="77777777" w:rsidTr="00587378">
        <w:trPr>
          <w:gridBefore w:val="1"/>
          <w:wBefore w:w="17" w:type="dxa"/>
        </w:trPr>
        <w:tc>
          <w:tcPr>
            <w:tcW w:w="7483" w:type="dxa"/>
            <w:gridSpan w:val="2"/>
          </w:tcPr>
          <w:p w14:paraId="1F49A16D" w14:textId="77777777" w:rsidR="008666DC" w:rsidRPr="004005A4" w:rsidRDefault="008666DC" w:rsidP="008666DC">
            <w:pPr>
              <w:pStyle w:val="levelb"/>
              <w:tabs>
                <w:tab w:val="clear" w:pos="576"/>
                <w:tab w:val="clear" w:pos="1152"/>
              </w:tabs>
              <w:spacing w:after="120" w:line="240" w:lineRule="atLeast"/>
              <w:ind w:left="502" w:hanging="270"/>
              <w:rPr>
                <w:rFonts w:cs="Calibri Light"/>
                <w:b/>
                <w:sz w:val="20"/>
                <w:szCs w:val="20"/>
              </w:rPr>
            </w:pPr>
            <w:r w:rsidRPr="004005A4">
              <w:rPr>
                <w:rFonts w:cs="Calibri Light"/>
                <w:sz w:val="20"/>
                <w:szCs w:val="20"/>
              </w:rPr>
              <w:t>(2)</w:t>
            </w:r>
            <w:r w:rsidRPr="004005A4">
              <w:rPr>
                <w:rFonts w:cs="Calibri Light"/>
                <w:sz w:val="20"/>
                <w:szCs w:val="20"/>
              </w:rPr>
              <w:tab/>
              <w:t>For purposes of this paragraph (d) of this Item 305 only:</w:t>
            </w:r>
          </w:p>
        </w:tc>
        <w:tc>
          <w:tcPr>
            <w:tcW w:w="1209" w:type="dxa"/>
            <w:gridSpan w:val="2"/>
            <w:tcBorders>
              <w:top w:val="single" w:sz="4" w:space="0" w:color="auto"/>
            </w:tcBorders>
            <w:vAlign w:val="bottom"/>
          </w:tcPr>
          <w:p w14:paraId="66C28B04"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05C100A"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6E02593"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6E53EBA3" w14:textId="77777777" w:rsidTr="00587378">
        <w:trPr>
          <w:gridBefore w:val="1"/>
          <w:wBefore w:w="17" w:type="dxa"/>
        </w:trPr>
        <w:tc>
          <w:tcPr>
            <w:tcW w:w="7483" w:type="dxa"/>
            <w:gridSpan w:val="2"/>
          </w:tcPr>
          <w:p w14:paraId="126CEFB7" w14:textId="77777777" w:rsidR="008666DC" w:rsidRPr="004005A4" w:rsidRDefault="008666DC" w:rsidP="008666DC">
            <w:pPr>
              <w:pStyle w:val="level3"/>
              <w:tabs>
                <w:tab w:val="clear" w:pos="576"/>
                <w:tab w:val="clear" w:pos="1152"/>
              </w:tabs>
              <w:spacing w:after="120" w:line="240" w:lineRule="atLeast"/>
              <w:ind w:left="772" w:hanging="270"/>
              <w:rPr>
                <w:rFonts w:cs="Calibri Light"/>
                <w:sz w:val="20"/>
                <w:szCs w:val="20"/>
              </w:rPr>
            </w:pPr>
            <w:r w:rsidRPr="004005A4">
              <w:rPr>
                <w:rFonts w:cs="Calibri Light"/>
                <w:sz w:val="20"/>
                <w:szCs w:val="20"/>
              </w:rPr>
              <w:lastRenderedPageBreak/>
              <w:t>(i)</w:t>
            </w:r>
            <w:r w:rsidRPr="004005A4">
              <w:rPr>
                <w:rFonts w:cs="Calibri Light"/>
                <w:sz w:val="20"/>
                <w:szCs w:val="20"/>
              </w:rPr>
              <w:tab/>
              <w:t>All information required by paragraphs (a), (b)(1)(i), (b)(1)(iii), and (c) of Item 305 is considered forward looking statements for purposes of the statutory safe harbors, except for historical facts such as the terms of particular contracts and the number of market risk sensitive instruments held during or at the end of the reporting period; and</w:t>
            </w:r>
          </w:p>
        </w:tc>
        <w:tc>
          <w:tcPr>
            <w:tcW w:w="1209" w:type="dxa"/>
            <w:gridSpan w:val="2"/>
            <w:tcBorders>
              <w:bottom w:val="single" w:sz="4" w:space="0" w:color="auto"/>
            </w:tcBorders>
            <w:vAlign w:val="bottom"/>
          </w:tcPr>
          <w:p w14:paraId="78350828"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586EE14"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44683F5F"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39C2177" w14:textId="77777777" w:rsidTr="00587378">
        <w:trPr>
          <w:gridBefore w:val="1"/>
          <w:wBefore w:w="17" w:type="dxa"/>
        </w:trPr>
        <w:tc>
          <w:tcPr>
            <w:tcW w:w="7483" w:type="dxa"/>
            <w:gridSpan w:val="2"/>
          </w:tcPr>
          <w:p w14:paraId="2483BB09" w14:textId="77777777" w:rsidR="008666DC" w:rsidRPr="004005A4" w:rsidRDefault="008666DC" w:rsidP="008666DC">
            <w:pPr>
              <w:pStyle w:val="level3"/>
              <w:tabs>
                <w:tab w:val="clear" w:pos="576"/>
                <w:tab w:val="clear" w:pos="1152"/>
              </w:tabs>
              <w:spacing w:after="120" w:line="240" w:lineRule="atLeast"/>
              <w:ind w:left="772" w:hanging="270"/>
              <w:rPr>
                <w:rFonts w:cs="Calibri Light"/>
                <w:sz w:val="20"/>
                <w:szCs w:val="20"/>
              </w:rPr>
            </w:pPr>
            <w:r w:rsidRPr="004005A4">
              <w:rPr>
                <w:rFonts w:cs="Calibri Light"/>
                <w:sz w:val="20"/>
                <w:szCs w:val="20"/>
              </w:rPr>
              <w:t>(ii)</w:t>
            </w:r>
            <w:r w:rsidRPr="004005A4">
              <w:rPr>
                <w:rFonts w:cs="Calibri Light"/>
                <w:sz w:val="20"/>
                <w:szCs w:val="20"/>
              </w:rPr>
              <w:tab/>
              <w:t>With respect to paragraph (a) of Item 305, the meaningful cautionary statements prong of the statutory safe harbors will be satisfied if a registrant satisfied all requirements of that same paragraph (a) of Item 305.</w:t>
            </w:r>
          </w:p>
        </w:tc>
        <w:tc>
          <w:tcPr>
            <w:tcW w:w="1209" w:type="dxa"/>
            <w:gridSpan w:val="2"/>
            <w:tcBorders>
              <w:top w:val="single" w:sz="4" w:space="0" w:color="auto"/>
            </w:tcBorders>
            <w:vAlign w:val="bottom"/>
          </w:tcPr>
          <w:p w14:paraId="6CAB149E"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A42F51F"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5C28CB0"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E10BEE2" w14:textId="77777777" w:rsidTr="00587378">
        <w:trPr>
          <w:gridBefore w:val="1"/>
          <w:wBefore w:w="17" w:type="dxa"/>
        </w:trPr>
        <w:tc>
          <w:tcPr>
            <w:tcW w:w="7483" w:type="dxa"/>
            <w:gridSpan w:val="2"/>
          </w:tcPr>
          <w:p w14:paraId="57BCB0DD" w14:textId="77777777" w:rsidR="008666DC" w:rsidRPr="004005A4" w:rsidRDefault="008666DC" w:rsidP="008666DC">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 xml:space="preserve">e. </w:t>
            </w:r>
            <w:r w:rsidRPr="004005A4">
              <w:rPr>
                <w:rFonts w:cs="Calibri Light"/>
                <w:sz w:val="20"/>
                <w:szCs w:val="20"/>
              </w:rPr>
              <w:tab/>
            </w:r>
            <w:r w:rsidRPr="004005A4">
              <w:rPr>
                <w:rFonts w:cs="Calibri Light"/>
                <w:b/>
                <w:sz w:val="20"/>
                <w:szCs w:val="20"/>
              </w:rPr>
              <w:t>Smaller reporting companies</w:t>
            </w:r>
            <w:r w:rsidRPr="004005A4">
              <w:rPr>
                <w:rFonts w:cs="Calibri Light"/>
                <w:sz w:val="20"/>
                <w:szCs w:val="20"/>
              </w:rPr>
              <w:t>. Smaller reporting companies, as defined in S-K Item 10(f)(1), need not provide the information required by Item 305.</w:t>
            </w:r>
          </w:p>
        </w:tc>
        <w:tc>
          <w:tcPr>
            <w:tcW w:w="1209" w:type="dxa"/>
            <w:gridSpan w:val="2"/>
            <w:tcBorders>
              <w:top w:val="single" w:sz="4" w:space="0" w:color="auto"/>
            </w:tcBorders>
            <w:vAlign w:val="bottom"/>
          </w:tcPr>
          <w:p w14:paraId="7CD9F7EE"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1096A02"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134B500"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71B6E80B" w14:textId="77777777" w:rsidTr="00587378">
        <w:trPr>
          <w:gridBefore w:val="1"/>
          <w:wBefore w:w="17" w:type="dxa"/>
        </w:trPr>
        <w:tc>
          <w:tcPr>
            <w:tcW w:w="7483" w:type="dxa"/>
            <w:gridSpan w:val="2"/>
          </w:tcPr>
          <w:p w14:paraId="33779D93" w14:textId="77777777" w:rsidR="008666DC" w:rsidRPr="004005A4" w:rsidRDefault="008666DC" w:rsidP="008666DC">
            <w:pPr>
              <w:pStyle w:val="standard"/>
              <w:spacing w:before="120" w:after="120" w:line="240" w:lineRule="atLeast"/>
              <w:rPr>
                <w:rFonts w:cs="Calibri Light"/>
                <w:sz w:val="20"/>
                <w:szCs w:val="20"/>
              </w:rPr>
            </w:pPr>
            <w:r w:rsidRPr="004005A4">
              <w:rPr>
                <w:rFonts w:cs="Calibri Light"/>
                <w:sz w:val="20"/>
                <w:szCs w:val="20"/>
              </w:rPr>
              <w:t xml:space="preserve">See the SEC’s publication </w:t>
            </w:r>
            <w:r w:rsidRPr="004005A4">
              <w:rPr>
                <w:rFonts w:cs="Calibri Light"/>
                <w:i/>
                <w:sz w:val="20"/>
                <w:szCs w:val="20"/>
              </w:rPr>
              <w:t xml:space="preserve">Disclosures About Market Risk — Frequently Asked Questions </w:t>
            </w:r>
            <w:r w:rsidRPr="004005A4">
              <w:rPr>
                <w:rFonts w:cs="Calibri Light"/>
                <w:sz w:val="20"/>
                <w:szCs w:val="20"/>
              </w:rPr>
              <w:t>(dated August 15, 1997).</w:t>
            </w:r>
            <w:r w:rsidRPr="004005A4">
              <w:rPr>
                <w:rFonts w:cs="Calibri Light"/>
                <w:i/>
                <w:sz w:val="20"/>
                <w:szCs w:val="20"/>
              </w:rPr>
              <w:t xml:space="preserve">  </w:t>
            </w:r>
            <w:r w:rsidRPr="004005A4">
              <w:rPr>
                <w:rFonts w:cs="Calibri Light"/>
                <w:sz w:val="20"/>
                <w:szCs w:val="20"/>
              </w:rPr>
              <w:t xml:space="preserve">This publication is available on the SEC’s website at </w:t>
            </w:r>
            <w:hyperlink r:id="rId47" w:history="1">
              <w:r w:rsidRPr="004005A4">
                <w:rPr>
                  <w:rStyle w:val="Hyperlink"/>
                  <w:rFonts w:cs="Calibri Light"/>
                  <w:sz w:val="20"/>
                  <w:szCs w:val="20"/>
                </w:rPr>
                <w:t>www.sec.gov</w:t>
              </w:r>
            </w:hyperlink>
            <w:r w:rsidRPr="004005A4">
              <w:rPr>
                <w:rFonts w:cs="Calibri Light"/>
                <w:sz w:val="20"/>
                <w:szCs w:val="20"/>
              </w:rPr>
              <w:t>.  Q&amp;A 18 of the publication states that the market risk disclosure must be included in the annual report delivered to shareholders.</w:t>
            </w:r>
          </w:p>
        </w:tc>
        <w:tc>
          <w:tcPr>
            <w:tcW w:w="1209" w:type="dxa"/>
            <w:gridSpan w:val="2"/>
            <w:tcBorders>
              <w:bottom w:val="single" w:sz="4" w:space="0" w:color="auto"/>
            </w:tcBorders>
            <w:vAlign w:val="bottom"/>
          </w:tcPr>
          <w:p w14:paraId="0EE4D018"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B0FEB54"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2CC3E1B7"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3327BE75" w14:textId="77777777" w:rsidTr="00587378">
        <w:trPr>
          <w:gridBefore w:val="1"/>
          <w:wBefore w:w="17" w:type="dxa"/>
        </w:trPr>
        <w:tc>
          <w:tcPr>
            <w:tcW w:w="7483" w:type="dxa"/>
            <w:gridSpan w:val="2"/>
          </w:tcPr>
          <w:p w14:paraId="10F0E18A" w14:textId="77777777" w:rsidR="008666DC" w:rsidRPr="004005A4" w:rsidRDefault="008666DC" w:rsidP="008666DC">
            <w:pPr>
              <w:pStyle w:val="FormTableHeaderRow"/>
              <w:keepNext/>
              <w:rPr>
                <w:rFonts w:cs="Calibri Light"/>
                <w:bCs w:val="0"/>
                <w:sz w:val="20"/>
                <w:szCs w:val="20"/>
              </w:rPr>
            </w:pPr>
            <w:bookmarkStart w:id="51" w:name="_Item_307—Disclosure_controls"/>
            <w:bookmarkEnd w:id="51"/>
            <w:r w:rsidRPr="004005A4">
              <w:rPr>
                <w:rFonts w:cs="Calibri Light"/>
                <w:sz w:val="20"/>
                <w:szCs w:val="20"/>
              </w:rPr>
              <w:t>Item 307 — Disclosure controls and procedures</w:t>
            </w:r>
          </w:p>
        </w:tc>
        <w:tc>
          <w:tcPr>
            <w:tcW w:w="1209" w:type="dxa"/>
            <w:gridSpan w:val="2"/>
            <w:tcBorders>
              <w:top w:val="single" w:sz="4" w:space="0" w:color="auto"/>
            </w:tcBorders>
            <w:vAlign w:val="bottom"/>
          </w:tcPr>
          <w:p w14:paraId="04092236"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6D721222"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C2E9C1C"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6BDFDD2" w14:textId="77777777" w:rsidTr="00587378">
        <w:trPr>
          <w:gridBefore w:val="1"/>
          <w:wBefore w:w="17" w:type="dxa"/>
        </w:trPr>
        <w:tc>
          <w:tcPr>
            <w:tcW w:w="7483" w:type="dxa"/>
            <w:gridSpan w:val="2"/>
          </w:tcPr>
          <w:p w14:paraId="16C251A4" w14:textId="4A85AC3E" w:rsidR="008666DC" w:rsidRPr="00C33E7C" w:rsidRDefault="008666DC" w:rsidP="008666DC">
            <w:pPr>
              <w:pStyle w:val="level1"/>
              <w:tabs>
                <w:tab w:val="clear" w:pos="576"/>
                <w:tab w:val="left" w:pos="-18"/>
              </w:tabs>
              <w:spacing w:after="120" w:line="240" w:lineRule="atLeast"/>
              <w:ind w:left="0" w:firstLine="36"/>
              <w:rPr>
                <w:rFonts w:cs="Calibri Light"/>
                <w:sz w:val="20"/>
                <w:szCs w:val="20"/>
              </w:rPr>
            </w:pPr>
            <w:r w:rsidRPr="00C33E7C">
              <w:rPr>
                <w:rFonts w:cs="Calibri Light"/>
                <w:sz w:val="20"/>
                <w:szCs w:val="20"/>
              </w:rPr>
              <w:t xml:space="preserve">Disclose the conclusions of the registrant’s principal executive officer or officers and principal financial officer or officers, or persons performing similar functions, about the effectiveness of the registrant’s disclosure controls and procedures </w:t>
            </w:r>
            <w:r>
              <w:rPr>
                <w:rFonts w:cs="Calibri Light"/>
                <w:sz w:val="20"/>
                <w:szCs w:val="20"/>
              </w:rPr>
              <w:t xml:space="preserve">as of the end of the period covered by the report, </w:t>
            </w:r>
            <w:r w:rsidRPr="00C33E7C">
              <w:rPr>
                <w:rFonts w:cs="Calibri Light"/>
                <w:sz w:val="20"/>
                <w:szCs w:val="20"/>
              </w:rPr>
              <w:t xml:space="preserve">based on their evaluation of these controls and procedures. </w:t>
            </w:r>
          </w:p>
          <w:p w14:paraId="37C2D0D4" w14:textId="77777777" w:rsidR="008666DC" w:rsidRPr="00C33E7C" w:rsidRDefault="008666DC" w:rsidP="008666DC">
            <w:pPr>
              <w:pStyle w:val="level1"/>
              <w:tabs>
                <w:tab w:val="clear" w:pos="576"/>
                <w:tab w:val="left" w:pos="-18"/>
              </w:tabs>
              <w:spacing w:after="120" w:line="240" w:lineRule="atLeast"/>
              <w:ind w:left="0" w:firstLine="36"/>
              <w:rPr>
                <w:rFonts w:cs="Calibri Light"/>
                <w:sz w:val="20"/>
                <w:szCs w:val="20"/>
              </w:rPr>
            </w:pPr>
            <w:r w:rsidRPr="00C33E7C">
              <w:rPr>
                <w:rFonts w:cs="Calibri Light"/>
                <w:sz w:val="20"/>
                <w:szCs w:val="20"/>
              </w:rPr>
              <w:t>Disclosure controls and procedures are defined as controls and other procedures of an issuer that are designed to ensure that information required to be disclosed by the issuer in the reports that it files or submits under the Exchange Act is recorded, processed, summarized and reported, within the time periods specified in the Commission’s rules and forms. Disclosure controls and procedures include, without limitation, controls and procedures designed to ensure that information required to be disclosed by an issuer in the reports that it files or submits under the Act is accumulated and communicated to the issuer’s management, including its principal executive and principal financial officers, or persons performing similar functions, as appropriate to allow timely decisions regarding required disclosure.</w:t>
            </w:r>
          </w:p>
        </w:tc>
        <w:tc>
          <w:tcPr>
            <w:tcW w:w="1209" w:type="dxa"/>
            <w:gridSpan w:val="2"/>
            <w:vAlign w:val="bottom"/>
          </w:tcPr>
          <w:p w14:paraId="47D21D1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62B317E1"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0BA7FDBD"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CF5A61C" w14:textId="77777777" w:rsidTr="00587378">
        <w:trPr>
          <w:gridBefore w:val="1"/>
          <w:wBefore w:w="17" w:type="dxa"/>
        </w:trPr>
        <w:tc>
          <w:tcPr>
            <w:tcW w:w="7483" w:type="dxa"/>
            <w:gridSpan w:val="2"/>
          </w:tcPr>
          <w:p w14:paraId="022EED60" w14:textId="6CB38B09" w:rsidR="008666DC" w:rsidRPr="004005A4" w:rsidRDefault="008666DC" w:rsidP="008666DC">
            <w:pPr>
              <w:pStyle w:val="standard"/>
              <w:spacing w:before="120" w:after="120" w:line="240" w:lineRule="atLeast"/>
              <w:rPr>
                <w:rStyle w:val="Heading1Char"/>
                <w:rFonts w:cs="Calibri Light"/>
                <w:bCs w:val="0"/>
                <w:sz w:val="20"/>
                <w:szCs w:val="20"/>
              </w:rPr>
            </w:pPr>
            <w:bookmarkStart w:id="52" w:name="Item308"/>
            <w:bookmarkEnd w:id="52"/>
            <w:r w:rsidRPr="00393BE9">
              <w:rPr>
                <w:rStyle w:val="Heading1Char"/>
                <w:rFonts w:cs="Calibri Light"/>
                <w:b/>
                <w:bCs w:val="0"/>
                <w:sz w:val="20"/>
                <w:szCs w:val="20"/>
              </w:rPr>
              <w:t>Item 308 — Internal Control Over Financial Reporting (ICFR).</w:t>
            </w:r>
            <w:r w:rsidRPr="004005A4">
              <w:rPr>
                <w:rFonts w:cs="Calibri Light"/>
                <w:bCs/>
                <w:sz w:val="20"/>
                <w:szCs w:val="20"/>
              </w:rPr>
              <w:t xml:space="preserve"> </w:t>
            </w:r>
          </w:p>
        </w:tc>
        <w:tc>
          <w:tcPr>
            <w:tcW w:w="1209" w:type="dxa"/>
            <w:gridSpan w:val="2"/>
            <w:tcBorders>
              <w:top w:val="single" w:sz="4" w:space="0" w:color="auto"/>
            </w:tcBorders>
            <w:vAlign w:val="bottom"/>
          </w:tcPr>
          <w:p w14:paraId="5D552B74"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770E819"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184C13A"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3D90AAFE" w14:textId="77777777" w:rsidTr="00587378">
        <w:trPr>
          <w:gridBefore w:val="1"/>
          <w:wBefore w:w="17" w:type="dxa"/>
        </w:trPr>
        <w:tc>
          <w:tcPr>
            <w:tcW w:w="7483" w:type="dxa"/>
            <w:gridSpan w:val="2"/>
          </w:tcPr>
          <w:p w14:paraId="2658BA72" w14:textId="77777777" w:rsidR="008666DC" w:rsidRPr="004005A4" w:rsidRDefault="008666DC" w:rsidP="008666DC">
            <w:pPr>
              <w:pStyle w:val="levela"/>
              <w:tabs>
                <w:tab w:val="clear" w:pos="576"/>
              </w:tabs>
              <w:spacing w:before="120" w:after="120" w:line="240" w:lineRule="atLeast"/>
              <w:ind w:left="322" w:hanging="322"/>
              <w:rPr>
                <w:rStyle w:val="Heading1Char"/>
                <w:rFonts w:cs="Calibri Light"/>
                <w:b/>
                <w:caps/>
                <w:sz w:val="20"/>
                <w:szCs w:val="20"/>
              </w:rPr>
            </w:pPr>
            <w:r w:rsidRPr="004005A4">
              <w:rPr>
                <w:rFonts w:cs="Calibri Light"/>
                <w:sz w:val="20"/>
                <w:szCs w:val="20"/>
              </w:rPr>
              <w:t>a.</w:t>
            </w:r>
            <w:r w:rsidRPr="004005A4">
              <w:rPr>
                <w:rFonts w:cs="Calibri Light"/>
                <w:sz w:val="20"/>
                <w:szCs w:val="20"/>
              </w:rPr>
              <w:tab/>
            </w:r>
            <w:r w:rsidRPr="004005A4">
              <w:rPr>
                <w:rFonts w:cs="Calibri Light"/>
                <w:i/>
                <w:sz w:val="20"/>
                <w:szCs w:val="20"/>
              </w:rPr>
              <w:t>Management’s annual report on internal control over financial reporting.</w:t>
            </w:r>
            <w:r w:rsidRPr="004005A4">
              <w:rPr>
                <w:rFonts w:cs="Calibri Light"/>
                <w:sz w:val="20"/>
                <w:szCs w:val="20"/>
              </w:rPr>
              <w:t xml:space="preserve">  Provide a report of management on the registrant’s internal control over financial reporting that contains: </w:t>
            </w:r>
          </w:p>
        </w:tc>
        <w:tc>
          <w:tcPr>
            <w:tcW w:w="1209" w:type="dxa"/>
            <w:gridSpan w:val="2"/>
            <w:tcBorders>
              <w:bottom w:val="single" w:sz="4" w:space="0" w:color="auto"/>
            </w:tcBorders>
            <w:vAlign w:val="bottom"/>
          </w:tcPr>
          <w:p w14:paraId="34F5641B"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50E3E98"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4E841E71"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93620D7" w14:textId="77777777" w:rsidTr="00587378">
        <w:trPr>
          <w:gridBefore w:val="1"/>
          <w:wBefore w:w="17" w:type="dxa"/>
        </w:trPr>
        <w:tc>
          <w:tcPr>
            <w:tcW w:w="7483" w:type="dxa"/>
            <w:gridSpan w:val="2"/>
          </w:tcPr>
          <w:p w14:paraId="71FCB939" w14:textId="77777777" w:rsidR="008666DC" w:rsidRPr="004005A4" w:rsidRDefault="008666DC" w:rsidP="008666DC">
            <w:pPr>
              <w:pStyle w:val="level2"/>
              <w:tabs>
                <w:tab w:val="clear" w:pos="576"/>
                <w:tab w:val="clear" w:pos="1152"/>
              </w:tabs>
              <w:spacing w:after="120" w:line="240" w:lineRule="atLeast"/>
              <w:ind w:left="682" w:hanging="360"/>
              <w:rPr>
                <w:rStyle w:val="Heading1Char"/>
                <w:rFonts w:cs="Calibri Light"/>
                <w:b/>
                <w:caps/>
                <w:sz w:val="20"/>
                <w:szCs w:val="20"/>
              </w:rPr>
            </w:pPr>
            <w:r w:rsidRPr="004005A4">
              <w:rPr>
                <w:rFonts w:cs="Calibri Light"/>
                <w:sz w:val="20"/>
                <w:szCs w:val="20"/>
              </w:rPr>
              <w:t>(1)</w:t>
            </w:r>
            <w:r w:rsidRPr="004005A4">
              <w:rPr>
                <w:rFonts w:cs="Calibri Light"/>
                <w:sz w:val="20"/>
                <w:szCs w:val="20"/>
              </w:rPr>
              <w:tab/>
              <w:t>A statement of management’s responsibility for establishing and maintaining adequate internal control over financial reporting for the registrant.</w:t>
            </w:r>
          </w:p>
        </w:tc>
        <w:tc>
          <w:tcPr>
            <w:tcW w:w="1209" w:type="dxa"/>
            <w:gridSpan w:val="2"/>
            <w:tcBorders>
              <w:top w:val="single" w:sz="4" w:space="0" w:color="auto"/>
              <w:bottom w:val="single" w:sz="4" w:space="0" w:color="auto"/>
            </w:tcBorders>
            <w:vAlign w:val="bottom"/>
          </w:tcPr>
          <w:p w14:paraId="075AAF94"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D0E7B96"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FA7F385"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19FE254" w14:textId="77777777" w:rsidTr="00587378">
        <w:trPr>
          <w:gridBefore w:val="1"/>
          <w:wBefore w:w="17" w:type="dxa"/>
        </w:trPr>
        <w:tc>
          <w:tcPr>
            <w:tcW w:w="7483" w:type="dxa"/>
            <w:gridSpan w:val="2"/>
          </w:tcPr>
          <w:p w14:paraId="4C96A4C2" w14:textId="77777777" w:rsidR="008666DC" w:rsidRPr="004005A4" w:rsidRDefault="008666DC" w:rsidP="008666DC">
            <w:pPr>
              <w:pStyle w:val="level2"/>
              <w:tabs>
                <w:tab w:val="clear" w:pos="576"/>
                <w:tab w:val="clear" w:pos="1152"/>
              </w:tabs>
              <w:spacing w:after="120" w:line="240" w:lineRule="atLeast"/>
              <w:ind w:left="682" w:hanging="360"/>
              <w:rPr>
                <w:rStyle w:val="Heading1Char"/>
                <w:rFonts w:cs="Calibri Light"/>
                <w:b/>
                <w:caps/>
                <w:sz w:val="20"/>
                <w:szCs w:val="20"/>
              </w:rPr>
            </w:pPr>
            <w:r w:rsidRPr="004005A4">
              <w:rPr>
                <w:rFonts w:cs="Calibri Light"/>
                <w:sz w:val="20"/>
                <w:szCs w:val="20"/>
              </w:rPr>
              <w:t>(2)</w:t>
            </w:r>
            <w:r w:rsidRPr="004005A4">
              <w:rPr>
                <w:rFonts w:cs="Calibri Light"/>
                <w:sz w:val="20"/>
                <w:szCs w:val="20"/>
              </w:rPr>
              <w:tab/>
              <w:t xml:space="preserve">A statement identifying the framework used by management to evaluate the effectiveness of the registrant’s internal control over financial reporting. If the </w:t>
            </w:r>
            <w:r w:rsidRPr="004005A4">
              <w:rPr>
                <w:rFonts w:cs="Calibri Light"/>
                <w:sz w:val="20"/>
                <w:szCs w:val="20"/>
              </w:rPr>
              <w:lastRenderedPageBreak/>
              <w:t>entity is using the framework released by COSO, this statement should identify which framework release was used (i.e., either the 1992 or 2013 framework), since the different COSO versions have the same name except for the year indicator.</w:t>
            </w:r>
          </w:p>
        </w:tc>
        <w:tc>
          <w:tcPr>
            <w:tcW w:w="1209" w:type="dxa"/>
            <w:gridSpan w:val="2"/>
            <w:tcBorders>
              <w:top w:val="single" w:sz="4" w:space="0" w:color="auto"/>
              <w:bottom w:val="single" w:sz="4" w:space="0" w:color="auto"/>
            </w:tcBorders>
            <w:vAlign w:val="bottom"/>
          </w:tcPr>
          <w:p w14:paraId="4A3B795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66AB211F"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4E22A1A4"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6324542A" w14:textId="77777777" w:rsidTr="00587378">
        <w:trPr>
          <w:gridBefore w:val="1"/>
          <w:wBefore w:w="17" w:type="dxa"/>
        </w:trPr>
        <w:tc>
          <w:tcPr>
            <w:tcW w:w="7483" w:type="dxa"/>
            <w:gridSpan w:val="2"/>
          </w:tcPr>
          <w:p w14:paraId="0DBA6A83" w14:textId="77777777" w:rsidR="008666DC" w:rsidRPr="004005A4" w:rsidRDefault="008666DC" w:rsidP="008666DC">
            <w:pPr>
              <w:pStyle w:val="level2"/>
              <w:tabs>
                <w:tab w:val="clear" w:pos="576"/>
                <w:tab w:val="clear" w:pos="1152"/>
              </w:tabs>
              <w:spacing w:after="120" w:line="240" w:lineRule="atLeast"/>
              <w:ind w:left="682" w:hanging="360"/>
              <w:rPr>
                <w:rStyle w:val="Heading1Char"/>
                <w:rFonts w:cs="Calibri Light"/>
                <w:b/>
                <w:caps/>
                <w:sz w:val="20"/>
                <w:szCs w:val="20"/>
              </w:rPr>
            </w:pPr>
            <w:r w:rsidRPr="004005A4">
              <w:rPr>
                <w:rFonts w:cs="Calibri Light"/>
                <w:sz w:val="20"/>
                <w:szCs w:val="20"/>
              </w:rPr>
              <w:t>(3)</w:t>
            </w:r>
            <w:r w:rsidRPr="004005A4">
              <w:rPr>
                <w:rFonts w:cs="Calibri Light"/>
                <w:sz w:val="20"/>
                <w:szCs w:val="20"/>
              </w:rPr>
              <w:tab/>
              <w:t xml:space="preserve">Management’s assessment of the effectiveness of the registrant’s internal control over financial reporting as of the end of the registrant’s most recent fiscal year, including a statement as to whether or not internal control over financial reporting is effective.  This discussion must include disclosure of any material weakness in the registrant’s internal control over financial reporting identified by management.  Management is not permitted to conclude that the registrant’s internal control over financial reporting is effective if there are one or more material weaknesses in the registrant’s internal control over financial reporting. </w:t>
            </w:r>
          </w:p>
        </w:tc>
        <w:tc>
          <w:tcPr>
            <w:tcW w:w="1209" w:type="dxa"/>
            <w:gridSpan w:val="2"/>
            <w:tcBorders>
              <w:top w:val="single" w:sz="4" w:space="0" w:color="auto"/>
            </w:tcBorders>
            <w:vAlign w:val="bottom"/>
          </w:tcPr>
          <w:p w14:paraId="4394EDB2"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436F91CB"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A38E134"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59C7510" w14:textId="77777777" w:rsidTr="00587378">
        <w:trPr>
          <w:gridBefore w:val="1"/>
          <w:wBefore w:w="17" w:type="dxa"/>
        </w:trPr>
        <w:tc>
          <w:tcPr>
            <w:tcW w:w="7483" w:type="dxa"/>
            <w:gridSpan w:val="2"/>
          </w:tcPr>
          <w:p w14:paraId="03BDCC04" w14:textId="77777777" w:rsidR="008666DC" w:rsidRPr="004005A4" w:rsidRDefault="008666DC" w:rsidP="008666DC">
            <w:pPr>
              <w:pStyle w:val="level2"/>
              <w:tabs>
                <w:tab w:val="clear" w:pos="576"/>
                <w:tab w:val="clear" w:pos="1152"/>
              </w:tabs>
              <w:spacing w:after="120" w:line="240" w:lineRule="atLeast"/>
              <w:ind w:left="682" w:hanging="360"/>
              <w:rPr>
                <w:rStyle w:val="Heading1Char"/>
                <w:rFonts w:cs="Calibri Light"/>
                <w:b/>
                <w:caps/>
                <w:sz w:val="20"/>
                <w:szCs w:val="20"/>
              </w:rPr>
            </w:pPr>
            <w:r w:rsidRPr="004005A4">
              <w:rPr>
                <w:rFonts w:cs="Calibri Light"/>
                <w:sz w:val="20"/>
                <w:szCs w:val="20"/>
              </w:rPr>
              <w:t>(4)</w:t>
            </w:r>
            <w:r w:rsidRPr="004005A4">
              <w:rPr>
                <w:rFonts w:cs="Calibri Light"/>
                <w:sz w:val="20"/>
                <w:szCs w:val="20"/>
              </w:rPr>
              <w:tab/>
              <w:t>If the registrant is an accelerated filer or a large accelerated, or otherwise includes in its annual report a registered public accounting firms attestation report on internal control over financial reporting, a statement that the registered public accounting firm that audited the financial statements included in the annual report containing the disclosure required by this Item has issued an attestation report on the registrant’s internal control over financial reporting.</w:t>
            </w:r>
          </w:p>
        </w:tc>
        <w:tc>
          <w:tcPr>
            <w:tcW w:w="1209" w:type="dxa"/>
            <w:gridSpan w:val="2"/>
            <w:tcBorders>
              <w:top w:val="single" w:sz="4" w:space="0" w:color="auto"/>
              <w:bottom w:val="single" w:sz="4" w:space="0" w:color="auto"/>
            </w:tcBorders>
            <w:vAlign w:val="bottom"/>
          </w:tcPr>
          <w:p w14:paraId="2348797D"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E69878E"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1820F94"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C13B32B" w14:textId="77777777" w:rsidTr="00587378">
        <w:trPr>
          <w:gridBefore w:val="1"/>
          <w:wBefore w:w="17" w:type="dxa"/>
        </w:trPr>
        <w:tc>
          <w:tcPr>
            <w:tcW w:w="7483" w:type="dxa"/>
            <w:gridSpan w:val="2"/>
          </w:tcPr>
          <w:p w14:paraId="2E43A78D" w14:textId="77777777" w:rsidR="008666DC" w:rsidRPr="004005A4" w:rsidRDefault="008666DC" w:rsidP="008666DC">
            <w:pPr>
              <w:pStyle w:val="levela"/>
              <w:tabs>
                <w:tab w:val="clear" w:pos="576"/>
              </w:tabs>
              <w:spacing w:before="120" w:after="120" w:line="240" w:lineRule="atLeast"/>
              <w:ind w:left="322" w:hanging="322"/>
              <w:rPr>
                <w:rStyle w:val="Heading1Char"/>
                <w:rFonts w:cs="Calibri Light"/>
                <w:bCs w:val="0"/>
                <w:sz w:val="20"/>
                <w:szCs w:val="20"/>
              </w:rPr>
            </w:pPr>
            <w:r w:rsidRPr="004005A4">
              <w:rPr>
                <w:rFonts w:cs="Calibri Light"/>
                <w:sz w:val="20"/>
                <w:szCs w:val="20"/>
              </w:rPr>
              <w:t>b.</w:t>
            </w:r>
            <w:r w:rsidRPr="004005A4">
              <w:rPr>
                <w:rFonts w:cs="Calibri Light"/>
                <w:sz w:val="20"/>
                <w:szCs w:val="20"/>
              </w:rPr>
              <w:tab/>
            </w:r>
            <w:r w:rsidRPr="004005A4">
              <w:rPr>
                <w:rFonts w:cs="Calibri Light"/>
                <w:i/>
                <w:sz w:val="20"/>
                <w:szCs w:val="20"/>
              </w:rPr>
              <w:t>Attestation report of the registered public accounting firm.</w:t>
            </w:r>
            <w:r w:rsidRPr="004005A4">
              <w:rPr>
                <w:rFonts w:cs="Calibri Light"/>
                <w:sz w:val="20"/>
                <w:szCs w:val="20"/>
              </w:rPr>
              <w:t xml:space="preserve"> </w:t>
            </w:r>
            <w:r w:rsidRPr="004005A4">
              <w:rPr>
                <w:rFonts w:cs="Calibri Light"/>
                <w:sz w:val="20"/>
                <w:szCs w:val="20"/>
              </w:rPr>
              <w:br/>
              <w:t>If the registrant is an accelerated filer or a large accelerated filer, provide the registered public accounting firm’s attestation report on the registrant’s internal control over financial reporting in the registrant’s annual report containing the disclosure required by this Item. (Emerging Growth Companies are exempt from the requirement to obtain an attestation report on the company’s ICFR from its registered public accounting firm.)</w:t>
            </w:r>
          </w:p>
        </w:tc>
        <w:tc>
          <w:tcPr>
            <w:tcW w:w="1209" w:type="dxa"/>
            <w:gridSpan w:val="2"/>
            <w:tcBorders>
              <w:top w:val="single" w:sz="4" w:space="0" w:color="auto"/>
              <w:bottom w:val="single" w:sz="4" w:space="0" w:color="auto"/>
            </w:tcBorders>
            <w:vAlign w:val="bottom"/>
          </w:tcPr>
          <w:p w14:paraId="747FA3A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FB6899F"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78CA8315"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BC6DB57" w14:textId="77777777" w:rsidTr="00587378">
        <w:trPr>
          <w:gridBefore w:val="1"/>
          <w:wBefore w:w="17" w:type="dxa"/>
        </w:trPr>
        <w:tc>
          <w:tcPr>
            <w:tcW w:w="7483" w:type="dxa"/>
            <w:gridSpan w:val="2"/>
          </w:tcPr>
          <w:p w14:paraId="5E3274F5" w14:textId="4F713168" w:rsidR="008666DC" w:rsidRPr="004005A4" w:rsidRDefault="008666DC" w:rsidP="008666DC">
            <w:pPr>
              <w:pStyle w:val="levela"/>
              <w:tabs>
                <w:tab w:val="clear" w:pos="576"/>
              </w:tabs>
              <w:spacing w:before="120" w:after="120" w:line="240" w:lineRule="atLeast"/>
              <w:ind w:left="322" w:hanging="322"/>
              <w:rPr>
                <w:rStyle w:val="Heading1Char"/>
                <w:rFonts w:cs="Calibri Light"/>
                <w:b/>
                <w:caps/>
                <w:sz w:val="20"/>
                <w:szCs w:val="20"/>
              </w:rPr>
            </w:pPr>
            <w:r w:rsidRPr="004005A4">
              <w:rPr>
                <w:rFonts w:cs="Calibri Light"/>
                <w:sz w:val="20"/>
                <w:szCs w:val="20"/>
              </w:rPr>
              <w:t>c.</w:t>
            </w:r>
            <w:r w:rsidRPr="004005A4">
              <w:rPr>
                <w:rFonts w:cs="Calibri Light"/>
                <w:sz w:val="20"/>
                <w:szCs w:val="20"/>
              </w:rPr>
              <w:tab/>
            </w:r>
            <w:r w:rsidRPr="004005A4">
              <w:rPr>
                <w:rFonts w:cs="Calibri Light"/>
                <w:i/>
                <w:sz w:val="20"/>
                <w:szCs w:val="20"/>
              </w:rPr>
              <w:t>Changes in internal control over financial reporting.</w:t>
            </w:r>
            <w:r w:rsidRPr="004005A4">
              <w:rPr>
                <w:rFonts w:cs="Calibri Light"/>
                <w:sz w:val="20"/>
                <w:szCs w:val="20"/>
              </w:rPr>
              <w:t xml:space="preserve"> Disclose any change in the registrant’s internal control over financial reporting identified in connection with the evaluation that occurred during the registrant’s last fiscal quarter (the registrant’s fourth fiscal quarter in the case of an annual report) that has materially affected, or is reasonably likely to materially affect, the registrant’s internal control over financial reporting. </w:t>
            </w:r>
          </w:p>
        </w:tc>
        <w:tc>
          <w:tcPr>
            <w:tcW w:w="1209" w:type="dxa"/>
            <w:gridSpan w:val="2"/>
            <w:tcBorders>
              <w:top w:val="single" w:sz="4" w:space="0" w:color="auto"/>
              <w:bottom w:val="single" w:sz="4" w:space="0" w:color="auto"/>
            </w:tcBorders>
            <w:vAlign w:val="bottom"/>
          </w:tcPr>
          <w:p w14:paraId="50BDBD8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A1D0524"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665AFDC8"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BEC2459" w14:textId="77777777" w:rsidTr="00587378">
        <w:trPr>
          <w:gridBefore w:val="1"/>
          <w:wBefore w:w="17" w:type="dxa"/>
        </w:trPr>
        <w:tc>
          <w:tcPr>
            <w:tcW w:w="7483" w:type="dxa"/>
            <w:gridSpan w:val="2"/>
          </w:tcPr>
          <w:p w14:paraId="26D971D9" w14:textId="77777777" w:rsidR="008666DC" w:rsidRPr="004005A4" w:rsidRDefault="008666DC" w:rsidP="008666DC">
            <w:pPr>
              <w:pStyle w:val="levela"/>
              <w:tabs>
                <w:tab w:val="clear" w:pos="576"/>
              </w:tabs>
              <w:spacing w:before="120" w:after="120" w:line="240" w:lineRule="atLeast"/>
              <w:ind w:left="322" w:hanging="322"/>
              <w:rPr>
                <w:rFonts w:cs="Calibri Light"/>
                <w:sz w:val="20"/>
                <w:szCs w:val="20"/>
              </w:rPr>
            </w:pPr>
            <w:r w:rsidRPr="004005A4">
              <w:rPr>
                <w:rFonts w:cs="Calibri Light"/>
                <w:sz w:val="20"/>
                <w:szCs w:val="20"/>
              </w:rPr>
              <w:t>d.</w:t>
            </w:r>
            <w:r w:rsidRPr="004005A4">
              <w:rPr>
                <w:rFonts w:cs="Calibri Light"/>
                <w:sz w:val="20"/>
                <w:szCs w:val="20"/>
              </w:rPr>
              <w:tab/>
              <w:t xml:space="preserve">Instructions to Item 308 </w:t>
            </w:r>
          </w:p>
          <w:p w14:paraId="0AE84343" w14:textId="7208FBA4" w:rsidR="008666DC" w:rsidRPr="004005A4" w:rsidRDefault="008666DC" w:rsidP="008666DC">
            <w:pPr>
              <w:pStyle w:val="level2"/>
              <w:tabs>
                <w:tab w:val="clear" w:pos="576"/>
                <w:tab w:val="clear" w:pos="1152"/>
              </w:tabs>
              <w:spacing w:after="120" w:line="240" w:lineRule="atLeast"/>
              <w:ind w:left="682" w:hanging="360"/>
              <w:rPr>
                <w:rStyle w:val="Heading1Char"/>
                <w:rFonts w:cs="Calibri Light"/>
                <w:b/>
                <w:caps/>
                <w:sz w:val="20"/>
                <w:szCs w:val="20"/>
              </w:rPr>
            </w:pPr>
            <w:r w:rsidRPr="004005A4">
              <w:rPr>
                <w:rFonts w:cs="Calibri Light"/>
                <w:sz w:val="20"/>
                <w:szCs w:val="20"/>
              </w:rPr>
              <w:t>(</w:t>
            </w:r>
            <w:r>
              <w:rPr>
                <w:rFonts w:cs="Calibri Light"/>
                <w:sz w:val="20"/>
                <w:szCs w:val="20"/>
              </w:rPr>
              <w:t>1</w:t>
            </w:r>
            <w:r w:rsidRPr="004005A4">
              <w:rPr>
                <w:rFonts w:cs="Calibri Light"/>
                <w:sz w:val="20"/>
                <w:szCs w:val="20"/>
              </w:rPr>
              <w:t>)</w:t>
            </w:r>
            <w:r w:rsidRPr="004005A4">
              <w:rPr>
                <w:rStyle w:val="level2Char"/>
                <w:rFonts w:cs="Calibri Light"/>
                <w:sz w:val="20"/>
                <w:szCs w:val="20"/>
              </w:rPr>
              <w:tab/>
            </w:r>
            <w:r w:rsidRPr="004005A4">
              <w:rPr>
                <w:rFonts w:cs="Calibri Light"/>
                <w:sz w:val="20"/>
                <w:szCs w:val="20"/>
              </w:rPr>
              <w:t xml:space="preserve">A registrant need not comply with paragraphs (a) and (b) of this Item until it either had been required to file an annual report pursuant to section 13(a) or 15(d) of the Exchange Act for the prior fiscal year or had filed an annual report with the Commission for the prior fiscal year. A registrant that does not comply shall include a statement in the first annual report that it files in substantially the following form: "This annual report does not include a report of management's assessment regarding internal control over financial reporting or an attestation report of the company's registered public accounting firm due to a transition </w:t>
            </w:r>
            <w:r w:rsidRPr="004005A4">
              <w:rPr>
                <w:rFonts w:cs="Calibri Light"/>
                <w:sz w:val="20"/>
                <w:szCs w:val="20"/>
              </w:rPr>
              <w:lastRenderedPageBreak/>
              <w:t>period established by rules of the Securities and Exchange Commission for newly public companies."</w:t>
            </w:r>
          </w:p>
        </w:tc>
        <w:tc>
          <w:tcPr>
            <w:tcW w:w="1209" w:type="dxa"/>
            <w:gridSpan w:val="2"/>
            <w:tcBorders>
              <w:top w:val="single" w:sz="4" w:space="0" w:color="auto"/>
            </w:tcBorders>
            <w:vAlign w:val="bottom"/>
          </w:tcPr>
          <w:p w14:paraId="0B690648"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722C0B0"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6B46F32E"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1D31CFA4" w14:textId="77777777" w:rsidTr="00587378">
        <w:trPr>
          <w:gridBefore w:val="1"/>
          <w:wBefore w:w="17" w:type="dxa"/>
        </w:trPr>
        <w:tc>
          <w:tcPr>
            <w:tcW w:w="7483" w:type="dxa"/>
            <w:gridSpan w:val="2"/>
          </w:tcPr>
          <w:p w14:paraId="2E2638FA" w14:textId="41C86963" w:rsidR="008666DC" w:rsidRPr="004005A4" w:rsidRDefault="008666DC" w:rsidP="008666DC">
            <w:pPr>
              <w:pStyle w:val="level2"/>
              <w:tabs>
                <w:tab w:val="clear" w:pos="576"/>
                <w:tab w:val="clear" w:pos="1152"/>
              </w:tabs>
              <w:spacing w:after="120" w:line="240" w:lineRule="atLeast"/>
              <w:ind w:left="682" w:hanging="360"/>
              <w:rPr>
                <w:rFonts w:cs="Calibri Light"/>
                <w:sz w:val="20"/>
                <w:szCs w:val="20"/>
              </w:rPr>
            </w:pPr>
            <w:r w:rsidRPr="004005A4">
              <w:rPr>
                <w:rFonts w:cs="Calibri Light"/>
                <w:sz w:val="20"/>
                <w:szCs w:val="20"/>
              </w:rPr>
              <w:t>(</w:t>
            </w:r>
            <w:r>
              <w:rPr>
                <w:rFonts w:cs="Calibri Light"/>
                <w:sz w:val="20"/>
                <w:szCs w:val="20"/>
              </w:rPr>
              <w:t>2</w:t>
            </w:r>
            <w:r w:rsidRPr="004005A4">
              <w:rPr>
                <w:rFonts w:cs="Calibri Light"/>
                <w:sz w:val="20"/>
                <w:szCs w:val="20"/>
              </w:rPr>
              <w:t>)</w:t>
            </w:r>
            <w:r w:rsidRPr="004005A4">
              <w:rPr>
                <w:rFonts w:cs="Calibri Light"/>
                <w:sz w:val="20"/>
                <w:szCs w:val="20"/>
              </w:rPr>
              <w:tab/>
              <w:t>The registrant must maintain evidential matter, including documentation, to provide reasonable support for management’s assessment of the effectiveness of the registrant’s internal control over financial reporting.</w:t>
            </w:r>
          </w:p>
        </w:tc>
        <w:tc>
          <w:tcPr>
            <w:tcW w:w="1209" w:type="dxa"/>
            <w:gridSpan w:val="2"/>
            <w:tcBorders>
              <w:top w:val="single" w:sz="4" w:space="0" w:color="auto"/>
            </w:tcBorders>
            <w:vAlign w:val="bottom"/>
          </w:tcPr>
          <w:p w14:paraId="0B64914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2C26556B"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55A7B0AD"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67389DB2" w14:textId="77777777" w:rsidTr="00587378">
        <w:trPr>
          <w:gridBefore w:val="1"/>
          <w:wBefore w:w="17" w:type="dxa"/>
        </w:trPr>
        <w:tc>
          <w:tcPr>
            <w:tcW w:w="7483" w:type="dxa"/>
            <w:gridSpan w:val="2"/>
          </w:tcPr>
          <w:p w14:paraId="4D3B2EE4" w14:textId="40A8D217" w:rsidR="008666DC" w:rsidRPr="004005A4" w:rsidRDefault="008666DC" w:rsidP="008666DC">
            <w:pPr>
              <w:pStyle w:val="FormTableHeaderRow"/>
              <w:keepNext/>
              <w:rPr>
                <w:rFonts w:cs="Calibri Light"/>
                <w:bCs w:val="0"/>
                <w:sz w:val="20"/>
                <w:szCs w:val="20"/>
              </w:rPr>
            </w:pPr>
            <w:r w:rsidRPr="004005A4">
              <w:rPr>
                <w:rFonts w:cs="Calibri Light"/>
                <w:sz w:val="20"/>
                <w:szCs w:val="20"/>
              </w:rPr>
              <w:t xml:space="preserve">Item 402 — </w:t>
            </w:r>
            <w:bookmarkStart w:id="53" w:name="item402_exec_comp"/>
            <w:bookmarkEnd w:id="53"/>
            <w:r w:rsidRPr="004005A4">
              <w:rPr>
                <w:rFonts w:cs="Calibri Light"/>
                <w:sz w:val="20"/>
                <w:szCs w:val="20"/>
              </w:rPr>
              <w:t>Executive Compensatio</w:t>
            </w:r>
            <w:r>
              <w:rPr>
                <w:rFonts w:cs="Calibri Light"/>
                <w:sz w:val="20"/>
                <w:szCs w:val="20"/>
              </w:rPr>
              <w:t>n</w:t>
            </w:r>
          </w:p>
        </w:tc>
        <w:tc>
          <w:tcPr>
            <w:tcW w:w="1209" w:type="dxa"/>
            <w:gridSpan w:val="2"/>
            <w:tcBorders>
              <w:top w:val="single" w:sz="4" w:space="0" w:color="auto"/>
            </w:tcBorders>
            <w:vAlign w:val="bottom"/>
          </w:tcPr>
          <w:p w14:paraId="7282C262"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1D68167A"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D32F6F3"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61D1F99" w14:textId="77777777" w:rsidTr="00587378">
        <w:trPr>
          <w:gridBefore w:val="1"/>
          <w:wBefore w:w="17" w:type="dxa"/>
        </w:trPr>
        <w:tc>
          <w:tcPr>
            <w:tcW w:w="7483" w:type="dxa"/>
            <w:gridSpan w:val="2"/>
          </w:tcPr>
          <w:p w14:paraId="02069234" w14:textId="58625B4E" w:rsidR="008666DC" w:rsidRPr="004005A4" w:rsidDel="00755EF5" w:rsidRDefault="008666DC" w:rsidP="008666DC">
            <w:pPr>
              <w:autoSpaceDE w:val="0"/>
              <w:autoSpaceDN w:val="0"/>
              <w:adjustRightInd w:val="0"/>
              <w:spacing w:before="120" w:after="120" w:line="240" w:lineRule="atLeast"/>
              <w:rPr>
                <w:rFonts w:cs="Calibri Light"/>
                <w:sz w:val="20"/>
                <w:szCs w:val="20"/>
              </w:rPr>
            </w:pPr>
            <w:r w:rsidRPr="004005A4">
              <w:rPr>
                <w:rFonts w:cs="Calibri Light"/>
                <w:bCs/>
                <w:sz w:val="20"/>
                <w:szCs w:val="20"/>
              </w:rPr>
              <w:t>S-K Item 402</w:t>
            </w:r>
            <w:r w:rsidRPr="004005A4">
              <w:rPr>
                <w:rFonts w:cs="Calibri Light"/>
                <w:bCs/>
                <w:color w:val="173495"/>
                <w:sz w:val="20"/>
                <w:szCs w:val="20"/>
              </w:rPr>
              <w:t xml:space="preserve"> </w:t>
            </w:r>
            <w:r w:rsidRPr="004005A4">
              <w:rPr>
                <w:rFonts w:cs="Calibri Light"/>
                <w:sz w:val="20"/>
                <w:szCs w:val="20"/>
              </w:rPr>
              <w:t xml:space="preserve">requires detailed disclosure of executive compensation. Determine whether these disclosures are consistent with </w:t>
            </w:r>
            <w:r>
              <w:rPr>
                <w:rFonts w:cs="Calibri Light"/>
                <w:sz w:val="20"/>
                <w:szCs w:val="20"/>
              </w:rPr>
              <w:t>the Company’s</w:t>
            </w:r>
            <w:r w:rsidRPr="004005A4">
              <w:rPr>
                <w:rFonts w:cs="Calibri Light"/>
                <w:sz w:val="20"/>
                <w:szCs w:val="20"/>
              </w:rPr>
              <w:t xml:space="preserve"> understanding and financial statement disclosure.  </w:t>
            </w:r>
          </w:p>
        </w:tc>
        <w:tc>
          <w:tcPr>
            <w:tcW w:w="1209" w:type="dxa"/>
            <w:gridSpan w:val="2"/>
            <w:vAlign w:val="bottom"/>
          </w:tcPr>
          <w:p w14:paraId="512394E1"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D135A39"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vAlign w:val="bottom"/>
          </w:tcPr>
          <w:p w14:paraId="4A792F6C"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399D2F59" w14:textId="77777777" w:rsidTr="00587378">
        <w:trPr>
          <w:gridBefore w:val="1"/>
          <w:wBefore w:w="17" w:type="dxa"/>
        </w:trPr>
        <w:tc>
          <w:tcPr>
            <w:tcW w:w="7483" w:type="dxa"/>
            <w:gridSpan w:val="2"/>
          </w:tcPr>
          <w:p w14:paraId="4651F07F" w14:textId="77777777" w:rsidR="008666DC" w:rsidRPr="004005A4" w:rsidRDefault="008666DC" w:rsidP="008666DC">
            <w:pPr>
              <w:keepNext/>
              <w:autoSpaceDE w:val="0"/>
              <w:autoSpaceDN w:val="0"/>
              <w:adjustRightInd w:val="0"/>
              <w:spacing w:before="120" w:after="120" w:line="240" w:lineRule="atLeast"/>
              <w:rPr>
                <w:rFonts w:cs="Calibri Light"/>
                <w:sz w:val="20"/>
                <w:szCs w:val="20"/>
              </w:rPr>
            </w:pPr>
            <w:r w:rsidRPr="004005A4">
              <w:rPr>
                <w:rFonts w:cs="Calibri Light"/>
                <w:sz w:val="20"/>
                <w:szCs w:val="20"/>
              </w:rPr>
              <w:lastRenderedPageBreak/>
              <w:t>Disclosures should begin with an overview entitled “Compensation Discussion and Analysis,” which includes material factors in determining compensation policies and decisions reflected in the data in the tables. This discussion should cover the design and objectives of the company’s compensation program; how the elements are calculated and paid; and a company’s policies, programs, and practices regarding the awarding of stock options. Furthermore, in the discussion section, a company should also disclose whether it has, or intends to have, a plan or practice of setting (1) the exercise price of stock options at other than the market price at the grant date or (2) grant dates in coordination with the release of nonpublic information.</w:t>
            </w:r>
          </w:p>
        </w:tc>
        <w:tc>
          <w:tcPr>
            <w:tcW w:w="1209" w:type="dxa"/>
            <w:gridSpan w:val="2"/>
            <w:tcBorders>
              <w:top w:val="single" w:sz="4" w:space="0" w:color="auto"/>
            </w:tcBorders>
            <w:vAlign w:val="bottom"/>
          </w:tcPr>
          <w:p w14:paraId="50840FA7"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75595980"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FCB698C"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07903A2C" w14:textId="77777777" w:rsidTr="00587378">
        <w:trPr>
          <w:gridBefore w:val="1"/>
          <w:wBefore w:w="17" w:type="dxa"/>
        </w:trPr>
        <w:tc>
          <w:tcPr>
            <w:tcW w:w="7483" w:type="dxa"/>
            <w:gridSpan w:val="2"/>
          </w:tcPr>
          <w:p w14:paraId="24174B21" w14:textId="4E06AB68" w:rsidR="008666DC" w:rsidRPr="004005A4" w:rsidRDefault="008666DC" w:rsidP="008666DC">
            <w:pPr>
              <w:keepNext/>
              <w:autoSpaceDE w:val="0"/>
              <w:autoSpaceDN w:val="0"/>
              <w:adjustRightInd w:val="0"/>
              <w:spacing w:before="120" w:after="120" w:line="240" w:lineRule="atLeast"/>
              <w:rPr>
                <w:rFonts w:cs="Calibri Light"/>
                <w:sz w:val="20"/>
                <w:szCs w:val="20"/>
              </w:rPr>
            </w:pPr>
            <w:r>
              <w:rPr>
                <w:rFonts w:cs="Calibri Light"/>
                <w:sz w:val="20"/>
                <w:szCs w:val="20"/>
              </w:rPr>
              <w:t xml:space="preserve">Did the registrant consider the following disclosures? </w:t>
            </w:r>
          </w:p>
          <w:tbl>
            <w:tblPr>
              <w:tblStyle w:val="TableGrid"/>
              <w:tblW w:w="0" w:type="auto"/>
              <w:tblLayout w:type="fixed"/>
              <w:tblLook w:val="0480" w:firstRow="0" w:lastRow="0" w:firstColumn="1" w:lastColumn="0" w:noHBand="0" w:noVBand="1"/>
            </w:tblPr>
            <w:tblGrid>
              <w:gridCol w:w="3857"/>
              <w:gridCol w:w="2811"/>
            </w:tblGrid>
            <w:tr w:rsidR="008666DC" w14:paraId="1A4FB1F1" w14:textId="77777777" w:rsidTr="00AE24C1">
              <w:trPr>
                <w:trHeight w:val="244"/>
              </w:trPr>
              <w:tc>
                <w:tcPr>
                  <w:tcW w:w="3857" w:type="dxa"/>
                </w:tcPr>
                <w:p w14:paraId="3262126A" w14:textId="77777777" w:rsidR="008666DC" w:rsidRPr="00D55772" w:rsidRDefault="008666DC" w:rsidP="008666DC">
                  <w:pPr>
                    <w:pStyle w:val="NormalWeb"/>
                    <w:spacing w:before="0" w:after="0" w:afterAutospacing="0"/>
                    <w:jc w:val="center"/>
                    <w:rPr>
                      <w:b/>
                      <w:bCs/>
                      <w:sz w:val="20"/>
                      <w:szCs w:val="20"/>
                    </w:rPr>
                  </w:pPr>
                  <w:r w:rsidRPr="00D55772">
                    <w:rPr>
                      <w:b/>
                      <w:bCs/>
                      <w:sz w:val="20"/>
                      <w:szCs w:val="20"/>
                    </w:rPr>
                    <w:t>Item 402 Disclosure Requirement</w:t>
                  </w:r>
                </w:p>
              </w:tc>
              <w:tc>
                <w:tcPr>
                  <w:tcW w:w="2811" w:type="dxa"/>
                </w:tcPr>
                <w:p w14:paraId="77693629" w14:textId="77777777" w:rsidR="008666DC" w:rsidRPr="00D55772" w:rsidRDefault="008666DC" w:rsidP="008666DC">
                  <w:pPr>
                    <w:pStyle w:val="NormalWeb"/>
                    <w:spacing w:before="0" w:after="0" w:afterAutospacing="0"/>
                    <w:jc w:val="center"/>
                    <w:rPr>
                      <w:b/>
                      <w:bCs/>
                      <w:sz w:val="20"/>
                      <w:szCs w:val="20"/>
                    </w:rPr>
                  </w:pPr>
                  <w:r w:rsidRPr="00D55772">
                    <w:rPr>
                      <w:b/>
                      <w:bCs/>
                      <w:sz w:val="20"/>
                      <w:szCs w:val="20"/>
                    </w:rPr>
                    <w:t>Regulation S-K Item</w:t>
                  </w:r>
                </w:p>
              </w:tc>
            </w:tr>
            <w:tr w:rsidR="008666DC" w14:paraId="0D0BA897" w14:textId="77777777" w:rsidTr="00AE24C1">
              <w:trPr>
                <w:trHeight w:val="230"/>
              </w:trPr>
              <w:tc>
                <w:tcPr>
                  <w:tcW w:w="3857" w:type="dxa"/>
                </w:tcPr>
                <w:p w14:paraId="7E6A2584"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 xml:space="preserve">Compensation discussion and analysis (CD&amp;A) </w:t>
                  </w:r>
                </w:p>
              </w:tc>
              <w:tc>
                <w:tcPr>
                  <w:tcW w:w="2811" w:type="dxa"/>
                </w:tcPr>
                <w:p w14:paraId="492E3748" w14:textId="77777777" w:rsidR="008666DC" w:rsidRPr="00D55772" w:rsidRDefault="008666DC" w:rsidP="008666DC">
                  <w:pPr>
                    <w:pStyle w:val="NormalWeb"/>
                    <w:spacing w:before="0" w:after="0" w:afterAutospacing="0"/>
                    <w:rPr>
                      <w:sz w:val="20"/>
                      <w:szCs w:val="20"/>
                    </w:rPr>
                  </w:pPr>
                  <w:r w:rsidRPr="00D55772">
                    <w:rPr>
                      <w:sz w:val="20"/>
                      <w:szCs w:val="20"/>
                    </w:rPr>
                    <w:t>402(b)</w:t>
                  </w:r>
                </w:p>
              </w:tc>
            </w:tr>
            <w:tr w:rsidR="008666DC" w14:paraId="51F3A889" w14:textId="77777777" w:rsidTr="00AE24C1">
              <w:trPr>
                <w:trHeight w:val="244"/>
              </w:trPr>
              <w:tc>
                <w:tcPr>
                  <w:tcW w:w="3857" w:type="dxa"/>
                </w:tcPr>
                <w:p w14:paraId="134F5DC2"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 xml:space="preserve">Summary compensation table (SCT) </w:t>
                  </w:r>
                </w:p>
              </w:tc>
              <w:tc>
                <w:tcPr>
                  <w:tcW w:w="2811" w:type="dxa"/>
                </w:tcPr>
                <w:p w14:paraId="66CC9817" w14:textId="77777777" w:rsidR="008666DC" w:rsidRPr="00D55772" w:rsidRDefault="008666DC" w:rsidP="008666DC">
                  <w:pPr>
                    <w:pStyle w:val="NormalWeb"/>
                    <w:spacing w:before="0" w:after="0" w:afterAutospacing="0"/>
                    <w:rPr>
                      <w:sz w:val="20"/>
                      <w:szCs w:val="20"/>
                    </w:rPr>
                  </w:pPr>
                  <w:r w:rsidRPr="00D55772">
                    <w:rPr>
                      <w:sz w:val="20"/>
                      <w:szCs w:val="20"/>
                    </w:rPr>
                    <w:t>402(c)</w:t>
                  </w:r>
                </w:p>
              </w:tc>
            </w:tr>
            <w:tr w:rsidR="008666DC" w14:paraId="3BFFD2EB" w14:textId="77777777" w:rsidTr="00AE24C1">
              <w:trPr>
                <w:trHeight w:val="244"/>
              </w:trPr>
              <w:tc>
                <w:tcPr>
                  <w:tcW w:w="3857" w:type="dxa"/>
                </w:tcPr>
                <w:p w14:paraId="0B95651E"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 xml:space="preserve">Grants of plan-based awards table </w:t>
                  </w:r>
                </w:p>
              </w:tc>
              <w:tc>
                <w:tcPr>
                  <w:tcW w:w="2811" w:type="dxa"/>
                </w:tcPr>
                <w:p w14:paraId="7D54DF1A" w14:textId="77777777" w:rsidR="008666DC" w:rsidRPr="00D55772" w:rsidRDefault="008666DC" w:rsidP="008666DC">
                  <w:pPr>
                    <w:pStyle w:val="NormalWeb"/>
                    <w:spacing w:before="0" w:after="0" w:afterAutospacing="0"/>
                    <w:rPr>
                      <w:sz w:val="20"/>
                      <w:szCs w:val="20"/>
                    </w:rPr>
                  </w:pPr>
                  <w:r w:rsidRPr="00D55772">
                    <w:rPr>
                      <w:sz w:val="20"/>
                      <w:szCs w:val="20"/>
                    </w:rPr>
                    <w:t>402(d)</w:t>
                  </w:r>
                </w:p>
              </w:tc>
            </w:tr>
            <w:tr w:rsidR="008666DC" w14:paraId="2A9405EF" w14:textId="77777777" w:rsidTr="00AE24C1">
              <w:trPr>
                <w:trHeight w:val="489"/>
              </w:trPr>
              <w:tc>
                <w:tcPr>
                  <w:tcW w:w="3857" w:type="dxa"/>
                </w:tcPr>
                <w:p w14:paraId="604B5F8E"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Narrative disclosures to the SCT and grants of plan-based awards table</w:t>
                  </w:r>
                </w:p>
              </w:tc>
              <w:tc>
                <w:tcPr>
                  <w:tcW w:w="2811" w:type="dxa"/>
                </w:tcPr>
                <w:p w14:paraId="469DB0CA" w14:textId="77777777" w:rsidR="008666DC" w:rsidRPr="00D55772" w:rsidRDefault="008666DC" w:rsidP="008666DC">
                  <w:pPr>
                    <w:pStyle w:val="NormalWeb"/>
                    <w:spacing w:before="0" w:after="0" w:afterAutospacing="0"/>
                    <w:rPr>
                      <w:sz w:val="20"/>
                      <w:szCs w:val="20"/>
                    </w:rPr>
                  </w:pPr>
                  <w:r w:rsidRPr="00D55772">
                    <w:rPr>
                      <w:sz w:val="20"/>
                      <w:szCs w:val="20"/>
                    </w:rPr>
                    <w:t>402(e)</w:t>
                  </w:r>
                </w:p>
              </w:tc>
            </w:tr>
            <w:tr w:rsidR="008666DC" w14:paraId="75FA3691" w14:textId="77777777" w:rsidTr="00AE24C1">
              <w:trPr>
                <w:trHeight w:val="230"/>
              </w:trPr>
              <w:tc>
                <w:tcPr>
                  <w:tcW w:w="3857" w:type="dxa"/>
                </w:tcPr>
                <w:p w14:paraId="0BB45F6B"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 xml:space="preserve">Outstanding equity awards at fiscal year-end table </w:t>
                  </w:r>
                </w:p>
              </w:tc>
              <w:tc>
                <w:tcPr>
                  <w:tcW w:w="2811" w:type="dxa"/>
                </w:tcPr>
                <w:p w14:paraId="21BD4B30" w14:textId="77777777" w:rsidR="008666DC" w:rsidRPr="00D55772" w:rsidRDefault="008666DC" w:rsidP="008666DC">
                  <w:pPr>
                    <w:pStyle w:val="NormalWeb"/>
                    <w:spacing w:before="0" w:after="0" w:afterAutospacing="0"/>
                    <w:rPr>
                      <w:sz w:val="20"/>
                      <w:szCs w:val="20"/>
                    </w:rPr>
                  </w:pPr>
                  <w:r w:rsidRPr="00D55772">
                    <w:rPr>
                      <w:sz w:val="20"/>
                      <w:szCs w:val="20"/>
                    </w:rPr>
                    <w:t>402(f)</w:t>
                  </w:r>
                </w:p>
              </w:tc>
            </w:tr>
            <w:tr w:rsidR="008666DC" w14:paraId="5739A187" w14:textId="77777777" w:rsidTr="00AE24C1">
              <w:trPr>
                <w:trHeight w:val="244"/>
              </w:trPr>
              <w:tc>
                <w:tcPr>
                  <w:tcW w:w="3857" w:type="dxa"/>
                </w:tcPr>
                <w:p w14:paraId="1B0C597B"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Option exercises and stock vested table</w:t>
                  </w:r>
                </w:p>
              </w:tc>
              <w:tc>
                <w:tcPr>
                  <w:tcW w:w="2811" w:type="dxa"/>
                </w:tcPr>
                <w:p w14:paraId="43D18073" w14:textId="77777777" w:rsidR="008666DC" w:rsidRPr="00D55772" w:rsidRDefault="008666DC" w:rsidP="008666DC">
                  <w:pPr>
                    <w:pStyle w:val="NormalWeb"/>
                    <w:spacing w:before="0" w:after="0" w:afterAutospacing="0"/>
                    <w:rPr>
                      <w:sz w:val="20"/>
                      <w:szCs w:val="20"/>
                    </w:rPr>
                  </w:pPr>
                  <w:r w:rsidRPr="00D55772">
                    <w:rPr>
                      <w:sz w:val="20"/>
                      <w:szCs w:val="20"/>
                    </w:rPr>
                    <w:t>402(g)</w:t>
                  </w:r>
                </w:p>
              </w:tc>
            </w:tr>
            <w:tr w:rsidR="008666DC" w14:paraId="4CD067ED" w14:textId="77777777" w:rsidTr="00AE24C1">
              <w:trPr>
                <w:trHeight w:val="244"/>
              </w:trPr>
              <w:tc>
                <w:tcPr>
                  <w:tcW w:w="3857" w:type="dxa"/>
                </w:tcPr>
                <w:p w14:paraId="58F6AB82"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 xml:space="preserve">Pension benefits table </w:t>
                  </w:r>
                </w:p>
              </w:tc>
              <w:tc>
                <w:tcPr>
                  <w:tcW w:w="2811" w:type="dxa"/>
                </w:tcPr>
                <w:p w14:paraId="0A1E708C" w14:textId="77777777" w:rsidR="008666DC" w:rsidRPr="00D55772" w:rsidRDefault="008666DC" w:rsidP="008666DC">
                  <w:pPr>
                    <w:pStyle w:val="NormalWeb"/>
                    <w:spacing w:before="0" w:after="0" w:afterAutospacing="0"/>
                    <w:rPr>
                      <w:sz w:val="20"/>
                      <w:szCs w:val="20"/>
                    </w:rPr>
                  </w:pPr>
                  <w:r w:rsidRPr="00D55772">
                    <w:rPr>
                      <w:sz w:val="20"/>
                      <w:szCs w:val="20"/>
                    </w:rPr>
                    <w:t>402(h)</w:t>
                  </w:r>
                </w:p>
              </w:tc>
            </w:tr>
            <w:tr w:rsidR="008666DC" w14:paraId="0EFC5D50" w14:textId="77777777" w:rsidTr="00AE24C1">
              <w:trPr>
                <w:trHeight w:val="230"/>
              </w:trPr>
              <w:tc>
                <w:tcPr>
                  <w:tcW w:w="3857" w:type="dxa"/>
                </w:tcPr>
                <w:p w14:paraId="722FCA5C"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 xml:space="preserve">Nonqualified deferred compensation table </w:t>
                  </w:r>
                </w:p>
              </w:tc>
              <w:tc>
                <w:tcPr>
                  <w:tcW w:w="2811" w:type="dxa"/>
                </w:tcPr>
                <w:p w14:paraId="2E730E67" w14:textId="77777777" w:rsidR="008666DC" w:rsidRPr="00D55772" w:rsidRDefault="008666DC" w:rsidP="008666DC">
                  <w:pPr>
                    <w:pStyle w:val="NormalWeb"/>
                    <w:spacing w:before="0" w:after="0" w:afterAutospacing="0"/>
                    <w:rPr>
                      <w:sz w:val="20"/>
                      <w:szCs w:val="20"/>
                    </w:rPr>
                  </w:pPr>
                  <w:r w:rsidRPr="00D55772">
                    <w:rPr>
                      <w:sz w:val="20"/>
                      <w:szCs w:val="20"/>
                    </w:rPr>
                    <w:t>402(i)</w:t>
                  </w:r>
                </w:p>
              </w:tc>
            </w:tr>
            <w:tr w:rsidR="008666DC" w14:paraId="112C829F" w14:textId="77777777" w:rsidTr="00AE24C1">
              <w:trPr>
                <w:trHeight w:val="489"/>
              </w:trPr>
              <w:tc>
                <w:tcPr>
                  <w:tcW w:w="3857" w:type="dxa"/>
                </w:tcPr>
                <w:p w14:paraId="02947C04"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Potential post-employment or change in control payments</w:t>
                  </w:r>
                </w:p>
              </w:tc>
              <w:tc>
                <w:tcPr>
                  <w:tcW w:w="2811" w:type="dxa"/>
                </w:tcPr>
                <w:p w14:paraId="1566508A" w14:textId="77777777" w:rsidR="008666DC" w:rsidRPr="00D55772" w:rsidRDefault="008666DC" w:rsidP="008666DC">
                  <w:pPr>
                    <w:pStyle w:val="NormalWeb"/>
                    <w:spacing w:before="0" w:after="0" w:afterAutospacing="0"/>
                    <w:rPr>
                      <w:sz w:val="20"/>
                      <w:szCs w:val="20"/>
                    </w:rPr>
                  </w:pPr>
                  <w:r w:rsidRPr="00D55772">
                    <w:rPr>
                      <w:sz w:val="20"/>
                      <w:szCs w:val="20"/>
                    </w:rPr>
                    <w:t>402(j)</w:t>
                  </w:r>
                </w:p>
              </w:tc>
            </w:tr>
            <w:tr w:rsidR="008666DC" w14:paraId="037D6E30" w14:textId="77777777" w:rsidTr="00AE24C1">
              <w:trPr>
                <w:trHeight w:val="244"/>
              </w:trPr>
              <w:tc>
                <w:tcPr>
                  <w:tcW w:w="3857" w:type="dxa"/>
                </w:tcPr>
                <w:p w14:paraId="739BD8FD"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Director compensation table</w:t>
                  </w:r>
                </w:p>
              </w:tc>
              <w:tc>
                <w:tcPr>
                  <w:tcW w:w="2811" w:type="dxa"/>
                </w:tcPr>
                <w:p w14:paraId="3CE049D6" w14:textId="77777777" w:rsidR="008666DC" w:rsidRPr="00D55772" w:rsidRDefault="008666DC" w:rsidP="008666DC">
                  <w:pPr>
                    <w:pStyle w:val="NormalWeb"/>
                    <w:spacing w:before="0" w:after="0" w:afterAutospacing="0"/>
                    <w:rPr>
                      <w:sz w:val="20"/>
                      <w:szCs w:val="20"/>
                    </w:rPr>
                  </w:pPr>
                  <w:r w:rsidRPr="00D55772">
                    <w:rPr>
                      <w:sz w:val="20"/>
                      <w:szCs w:val="20"/>
                    </w:rPr>
                    <w:t>402(k)</w:t>
                  </w:r>
                </w:p>
              </w:tc>
            </w:tr>
            <w:tr w:rsidR="008666DC" w14:paraId="44D9D019" w14:textId="77777777" w:rsidTr="00AE24C1">
              <w:trPr>
                <w:trHeight w:val="474"/>
              </w:trPr>
              <w:tc>
                <w:tcPr>
                  <w:tcW w:w="3857" w:type="dxa"/>
                </w:tcPr>
                <w:p w14:paraId="7DF8D9F0"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Disclosure of registrant's compensation policies and practices for risk management</w:t>
                  </w:r>
                </w:p>
              </w:tc>
              <w:tc>
                <w:tcPr>
                  <w:tcW w:w="2811" w:type="dxa"/>
                </w:tcPr>
                <w:p w14:paraId="4ECDB65C" w14:textId="77777777" w:rsidR="008666DC" w:rsidRPr="00D55772" w:rsidRDefault="008666DC" w:rsidP="008666DC">
                  <w:pPr>
                    <w:pStyle w:val="NormalWeb"/>
                    <w:spacing w:before="0" w:after="0" w:afterAutospacing="0"/>
                    <w:rPr>
                      <w:sz w:val="20"/>
                      <w:szCs w:val="20"/>
                    </w:rPr>
                  </w:pPr>
                  <w:r w:rsidRPr="00D55772">
                    <w:rPr>
                      <w:sz w:val="20"/>
                      <w:szCs w:val="20"/>
                    </w:rPr>
                    <w:t>402(s)</w:t>
                  </w:r>
                </w:p>
              </w:tc>
            </w:tr>
            <w:tr w:rsidR="008666DC" w14:paraId="48A96222" w14:textId="77777777" w:rsidTr="00AE24C1">
              <w:trPr>
                <w:trHeight w:val="244"/>
              </w:trPr>
              <w:tc>
                <w:tcPr>
                  <w:tcW w:w="3857" w:type="dxa"/>
                </w:tcPr>
                <w:p w14:paraId="73111F67"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 xml:space="preserve">Golden parachute compensation </w:t>
                  </w:r>
                </w:p>
              </w:tc>
              <w:tc>
                <w:tcPr>
                  <w:tcW w:w="2811" w:type="dxa"/>
                </w:tcPr>
                <w:p w14:paraId="72EEA7D4" w14:textId="77777777" w:rsidR="008666DC" w:rsidRPr="00D55772" w:rsidRDefault="008666DC" w:rsidP="008666DC">
                  <w:pPr>
                    <w:pStyle w:val="NormalWeb"/>
                    <w:spacing w:before="0" w:after="0" w:afterAutospacing="0"/>
                    <w:rPr>
                      <w:sz w:val="20"/>
                      <w:szCs w:val="20"/>
                    </w:rPr>
                  </w:pPr>
                  <w:r w:rsidRPr="00D55772">
                    <w:rPr>
                      <w:sz w:val="20"/>
                      <w:szCs w:val="20"/>
                    </w:rPr>
                    <w:t>402(</w:t>
                  </w:r>
                  <w:r>
                    <w:rPr>
                      <w:sz w:val="20"/>
                      <w:szCs w:val="20"/>
                    </w:rPr>
                    <w:t>t</w:t>
                  </w:r>
                  <w:r w:rsidRPr="00D55772">
                    <w:rPr>
                      <w:sz w:val="20"/>
                      <w:szCs w:val="20"/>
                    </w:rPr>
                    <w:t>)</w:t>
                  </w:r>
                </w:p>
              </w:tc>
            </w:tr>
            <w:tr w:rsidR="008666DC" w14:paraId="418BB077" w14:textId="77777777" w:rsidTr="00AE24C1">
              <w:trPr>
                <w:trHeight w:val="244"/>
              </w:trPr>
              <w:tc>
                <w:tcPr>
                  <w:tcW w:w="3857" w:type="dxa"/>
                </w:tcPr>
                <w:p w14:paraId="25267E68"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Pay ratio rule</w:t>
                  </w:r>
                </w:p>
              </w:tc>
              <w:tc>
                <w:tcPr>
                  <w:tcW w:w="2811" w:type="dxa"/>
                </w:tcPr>
                <w:p w14:paraId="50CC1D45" w14:textId="2BEDB53D" w:rsidR="008666DC" w:rsidRPr="00D55772" w:rsidRDefault="008666DC" w:rsidP="008666DC">
                  <w:pPr>
                    <w:pStyle w:val="NormalWeb"/>
                    <w:spacing w:before="0" w:after="0" w:afterAutospacing="0"/>
                    <w:rPr>
                      <w:sz w:val="20"/>
                      <w:szCs w:val="20"/>
                    </w:rPr>
                  </w:pPr>
                  <w:r w:rsidRPr="00D55772">
                    <w:rPr>
                      <w:sz w:val="20"/>
                      <w:szCs w:val="20"/>
                    </w:rPr>
                    <w:t>40</w:t>
                  </w:r>
                  <w:r>
                    <w:rPr>
                      <w:sz w:val="20"/>
                      <w:szCs w:val="20"/>
                    </w:rPr>
                    <w:t>2(u)</w:t>
                  </w:r>
                </w:p>
              </w:tc>
            </w:tr>
            <w:tr w:rsidR="008666DC" w14:paraId="7D104293" w14:textId="77777777" w:rsidTr="00AE24C1">
              <w:trPr>
                <w:trHeight w:val="244"/>
              </w:trPr>
              <w:tc>
                <w:tcPr>
                  <w:tcW w:w="3857" w:type="dxa"/>
                </w:tcPr>
                <w:p w14:paraId="6A115333" w14:textId="067F5807" w:rsidR="008666DC" w:rsidRPr="00D55772" w:rsidRDefault="008666DC" w:rsidP="008666DC">
                  <w:pPr>
                    <w:pStyle w:val="NormalWeb"/>
                    <w:tabs>
                      <w:tab w:val="clear" w:pos="540"/>
                    </w:tabs>
                    <w:spacing w:before="0" w:after="0" w:afterAutospacing="0"/>
                    <w:ind w:left="129" w:firstLine="0"/>
                    <w:rPr>
                      <w:sz w:val="20"/>
                      <w:szCs w:val="20"/>
                    </w:rPr>
                  </w:pPr>
                  <w:r>
                    <w:rPr>
                      <w:sz w:val="20"/>
                      <w:szCs w:val="20"/>
                    </w:rPr>
                    <w:t>Pay versus performance</w:t>
                  </w:r>
                </w:p>
              </w:tc>
              <w:tc>
                <w:tcPr>
                  <w:tcW w:w="2811" w:type="dxa"/>
                </w:tcPr>
                <w:p w14:paraId="35B1B241" w14:textId="593DE661" w:rsidR="008666DC" w:rsidRPr="00D55772" w:rsidRDefault="008666DC" w:rsidP="008666DC">
                  <w:pPr>
                    <w:pStyle w:val="NormalWeb"/>
                    <w:spacing w:before="0" w:after="0" w:afterAutospacing="0"/>
                    <w:rPr>
                      <w:sz w:val="20"/>
                      <w:szCs w:val="20"/>
                    </w:rPr>
                  </w:pPr>
                  <w:r>
                    <w:rPr>
                      <w:sz w:val="20"/>
                      <w:szCs w:val="20"/>
                    </w:rPr>
                    <w:t>402(v)</w:t>
                  </w:r>
                </w:p>
              </w:tc>
            </w:tr>
            <w:tr w:rsidR="008666DC" w14:paraId="41CDA395" w14:textId="77777777" w:rsidTr="00AE24C1">
              <w:trPr>
                <w:trHeight w:val="474"/>
              </w:trPr>
              <w:tc>
                <w:tcPr>
                  <w:tcW w:w="3857" w:type="dxa"/>
                </w:tcPr>
                <w:p w14:paraId="26FD9B40"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 xml:space="preserve">Board compensation committee report on executive compensation </w:t>
                  </w:r>
                </w:p>
              </w:tc>
              <w:tc>
                <w:tcPr>
                  <w:tcW w:w="2811" w:type="dxa"/>
                </w:tcPr>
                <w:p w14:paraId="6A39ADCE" w14:textId="77777777" w:rsidR="008666DC" w:rsidRPr="00D55772" w:rsidRDefault="008666DC" w:rsidP="008666DC">
                  <w:pPr>
                    <w:pStyle w:val="NormalWeb"/>
                    <w:spacing w:before="0" w:after="0" w:afterAutospacing="0"/>
                    <w:rPr>
                      <w:sz w:val="20"/>
                      <w:szCs w:val="20"/>
                    </w:rPr>
                  </w:pPr>
                  <w:r w:rsidRPr="00D55772">
                    <w:rPr>
                      <w:sz w:val="20"/>
                      <w:szCs w:val="20"/>
                    </w:rPr>
                    <w:t>407(e)(5)</w:t>
                  </w:r>
                </w:p>
              </w:tc>
            </w:tr>
            <w:tr w:rsidR="008666DC" w14:paraId="7AD61C70" w14:textId="77777777" w:rsidTr="00AE24C1">
              <w:trPr>
                <w:trHeight w:val="489"/>
              </w:trPr>
              <w:tc>
                <w:tcPr>
                  <w:tcW w:w="3857" w:type="dxa"/>
                </w:tcPr>
                <w:p w14:paraId="09096C9D" w14:textId="77777777" w:rsidR="008666DC" w:rsidRPr="00D55772" w:rsidRDefault="008666DC" w:rsidP="008666DC">
                  <w:pPr>
                    <w:pStyle w:val="NormalWeb"/>
                    <w:tabs>
                      <w:tab w:val="clear" w:pos="540"/>
                    </w:tabs>
                    <w:spacing w:before="0" w:after="0" w:afterAutospacing="0"/>
                    <w:ind w:left="129" w:firstLine="0"/>
                    <w:rPr>
                      <w:sz w:val="20"/>
                      <w:szCs w:val="20"/>
                    </w:rPr>
                  </w:pPr>
                  <w:r w:rsidRPr="00D55772">
                    <w:rPr>
                      <w:sz w:val="20"/>
                      <w:szCs w:val="20"/>
                    </w:rPr>
                    <w:t>Disclosure of compensation committee interlocks and insider participation</w:t>
                  </w:r>
                </w:p>
              </w:tc>
              <w:tc>
                <w:tcPr>
                  <w:tcW w:w="2811" w:type="dxa"/>
                </w:tcPr>
                <w:p w14:paraId="49988293" w14:textId="77777777" w:rsidR="008666DC" w:rsidRPr="00D55772" w:rsidRDefault="008666DC" w:rsidP="008666DC">
                  <w:pPr>
                    <w:rPr>
                      <w:sz w:val="20"/>
                      <w:szCs w:val="20"/>
                    </w:rPr>
                  </w:pPr>
                  <w:r w:rsidRPr="00D55772">
                    <w:rPr>
                      <w:sz w:val="20"/>
                      <w:szCs w:val="20"/>
                    </w:rPr>
                    <w:t>407(e)(4)</w:t>
                  </w:r>
                </w:p>
              </w:tc>
            </w:tr>
          </w:tbl>
          <w:p w14:paraId="3E597B6F" w14:textId="77777777" w:rsidR="008666DC" w:rsidRDefault="008666DC" w:rsidP="008666DC">
            <w:pPr>
              <w:keepNext/>
              <w:autoSpaceDE w:val="0"/>
              <w:autoSpaceDN w:val="0"/>
              <w:adjustRightInd w:val="0"/>
              <w:spacing w:before="120" w:after="120" w:line="240" w:lineRule="atLeast"/>
              <w:rPr>
                <w:rFonts w:cs="Calibri Light"/>
                <w:b/>
                <w:sz w:val="20"/>
                <w:szCs w:val="20"/>
              </w:rPr>
            </w:pPr>
          </w:p>
          <w:p w14:paraId="36F9DB3D" w14:textId="6181745A" w:rsidR="008666DC" w:rsidRPr="004005A4" w:rsidRDefault="008666DC" w:rsidP="008666DC">
            <w:pPr>
              <w:keepNext/>
              <w:autoSpaceDE w:val="0"/>
              <w:autoSpaceDN w:val="0"/>
              <w:adjustRightInd w:val="0"/>
              <w:spacing w:before="120" w:after="120" w:line="240" w:lineRule="atLeast"/>
              <w:rPr>
                <w:rFonts w:cs="Calibri Light"/>
                <w:b/>
                <w:sz w:val="20"/>
                <w:szCs w:val="20"/>
              </w:rPr>
            </w:pPr>
          </w:p>
        </w:tc>
        <w:tc>
          <w:tcPr>
            <w:tcW w:w="1209" w:type="dxa"/>
            <w:gridSpan w:val="2"/>
            <w:tcBorders>
              <w:top w:val="single" w:sz="4" w:space="0" w:color="auto"/>
            </w:tcBorders>
            <w:vAlign w:val="bottom"/>
          </w:tcPr>
          <w:p w14:paraId="2A5C8C1A"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3B778C39"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744B4B2F"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29C032EE" w14:textId="77777777" w:rsidTr="00587378">
        <w:trPr>
          <w:gridBefore w:val="1"/>
          <w:wBefore w:w="17" w:type="dxa"/>
        </w:trPr>
        <w:tc>
          <w:tcPr>
            <w:tcW w:w="7483" w:type="dxa"/>
            <w:gridSpan w:val="2"/>
          </w:tcPr>
          <w:p w14:paraId="5E15A966" w14:textId="34952B52" w:rsidR="008666DC" w:rsidRPr="00984DE0" w:rsidRDefault="008666DC" w:rsidP="008666DC">
            <w:pPr>
              <w:autoSpaceDE w:val="0"/>
              <w:autoSpaceDN w:val="0"/>
              <w:adjustRightInd w:val="0"/>
              <w:spacing w:before="120" w:after="120" w:line="240" w:lineRule="atLeast"/>
              <w:rPr>
                <w:rFonts w:cs="Calibri Light"/>
                <w:sz w:val="20"/>
                <w:szCs w:val="20"/>
                <w:shd w:val="clear" w:color="auto" w:fill="FFFFFF"/>
              </w:rPr>
            </w:pPr>
            <w:r w:rsidRPr="00984DE0">
              <w:rPr>
                <w:rFonts w:cs="Calibri Light"/>
                <w:sz w:val="20"/>
                <w:szCs w:val="20"/>
              </w:rPr>
              <w:t xml:space="preserve">On August 25, 2022, the SEC issued a final rule, Pay Versus Performance, </w:t>
            </w:r>
            <w:r w:rsidRPr="00984DE0">
              <w:rPr>
                <w:rFonts w:cs="Calibri Light"/>
                <w:sz w:val="20"/>
                <w:szCs w:val="20"/>
                <w:shd w:val="clear" w:color="auto" w:fill="FFFFFF"/>
              </w:rPr>
              <w:t xml:space="preserve">which added Item 402(v) to SEC Regulation S-K. Refer to the </w:t>
            </w:r>
            <w:hyperlink w:anchor="recent_final_rules" w:history="1">
              <w:r w:rsidRPr="00371083">
                <w:rPr>
                  <w:rStyle w:val="Hyperlink"/>
                  <w:rFonts w:cs="Calibri Light"/>
                  <w:sz w:val="20"/>
                  <w:szCs w:val="20"/>
                  <w:shd w:val="clear" w:color="auto" w:fill="FFFFFF"/>
                </w:rPr>
                <w:t>RECENT FINAL RULES AND EFFECTIVE DATES</w:t>
              </w:r>
            </w:hyperlink>
            <w:r w:rsidRPr="00984DE0">
              <w:rPr>
                <w:rFonts w:cs="Calibri Light"/>
                <w:sz w:val="20"/>
                <w:szCs w:val="20"/>
                <w:shd w:val="clear" w:color="auto" w:fill="FFFFFF"/>
              </w:rPr>
              <w:t xml:space="preserve"> section above for additional information about this rule.</w:t>
            </w:r>
          </w:p>
          <w:p w14:paraId="00F7A5F5" w14:textId="00109024" w:rsidR="008666DC" w:rsidRPr="002E5168" w:rsidRDefault="008666DC" w:rsidP="008666DC">
            <w:pPr>
              <w:pStyle w:val="FormTableHeaderRow"/>
              <w:keepNext/>
              <w:rPr>
                <w:rFonts w:cs="Calibri Light"/>
                <w:b w:val="0"/>
                <w:bCs w:val="0"/>
                <w:sz w:val="20"/>
                <w:szCs w:val="20"/>
              </w:rPr>
            </w:pPr>
            <w:r w:rsidRPr="002E5168">
              <w:rPr>
                <w:rFonts w:cs="Calibri Light"/>
                <w:b w:val="0"/>
                <w:bCs w:val="0"/>
                <w:sz w:val="20"/>
                <w:szCs w:val="20"/>
              </w:rPr>
              <w:t xml:space="preserve">See S-K Item 402 for detailed disclosure requirements.  General Questions and Answers are available on the SEC website at </w:t>
            </w:r>
            <w:hyperlink r:id="rId48" w:history="1">
              <w:r w:rsidRPr="002E5168">
                <w:rPr>
                  <w:rStyle w:val="Hyperlink"/>
                  <w:rFonts w:cs="Calibri Light"/>
                  <w:b w:val="0"/>
                  <w:bCs w:val="0"/>
                  <w:sz w:val="20"/>
                  <w:szCs w:val="20"/>
                </w:rPr>
                <w:t>www.sec.gov</w:t>
              </w:r>
            </w:hyperlink>
            <w:r w:rsidRPr="002E5168">
              <w:rPr>
                <w:rFonts w:cs="Calibri Light"/>
                <w:b w:val="0"/>
                <w:bCs w:val="0"/>
                <w:sz w:val="20"/>
                <w:szCs w:val="20"/>
              </w:rPr>
              <w:t>.</w:t>
            </w:r>
          </w:p>
        </w:tc>
        <w:tc>
          <w:tcPr>
            <w:tcW w:w="1209" w:type="dxa"/>
            <w:gridSpan w:val="2"/>
            <w:tcBorders>
              <w:top w:val="single" w:sz="4" w:space="0" w:color="auto"/>
            </w:tcBorders>
            <w:vAlign w:val="bottom"/>
          </w:tcPr>
          <w:p w14:paraId="37A65928"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3B7335F"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263A684E"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40323FE8" w14:textId="77777777" w:rsidTr="00587378">
        <w:trPr>
          <w:gridBefore w:val="1"/>
          <w:wBefore w:w="17" w:type="dxa"/>
        </w:trPr>
        <w:tc>
          <w:tcPr>
            <w:tcW w:w="7483" w:type="dxa"/>
            <w:gridSpan w:val="2"/>
          </w:tcPr>
          <w:p w14:paraId="48E217A8" w14:textId="77777777" w:rsidR="008666DC" w:rsidRPr="004005A4" w:rsidRDefault="008666DC" w:rsidP="008666DC">
            <w:pPr>
              <w:pStyle w:val="FormTableHeaderRow"/>
              <w:keepNext/>
              <w:rPr>
                <w:rFonts w:cs="Calibri Light"/>
                <w:sz w:val="20"/>
                <w:szCs w:val="20"/>
              </w:rPr>
            </w:pPr>
            <w:bookmarkStart w:id="54" w:name="_Item_503(c)—Risk_factors."/>
            <w:bookmarkStart w:id="55" w:name="_Item_503(d)._"/>
            <w:bookmarkEnd w:id="54"/>
            <w:bookmarkEnd w:id="55"/>
            <w:r w:rsidRPr="004005A4">
              <w:rPr>
                <w:rFonts w:cs="Calibri Light"/>
                <w:sz w:val="20"/>
                <w:szCs w:val="20"/>
              </w:rPr>
              <w:lastRenderedPageBreak/>
              <w:t>Exhibits</w:t>
            </w:r>
          </w:p>
        </w:tc>
        <w:tc>
          <w:tcPr>
            <w:tcW w:w="1209" w:type="dxa"/>
            <w:gridSpan w:val="2"/>
            <w:tcBorders>
              <w:top w:val="single" w:sz="4" w:space="0" w:color="auto"/>
            </w:tcBorders>
            <w:vAlign w:val="bottom"/>
          </w:tcPr>
          <w:p w14:paraId="24B26EC3" w14:textId="77777777" w:rsidR="008666DC" w:rsidRPr="004005A4" w:rsidRDefault="008666DC" w:rsidP="008666DC">
            <w:pPr>
              <w:pStyle w:val="levela"/>
              <w:keepNext/>
              <w:spacing w:before="120" w:after="120" w:line="240" w:lineRule="atLeast"/>
              <w:jc w:val="center"/>
              <w:rPr>
                <w:rFonts w:cs="Calibri Light"/>
                <w:b/>
                <w:sz w:val="20"/>
                <w:szCs w:val="20"/>
              </w:rPr>
            </w:pPr>
          </w:p>
        </w:tc>
        <w:tc>
          <w:tcPr>
            <w:tcW w:w="236" w:type="dxa"/>
            <w:gridSpan w:val="3"/>
            <w:vAlign w:val="bottom"/>
          </w:tcPr>
          <w:p w14:paraId="6C4FE370" w14:textId="77777777" w:rsidR="008666DC" w:rsidRPr="004005A4" w:rsidRDefault="008666DC" w:rsidP="008666DC">
            <w:pPr>
              <w:pStyle w:val="levela"/>
              <w:keepNext/>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4FD52D28" w14:textId="77777777" w:rsidR="008666DC" w:rsidRPr="004005A4" w:rsidRDefault="008666DC" w:rsidP="008666DC">
            <w:pPr>
              <w:pStyle w:val="levela"/>
              <w:keepNext/>
              <w:spacing w:before="120" w:after="120" w:line="240" w:lineRule="atLeast"/>
              <w:jc w:val="center"/>
              <w:rPr>
                <w:rFonts w:cs="Calibri Light"/>
                <w:b/>
                <w:sz w:val="20"/>
                <w:szCs w:val="20"/>
              </w:rPr>
            </w:pPr>
          </w:p>
        </w:tc>
      </w:tr>
      <w:tr w:rsidR="008666DC" w:rsidRPr="004005A4" w14:paraId="225A877C" w14:textId="77777777" w:rsidTr="00587378">
        <w:trPr>
          <w:gridBefore w:val="1"/>
          <w:wBefore w:w="17" w:type="dxa"/>
        </w:trPr>
        <w:tc>
          <w:tcPr>
            <w:tcW w:w="7483" w:type="dxa"/>
            <w:gridSpan w:val="2"/>
          </w:tcPr>
          <w:p w14:paraId="665AF2C9" w14:textId="77777777" w:rsidR="008666DC" w:rsidRPr="004005A4" w:rsidRDefault="008666DC" w:rsidP="008666DC">
            <w:pPr>
              <w:pStyle w:val="FormTableHeaderRow"/>
              <w:keepNext/>
              <w:rPr>
                <w:rFonts w:cs="Calibri Light"/>
                <w:b w:val="0"/>
                <w:sz w:val="20"/>
                <w:szCs w:val="20"/>
              </w:rPr>
            </w:pPr>
            <w:bookmarkStart w:id="56" w:name="_Item_601._"/>
            <w:bookmarkEnd w:id="56"/>
            <w:r w:rsidRPr="004005A4">
              <w:rPr>
                <w:rFonts w:cs="Calibri Light"/>
                <w:sz w:val="20"/>
                <w:szCs w:val="20"/>
              </w:rPr>
              <w:t>ITEM 601</w:t>
            </w:r>
            <w:r w:rsidRPr="004005A4">
              <w:rPr>
                <w:rFonts w:cs="Calibri Light"/>
                <w:b w:val="0"/>
                <w:bCs w:val="0"/>
                <w:sz w:val="20"/>
                <w:szCs w:val="20"/>
              </w:rPr>
              <w:t xml:space="preserve"> </w:t>
            </w:r>
          </w:p>
        </w:tc>
        <w:tc>
          <w:tcPr>
            <w:tcW w:w="1209" w:type="dxa"/>
            <w:gridSpan w:val="2"/>
            <w:tcBorders>
              <w:top w:val="single" w:sz="4" w:space="0" w:color="auto"/>
            </w:tcBorders>
            <w:vAlign w:val="bottom"/>
          </w:tcPr>
          <w:p w14:paraId="4A20E7E1" w14:textId="77777777" w:rsidR="008666DC" w:rsidRPr="004005A4" w:rsidRDefault="008666DC" w:rsidP="008666DC">
            <w:pPr>
              <w:pStyle w:val="levela"/>
              <w:keepNext/>
              <w:spacing w:before="120" w:after="120" w:line="240" w:lineRule="atLeast"/>
              <w:jc w:val="center"/>
              <w:rPr>
                <w:rFonts w:cs="Calibri Light"/>
                <w:b/>
                <w:sz w:val="20"/>
                <w:szCs w:val="20"/>
              </w:rPr>
            </w:pPr>
          </w:p>
        </w:tc>
        <w:tc>
          <w:tcPr>
            <w:tcW w:w="236" w:type="dxa"/>
            <w:gridSpan w:val="3"/>
            <w:vAlign w:val="bottom"/>
          </w:tcPr>
          <w:p w14:paraId="6B6C7AED" w14:textId="77777777" w:rsidR="008666DC" w:rsidRPr="004005A4" w:rsidRDefault="008666DC" w:rsidP="008666DC">
            <w:pPr>
              <w:pStyle w:val="levela"/>
              <w:keepNext/>
              <w:spacing w:before="120" w:after="120" w:line="240" w:lineRule="atLeast"/>
              <w:jc w:val="center"/>
              <w:rPr>
                <w:rFonts w:cs="Calibri Light"/>
                <w:b/>
                <w:sz w:val="20"/>
                <w:szCs w:val="20"/>
              </w:rPr>
            </w:pPr>
          </w:p>
        </w:tc>
        <w:tc>
          <w:tcPr>
            <w:tcW w:w="1181" w:type="dxa"/>
            <w:gridSpan w:val="2"/>
            <w:tcBorders>
              <w:top w:val="single" w:sz="4" w:space="0" w:color="auto"/>
            </w:tcBorders>
            <w:vAlign w:val="bottom"/>
          </w:tcPr>
          <w:p w14:paraId="3BB4CE49" w14:textId="77777777" w:rsidR="008666DC" w:rsidRPr="004005A4" w:rsidRDefault="008666DC" w:rsidP="008666DC">
            <w:pPr>
              <w:pStyle w:val="levela"/>
              <w:keepNext/>
              <w:spacing w:before="120" w:after="120" w:line="240" w:lineRule="atLeast"/>
              <w:jc w:val="center"/>
              <w:rPr>
                <w:rFonts w:cs="Calibri Light"/>
                <w:b/>
                <w:sz w:val="20"/>
                <w:szCs w:val="20"/>
              </w:rPr>
            </w:pPr>
          </w:p>
        </w:tc>
      </w:tr>
      <w:tr w:rsidR="008666DC" w:rsidRPr="004005A4" w14:paraId="2EEF353D" w14:textId="77777777" w:rsidTr="00587378">
        <w:trPr>
          <w:gridBefore w:val="1"/>
          <w:wBefore w:w="17" w:type="dxa"/>
        </w:trPr>
        <w:tc>
          <w:tcPr>
            <w:tcW w:w="7483" w:type="dxa"/>
            <w:gridSpan w:val="2"/>
          </w:tcPr>
          <w:p w14:paraId="060C6609" w14:textId="21DDB6BA" w:rsidR="008666DC" w:rsidRPr="00725583" w:rsidRDefault="008666DC" w:rsidP="008666DC">
            <w:pPr>
              <w:pStyle w:val="standard"/>
              <w:numPr>
                <w:ilvl w:val="4"/>
                <w:numId w:val="136"/>
              </w:numPr>
              <w:spacing w:before="120" w:after="120" w:line="240" w:lineRule="atLeast"/>
              <w:ind w:left="417" w:hanging="417"/>
              <w:rPr>
                <w:rFonts w:cs="Calibri Light"/>
                <w:sz w:val="20"/>
                <w:szCs w:val="20"/>
              </w:rPr>
            </w:pPr>
            <w:r w:rsidRPr="00725583">
              <w:rPr>
                <w:rFonts w:cs="Calibri Light"/>
                <w:sz w:val="20"/>
                <w:szCs w:val="20"/>
              </w:rPr>
              <w:t>Subject to rules regarding the incorporation of exhibits by reference, exhibits must be filed as part of a registration statement or report.  Each registration statement or report must contain an exhibit index, which is to immediately precede the exhibits filed. Each exhibit must be listed in the exhibit index according to the number assigned to it in the exhibit table. The exhibit index must indicate the page number in the sequential numbering system where each exhibit can be found. Where exhibits are incorporated by reference, state this in the index. Also, the first page of the manually signed registration statement must list the page in the filing where the exhibit index is located.</w:t>
            </w:r>
          </w:p>
        </w:tc>
        <w:tc>
          <w:tcPr>
            <w:tcW w:w="1209" w:type="dxa"/>
            <w:gridSpan w:val="2"/>
            <w:tcBorders>
              <w:bottom w:val="single" w:sz="4" w:space="0" w:color="auto"/>
            </w:tcBorders>
            <w:vAlign w:val="bottom"/>
          </w:tcPr>
          <w:p w14:paraId="24B30D69"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04163A15"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bottom w:val="single" w:sz="4" w:space="0" w:color="auto"/>
            </w:tcBorders>
            <w:vAlign w:val="bottom"/>
          </w:tcPr>
          <w:p w14:paraId="63BEEF4C" w14:textId="77777777" w:rsidR="008666DC" w:rsidRPr="004005A4" w:rsidRDefault="008666DC" w:rsidP="008666DC">
            <w:pPr>
              <w:pStyle w:val="levela"/>
              <w:spacing w:before="120" w:after="120" w:line="240" w:lineRule="atLeast"/>
              <w:jc w:val="center"/>
              <w:rPr>
                <w:rFonts w:cs="Calibri Light"/>
                <w:b/>
                <w:sz w:val="20"/>
                <w:szCs w:val="20"/>
              </w:rPr>
            </w:pPr>
          </w:p>
        </w:tc>
      </w:tr>
      <w:tr w:rsidR="008666DC" w:rsidRPr="004005A4" w14:paraId="51DAA82C" w14:textId="77777777" w:rsidTr="00587378">
        <w:trPr>
          <w:gridBefore w:val="1"/>
          <w:wBefore w:w="17" w:type="dxa"/>
        </w:trPr>
        <w:tc>
          <w:tcPr>
            <w:tcW w:w="7483" w:type="dxa"/>
            <w:gridSpan w:val="2"/>
          </w:tcPr>
          <w:p w14:paraId="0579A752" w14:textId="6913683B" w:rsidR="008666DC" w:rsidRPr="00725583" w:rsidRDefault="008666DC" w:rsidP="008666DC">
            <w:pPr>
              <w:pStyle w:val="standard"/>
              <w:numPr>
                <w:ilvl w:val="4"/>
                <w:numId w:val="136"/>
              </w:numPr>
              <w:spacing w:before="120" w:after="120" w:line="240" w:lineRule="atLeast"/>
              <w:ind w:left="417" w:hanging="417"/>
              <w:rPr>
                <w:rFonts w:cs="Calibri Light"/>
                <w:sz w:val="20"/>
                <w:szCs w:val="20"/>
              </w:rPr>
            </w:pPr>
            <w:r w:rsidRPr="00725583">
              <w:rPr>
                <w:rFonts w:cs="Open Sans"/>
                <w:sz w:val="20"/>
                <w:szCs w:val="20"/>
                <w:shd w:val="clear" w:color="auto" w:fill="FFFFFF"/>
              </w:rPr>
              <w:t>Each exhibit identified in the exhibit index (other than an exhibit filed in eXtensible Business Reporting Language or an exhibit that is filed with Form ABS-EE) must include an active link to an exhibit that is filed with the registration statement or report or, if the exhibit is incorporated by reference, an active hyperlink to the exhibit separately filed on EDGAR. If a registration statement or report is amended, each amendment must include hyperlinks to the exhibits required with the amendment. For a description of each of the exhibits included in the exhibit table, see paragraph (b) of this section.</w:t>
            </w:r>
          </w:p>
        </w:tc>
        <w:tc>
          <w:tcPr>
            <w:tcW w:w="1209" w:type="dxa"/>
            <w:gridSpan w:val="2"/>
            <w:tcBorders>
              <w:top w:val="single" w:sz="4" w:space="0" w:color="auto"/>
              <w:bottom w:val="single" w:sz="4" w:space="0" w:color="auto"/>
            </w:tcBorders>
            <w:vAlign w:val="bottom"/>
          </w:tcPr>
          <w:p w14:paraId="2714A977" w14:textId="77777777" w:rsidR="008666DC" w:rsidRPr="004005A4" w:rsidRDefault="008666DC" w:rsidP="008666DC">
            <w:pPr>
              <w:pStyle w:val="levela"/>
              <w:spacing w:before="120" w:after="120" w:line="240" w:lineRule="atLeast"/>
              <w:jc w:val="center"/>
              <w:rPr>
                <w:rFonts w:cs="Calibri Light"/>
                <w:b/>
                <w:sz w:val="20"/>
                <w:szCs w:val="20"/>
              </w:rPr>
            </w:pPr>
          </w:p>
        </w:tc>
        <w:tc>
          <w:tcPr>
            <w:tcW w:w="236" w:type="dxa"/>
            <w:gridSpan w:val="3"/>
            <w:vAlign w:val="bottom"/>
          </w:tcPr>
          <w:p w14:paraId="5EB6084E" w14:textId="77777777" w:rsidR="008666DC" w:rsidRPr="004005A4" w:rsidRDefault="008666DC" w:rsidP="008666DC">
            <w:pPr>
              <w:pStyle w:val="levela"/>
              <w:spacing w:before="120" w:after="120" w:line="240" w:lineRule="atLeast"/>
              <w:jc w:val="center"/>
              <w:rPr>
                <w:rFonts w:cs="Calibri Light"/>
                <w:b/>
                <w:sz w:val="20"/>
                <w:szCs w:val="20"/>
              </w:rPr>
            </w:pPr>
          </w:p>
        </w:tc>
        <w:tc>
          <w:tcPr>
            <w:tcW w:w="1181" w:type="dxa"/>
            <w:gridSpan w:val="2"/>
            <w:tcBorders>
              <w:top w:val="single" w:sz="4" w:space="0" w:color="auto"/>
              <w:bottom w:val="single" w:sz="4" w:space="0" w:color="auto"/>
            </w:tcBorders>
            <w:vAlign w:val="bottom"/>
          </w:tcPr>
          <w:p w14:paraId="08697C85" w14:textId="77777777" w:rsidR="008666DC" w:rsidRPr="004005A4" w:rsidRDefault="008666DC" w:rsidP="008666DC">
            <w:pPr>
              <w:pStyle w:val="levela"/>
              <w:spacing w:before="120" w:after="120" w:line="240" w:lineRule="atLeast"/>
              <w:jc w:val="center"/>
              <w:rPr>
                <w:rFonts w:cs="Calibri Light"/>
                <w:b/>
                <w:sz w:val="20"/>
                <w:szCs w:val="20"/>
              </w:rPr>
            </w:pPr>
          </w:p>
        </w:tc>
      </w:tr>
    </w:tbl>
    <w:p w14:paraId="29DA3DF4" w14:textId="77777777" w:rsidR="001F5308" w:rsidRPr="00425921" w:rsidRDefault="001F5308" w:rsidP="00425921">
      <w:pPr>
        <w:pStyle w:val="standard"/>
        <w:spacing w:before="120" w:line="240" w:lineRule="atLeast"/>
        <w:rPr>
          <w:sz w:val="18"/>
          <w:szCs w:val="18"/>
        </w:rPr>
        <w:sectPr w:rsidR="001F5308" w:rsidRPr="00425921" w:rsidSect="00425921">
          <w:footnotePr>
            <w:numRestart w:val="eachSect"/>
          </w:footnotePr>
          <w:endnotePr>
            <w:numFmt w:val="decimal"/>
          </w:endnotePr>
          <w:pgSz w:w="12240" w:h="15840" w:code="1"/>
          <w:pgMar w:top="1440" w:right="1440" w:bottom="1440" w:left="1440" w:header="576" w:footer="576" w:gutter="0"/>
          <w:cols w:space="720"/>
        </w:sectPr>
      </w:pPr>
    </w:p>
    <w:tbl>
      <w:tblPr>
        <w:tblW w:w="9810" w:type="dxa"/>
        <w:tblInd w:w="108" w:type="dxa"/>
        <w:tblLayout w:type="fixed"/>
        <w:tblLook w:val="0000" w:firstRow="0" w:lastRow="0" w:firstColumn="0" w:lastColumn="0" w:noHBand="0" w:noVBand="0"/>
      </w:tblPr>
      <w:tblGrid>
        <w:gridCol w:w="6750"/>
        <w:gridCol w:w="1530"/>
        <w:gridCol w:w="270"/>
        <w:gridCol w:w="1260"/>
      </w:tblGrid>
      <w:tr w:rsidR="00F730E8" w:rsidRPr="00425921" w14:paraId="7DD0022C" w14:textId="77777777" w:rsidTr="004366D5">
        <w:tc>
          <w:tcPr>
            <w:tcW w:w="6750" w:type="dxa"/>
          </w:tcPr>
          <w:p w14:paraId="112252B3" w14:textId="77777777" w:rsidR="00F730E8" w:rsidRPr="001016AD" w:rsidRDefault="00F730E8" w:rsidP="001016AD">
            <w:pPr>
              <w:pStyle w:val="FormTableHeaderRow"/>
              <w:keepNext/>
            </w:pPr>
            <w:bookmarkStart w:id="57" w:name="item702"/>
            <w:bookmarkEnd w:id="57"/>
            <w:r w:rsidRPr="001016AD">
              <w:lastRenderedPageBreak/>
              <w:t>Item 703.  Purchases of equity securities by the issuer and affiliated purchasers</w:t>
            </w:r>
            <w:r w:rsidR="006C0998" w:rsidRPr="001016AD">
              <w:t>.</w:t>
            </w:r>
          </w:p>
        </w:tc>
        <w:tc>
          <w:tcPr>
            <w:tcW w:w="1530" w:type="dxa"/>
            <w:tcBorders>
              <w:top w:val="single" w:sz="4" w:space="0" w:color="auto"/>
            </w:tcBorders>
            <w:vAlign w:val="bottom"/>
          </w:tcPr>
          <w:p w14:paraId="6CCB5AEA" w14:textId="77777777" w:rsidR="00F730E8" w:rsidRPr="00425921" w:rsidRDefault="00F730E8" w:rsidP="00425921">
            <w:pPr>
              <w:pStyle w:val="levela"/>
              <w:keepNext/>
              <w:spacing w:before="120" w:line="240" w:lineRule="atLeast"/>
              <w:jc w:val="center"/>
              <w:rPr>
                <w:b/>
                <w:sz w:val="18"/>
                <w:szCs w:val="18"/>
              </w:rPr>
            </w:pPr>
          </w:p>
        </w:tc>
        <w:tc>
          <w:tcPr>
            <w:tcW w:w="270" w:type="dxa"/>
            <w:vAlign w:val="bottom"/>
          </w:tcPr>
          <w:p w14:paraId="506BC48F" w14:textId="77777777" w:rsidR="00F730E8" w:rsidRPr="00425921" w:rsidRDefault="00F730E8" w:rsidP="00425921">
            <w:pPr>
              <w:pStyle w:val="levela"/>
              <w:keepNext/>
              <w:spacing w:before="120" w:line="240" w:lineRule="atLeast"/>
              <w:jc w:val="center"/>
              <w:rPr>
                <w:b/>
                <w:sz w:val="18"/>
                <w:szCs w:val="18"/>
              </w:rPr>
            </w:pPr>
          </w:p>
        </w:tc>
        <w:tc>
          <w:tcPr>
            <w:tcW w:w="1260" w:type="dxa"/>
            <w:tcBorders>
              <w:top w:val="single" w:sz="4" w:space="0" w:color="auto"/>
            </w:tcBorders>
            <w:vAlign w:val="bottom"/>
          </w:tcPr>
          <w:p w14:paraId="51607E09" w14:textId="77777777" w:rsidR="00F730E8" w:rsidRPr="00425921" w:rsidRDefault="00F730E8" w:rsidP="00425921">
            <w:pPr>
              <w:pStyle w:val="levela"/>
              <w:keepNext/>
              <w:spacing w:before="120" w:line="240" w:lineRule="atLeast"/>
              <w:jc w:val="center"/>
              <w:rPr>
                <w:b/>
                <w:sz w:val="18"/>
                <w:szCs w:val="18"/>
              </w:rPr>
            </w:pPr>
          </w:p>
        </w:tc>
      </w:tr>
      <w:tr w:rsidR="00F730E8" w:rsidRPr="00425921" w14:paraId="3A8013E2" w14:textId="77777777" w:rsidTr="004366D5">
        <w:tc>
          <w:tcPr>
            <w:tcW w:w="6750" w:type="dxa"/>
          </w:tcPr>
          <w:p w14:paraId="2FF04932" w14:textId="77777777" w:rsidR="00F730E8" w:rsidRPr="00DC3961" w:rsidRDefault="00F730E8" w:rsidP="001C05D0">
            <w:pPr>
              <w:pStyle w:val="levela"/>
              <w:tabs>
                <w:tab w:val="clear" w:pos="576"/>
              </w:tabs>
              <w:spacing w:before="120" w:after="120" w:line="240" w:lineRule="atLeast"/>
              <w:ind w:left="322" w:hanging="322"/>
              <w:rPr>
                <w:rFonts w:cs="Calibri Light"/>
                <w:sz w:val="20"/>
                <w:szCs w:val="20"/>
              </w:rPr>
            </w:pPr>
            <w:r w:rsidRPr="00DC3961">
              <w:rPr>
                <w:rFonts w:cs="Calibri Light"/>
                <w:sz w:val="20"/>
                <w:szCs w:val="20"/>
              </w:rPr>
              <w:t>a.</w:t>
            </w:r>
            <w:r w:rsidR="00DA48C9" w:rsidRPr="00DC3961">
              <w:rPr>
                <w:rFonts w:cs="Calibri Light"/>
                <w:sz w:val="20"/>
                <w:szCs w:val="20"/>
              </w:rPr>
              <w:tab/>
            </w:r>
            <w:r w:rsidRPr="00DC3961">
              <w:rPr>
                <w:rFonts w:cs="Calibri Light"/>
                <w:sz w:val="20"/>
                <w:szCs w:val="20"/>
              </w:rPr>
              <w:t xml:space="preserve">In tabular format, provide the information specified in paragraph (b) of this Item with respect to any purchase made by or on behalf of the issuer or any </w:t>
            </w:r>
            <w:r w:rsidR="00AF34D5" w:rsidRPr="00DC3961">
              <w:rPr>
                <w:rFonts w:cs="Calibri Light"/>
                <w:sz w:val="20"/>
                <w:szCs w:val="20"/>
              </w:rPr>
              <w:t>“</w:t>
            </w:r>
            <w:r w:rsidRPr="00DC3961">
              <w:rPr>
                <w:rFonts w:cs="Calibri Light"/>
                <w:sz w:val="20"/>
                <w:szCs w:val="20"/>
              </w:rPr>
              <w:t>affiliated purchaser,</w:t>
            </w:r>
            <w:r w:rsidR="00AF34D5" w:rsidRPr="00DC3961">
              <w:rPr>
                <w:rFonts w:cs="Calibri Light"/>
                <w:sz w:val="20"/>
                <w:szCs w:val="20"/>
              </w:rPr>
              <w:t>”</w:t>
            </w:r>
            <w:r w:rsidRPr="00DC3961">
              <w:rPr>
                <w:rFonts w:cs="Calibri Light"/>
                <w:sz w:val="20"/>
                <w:szCs w:val="20"/>
              </w:rPr>
              <w:t xml:space="preserve"> as defined in Rule 10b-18(a)(3) of the Exchange Act, of shares or other units of any class of the issuer</w:t>
            </w:r>
            <w:r w:rsidR="00AF34D5" w:rsidRPr="00DC3961">
              <w:rPr>
                <w:rFonts w:cs="Calibri Light"/>
                <w:sz w:val="20"/>
                <w:szCs w:val="20"/>
              </w:rPr>
              <w:t>’</w:t>
            </w:r>
            <w:r w:rsidRPr="00DC3961">
              <w:rPr>
                <w:rFonts w:cs="Calibri Light"/>
                <w:sz w:val="20"/>
                <w:szCs w:val="20"/>
              </w:rPr>
              <w:t>s equity securities that is registered by the issuer pursuant to section 12 of the Exchange Act.</w:t>
            </w:r>
          </w:p>
        </w:tc>
        <w:tc>
          <w:tcPr>
            <w:tcW w:w="1530" w:type="dxa"/>
            <w:vAlign w:val="bottom"/>
          </w:tcPr>
          <w:p w14:paraId="3034DCB4" w14:textId="77777777" w:rsidR="00F730E8" w:rsidRPr="00DC3961" w:rsidRDefault="00F730E8" w:rsidP="00425921">
            <w:pPr>
              <w:pStyle w:val="levela"/>
              <w:spacing w:before="120" w:line="240" w:lineRule="atLeast"/>
              <w:jc w:val="center"/>
              <w:rPr>
                <w:rFonts w:cs="Calibri Light"/>
                <w:b/>
                <w:sz w:val="20"/>
                <w:szCs w:val="20"/>
              </w:rPr>
            </w:pPr>
          </w:p>
        </w:tc>
        <w:tc>
          <w:tcPr>
            <w:tcW w:w="270" w:type="dxa"/>
            <w:vAlign w:val="bottom"/>
          </w:tcPr>
          <w:p w14:paraId="7703C18D" w14:textId="77777777" w:rsidR="00F730E8" w:rsidRPr="00DC3961" w:rsidRDefault="00F730E8" w:rsidP="00425921">
            <w:pPr>
              <w:pStyle w:val="levela"/>
              <w:spacing w:before="120" w:line="240" w:lineRule="atLeast"/>
              <w:jc w:val="center"/>
              <w:rPr>
                <w:rFonts w:cs="Calibri Light"/>
                <w:b/>
                <w:sz w:val="20"/>
                <w:szCs w:val="20"/>
              </w:rPr>
            </w:pPr>
          </w:p>
        </w:tc>
        <w:tc>
          <w:tcPr>
            <w:tcW w:w="1260" w:type="dxa"/>
            <w:vAlign w:val="bottom"/>
          </w:tcPr>
          <w:p w14:paraId="66252818" w14:textId="77777777" w:rsidR="00F730E8" w:rsidRPr="00DC3961" w:rsidRDefault="00F730E8" w:rsidP="00425921">
            <w:pPr>
              <w:pStyle w:val="levela"/>
              <w:spacing w:before="120" w:line="240" w:lineRule="atLeast"/>
              <w:jc w:val="center"/>
              <w:rPr>
                <w:rFonts w:cs="Calibri Light"/>
                <w:b/>
                <w:sz w:val="20"/>
                <w:szCs w:val="20"/>
              </w:rPr>
            </w:pPr>
          </w:p>
        </w:tc>
      </w:tr>
      <w:tr w:rsidR="00F730E8" w:rsidRPr="00425921" w14:paraId="350E45C5" w14:textId="77777777" w:rsidTr="004366D5">
        <w:tc>
          <w:tcPr>
            <w:tcW w:w="6750" w:type="dxa"/>
          </w:tcPr>
          <w:p w14:paraId="5E87A5E8" w14:textId="77777777" w:rsidR="00CC40FA" w:rsidRPr="00DC3961" w:rsidRDefault="00CC40FA" w:rsidP="001C05D0">
            <w:pPr>
              <w:pStyle w:val="levela"/>
              <w:tabs>
                <w:tab w:val="clear" w:pos="576"/>
              </w:tabs>
              <w:spacing w:before="120" w:after="120" w:line="240" w:lineRule="atLeast"/>
              <w:ind w:left="322" w:hanging="322"/>
              <w:rPr>
                <w:rFonts w:cs="Calibri Light"/>
                <w:sz w:val="20"/>
                <w:szCs w:val="20"/>
              </w:rPr>
            </w:pPr>
            <w:r w:rsidRPr="00DC3961">
              <w:rPr>
                <w:rFonts w:cs="Calibri Light"/>
                <w:sz w:val="20"/>
                <w:szCs w:val="20"/>
              </w:rPr>
              <w:t>b.</w:t>
            </w:r>
            <w:r w:rsidR="003B7051" w:rsidRPr="00DC3961">
              <w:rPr>
                <w:rFonts w:cs="Calibri Light"/>
                <w:sz w:val="20"/>
                <w:szCs w:val="20"/>
              </w:rPr>
              <w:tab/>
            </w:r>
            <w:r w:rsidRPr="00DC3961">
              <w:rPr>
                <w:rFonts w:cs="Calibri Light"/>
                <w:sz w:val="20"/>
                <w:szCs w:val="20"/>
              </w:rPr>
              <w:t xml:space="preserve">The table </w:t>
            </w:r>
            <w:r w:rsidR="00AB717E" w:rsidRPr="00DC3961">
              <w:rPr>
                <w:rFonts w:cs="Calibri Light"/>
                <w:sz w:val="20"/>
                <w:szCs w:val="20"/>
              </w:rPr>
              <w:t>should</w:t>
            </w:r>
            <w:r w:rsidRPr="00DC3961">
              <w:rPr>
                <w:rFonts w:cs="Calibri Light"/>
                <w:sz w:val="20"/>
                <w:szCs w:val="20"/>
              </w:rPr>
              <w:t xml:space="preserve"> include the following information for each class or series of securities for each month included in the period covered by the report:</w:t>
            </w:r>
          </w:p>
        </w:tc>
        <w:tc>
          <w:tcPr>
            <w:tcW w:w="1530" w:type="dxa"/>
            <w:tcBorders>
              <w:top w:val="single" w:sz="4" w:space="0" w:color="auto"/>
            </w:tcBorders>
            <w:vAlign w:val="bottom"/>
          </w:tcPr>
          <w:p w14:paraId="14F4A933" w14:textId="77777777" w:rsidR="00F730E8" w:rsidRPr="00DC3961" w:rsidRDefault="00F730E8" w:rsidP="00425921">
            <w:pPr>
              <w:pStyle w:val="levela"/>
              <w:spacing w:before="120" w:line="240" w:lineRule="atLeast"/>
              <w:jc w:val="center"/>
              <w:rPr>
                <w:rFonts w:cs="Calibri Light"/>
                <w:b/>
                <w:sz w:val="20"/>
                <w:szCs w:val="20"/>
              </w:rPr>
            </w:pPr>
          </w:p>
        </w:tc>
        <w:tc>
          <w:tcPr>
            <w:tcW w:w="270" w:type="dxa"/>
            <w:vAlign w:val="bottom"/>
          </w:tcPr>
          <w:p w14:paraId="090BBCEF" w14:textId="77777777" w:rsidR="00F730E8" w:rsidRPr="00DC3961" w:rsidRDefault="00F730E8" w:rsidP="00425921">
            <w:pPr>
              <w:pStyle w:val="levela"/>
              <w:spacing w:before="120" w:line="240" w:lineRule="atLeast"/>
              <w:jc w:val="center"/>
              <w:rPr>
                <w:rFonts w:cs="Calibri Light"/>
                <w:b/>
                <w:sz w:val="20"/>
                <w:szCs w:val="20"/>
              </w:rPr>
            </w:pPr>
          </w:p>
        </w:tc>
        <w:tc>
          <w:tcPr>
            <w:tcW w:w="1260" w:type="dxa"/>
            <w:tcBorders>
              <w:top w:val="single" w:sz="4" w:space="0" w:color="auto"/>
            </w:tcBorders>
            <w:vAlign w:val="bottom"/>
          </w:tcPr>
          <w:p w14:paraId="225BC12B" w14:textId="77777777" w:rsidR="00F730E8" w:rsidRPr="00DC3961" w:rsidRDefault="00F730E8" w:rsidP="00425921">
            <w:pPr>
              <w:pStyle w:val="levela"/>
              <w:spacing w:before="120" w:line="240" w:lineRule="atLeast"/>
              <w:jc w:val="center"/>
              <w:rPr>
                <w:rFonts w:cs="Calibri Light"/>
                <w:b/>
                <w:sz w:val="20"/>
                <w:szCs w:val="20"/>
              </w:rPr>
            </w:pPr>
          </w:p>
        </w:tc>
      </w:tr>
      <w:tr w:rsidR="00F730E8" w:rsidRPr="00425921" w14:paraId="723A0437" w14:textId="77777777" w:rsidTr="004366D5">
        <w:tc>
          <w:tcPr>
            <w:tcW w:w="6750" w:type="dxa"/>
          </w:tcPr>
          <w:p w14:paraId="7F97646A" w14:textId="77777777" w:rsidR="00F730E8" w:rsidRPr="00DC3961" w:rsidRDefault="00CC40FA" w:rsidP="00DC3961">
            <w:pPr>
              <w:pStyle w:val="level2"/>
              <w:keepNext/>
              <w:tabs>
                <w:tab w:val="clear" w:pos="576"/>
                <w:tab w:val="clear" w:pos="1152"/>
              </w:tabs>
              <w:spacing w:line="240" w:lineRule="atLeast"/>
              <w:ind w:left="679" w:hanging="360"/>
              <w:rPr>
                <w:rFonts w:cs="Calibri Light"/>
                <w:sz w:val="20"/>
                <w:szCs w:val="20"/>
              </w:rPr>
            </w:pPr>
            <w:r w:rsidRPr="00DC3961">
              <w:rPr>
                <w:rFonts w:cs="Calibri Light"/>
                <w:sz w:val="20"/>
                <w:szCs w:val="20"/>
              </w:rPr>
              <w:t>(1)</w:t>
            </w:r>
            <w:r w:rsidR="003B7051" w:rsidRPr="00DC3961">
              <w:rPr>
                <w:rFonts w:cs="Calibri Light"/>
                <w:sz w:val="20"/>
                <w:szCs w:val="20"/>
              </w:rPr>
              <w:tab/>
            </w:r>
            <w:r w:rsidRPr="00DC3961">
              <w:rPr>
                <w:rFonts w:cs="Calibri Light"/>
                <w:sz w:val="20"/>
                <w:szCs w:val="20"/>
              </w:rPr>
              <w:t xml:space="preserve">The total number of shares (or units) purchased (column (a)).  Include in this column all issuer repurchases, including those made pursuant to publicly announced plans or programs and those not made pursuant to publicly announced plans or programs. </w:t>
            </w:r>
            <w:r w:rsidR="00DA48C9" w:rsidRPr="00DC3961">
              <w:rPr>
                <w:rFonts w:cs="Calibri Light"/>
                <w:sz w:val="20"/>
                <w:szCs w:val="20"/>
              </w:rPr>
              <w:t xml:space="preserve"> </w:t>
            </w:r>
            <w:r w:rsidRPr="00DC3961">
              <w:rPr>
                <w:rFonts w:cs="Calibri Light"/>
                <w:sz w:val="20"/>
                <w:szCs w:val="20"/>
              </w:rPr>
              <w:t>Briefly disclose, by footnote to the table, the number of shares purchased other than through a publicly announced plan or program and the nature of the transaction (</w:t>
            </w:r>
            <w:r w:rsidRPr="00DC3961">
              <w:rPr>
                <w:rFonts w:cs="Calibri Light"/>
                <w:i/>
                <w:iCs/>
                <w:sz w:val="20"/>
                <w:szCs w:val="20"/>
              </w:rPr>
              <w:t>e.g.</w:t>
            </w:r>
            <w:r w:rsidRPr="00DC3961">
              <w:rPr>
                <w:rFonts w:cs="Calibri Light"/>
                <w:sz w:val="20"/>
                <w:szCs w:val="20"/>
              </w:rPr>
              <w:t>, whether the purchases were made in open-market transactions, tender offers, in satisfaction of the company</w:t>
            </w:r>
            <w:r w:rsidR="00AF34D5" w:rsidRPr="00DC3961">
              <w:rPr>
                <w:rFonts w:cs="Calibri Light"/>
                <w:sz w:val="20"/>
                <w:szCs w:val="20"/>
              </w:rPr>
              <w:t>’</w:t>
            </w:r>
            <w:r w:rsidRPr="00DC3961">
              <w:rPr>
                <w:rFonts w:cs="Calibri Light"/>
                <w:sz w:val="20"/>
                <w:szCs w:val="20"/>
              </w:rPr>
              <w:t>s obligations upon exercise of outstanding put options issued by the company, or other transactions).</w:t>
            </w:r>
          </w:p>
        </w:tc>
        <w:tc>
          <w:tcPr>
            <w:tcW w:w="1530" w:type="dxa"/>
            <w:vAlign w:val="bottom"/>
          </w:tcPr>
          <w:p w14:paraId="6DF42C25" w14:textId="77777777" w:rsidR="00F730E8" w:rsidRPr="00DC3961" w:rsidRDefault="00F730E8" w:rsidP="00425921">
            <w:pPr>
              <w:pStyle w:val="levela"/>
              <w:spacing w:before="120" w:line="240" w:lineRule="atLeast"/>
              <w:jc w:val="center"/>
              <w:rPr>
                <w:rFonts w:cs="Calibri Light"/>
                <w:b/>
                <w:sz w:val="20"/>
                <w:szCs w:val="20"/>
              </w:rPr>
            </w:pPr>
          </w:p>
        </w:tc>
        <w:tc>
          <w:tcPr>
            <w:tcW w:w="270" w:type="dxa"/>
            <w:vAlign w:val="bottom"/>
          </w:tcPr>
          <w:p w14:paraId="4B4E682C" w14:textId="77777777" w:rsidR="00F730E8" w:rsidRPr="00DC3961" w:rsidRDefault="00F730E8" w:rsidP="00425921">
            <w:pPr>
              <w:pStyle w:val="levela"/>
              <w:spacing w:before="120" w:line="240" w:lineRule="atLeast"/>
              <w:jc w:val="center"/>
              <w:rPr>
                <w:rFonts w:cs="Calibri Light"/>
                <w:b/>
                <w:sz w:val="20"/>
                <w:szCs w:val="20"/>
              </w:rPr>
            </w:pPr>
          </w:p>
        </w:tc>
        <w:tc>
          <w:tcPr>
            <w:tcW w:w="1260" w:type="dxa"/>
            <w:vAlign w:val="bottom"/>
          </w:tcPr>
          <w:p w14:paraId="19FF4D02" w14:textId="77777777" w:rsidR="00F730E8" w:rsidRPr="00DC3961" w:rsidRDefault="00F730E8" w:rsidP="00425921">
            <w:pPr>
              <w:pStyle w:val="levela"/>
              <w:spacing w:before="120" w:line="240" w:lineRule="atLeast"/>
              <w:jc w:val="center"/>
              <w:rPr>
                <w:rFonts w:cs="Calibri Light"/>
                <w:b/>
                <w:sz w:val="20"/>
                <w:szCs w:val="20"/>
              </w:rPr>
            </w:pPr>
          </w:p>
        </w:tc>
      </w:tr>
      <w:tr w:rsidR="00F730E8" w:rsidRPr="00425921" w14:paraId="5B669598" w14:textId="77777777" w:rsidTr="004366D5">
        <w:tc>
          <w:tcPr>
            <w:tcW w:w="6750" w:type="dxa"/>
          </w:tcPr>
          <w:p w14:paraId="36C09E8D" w14:textId="77777777" w:rsidR="00F730E8" w:rsidRPr="00DC3961" w:rsidRDefault="00CC40FA" w:rsidP="00DC3961">
            <w:pPr>
              <w:pStyle w:val="level2"/>
              <w:keepNext/>
              <w:tabs>
                <w:tab w:val="clear" w:pos="576"/>
                <w:tab w:val="clear" w:pos="1152"/>
              </w:tabs>
              <w:spacing w:line="240" w:lineRule="atLeast"/>
              <w:ind w:left="679" w:hanging="360"/>
              <w:rPr>
                <w:rFonts w:cs="Calibri Light"/>
                <w:sz w:val="20"/>
                <w:szCs w:val="20"/>
              </w:rPr>
            </w:pPr>
            <w:r w:rsidRPr="00DC3961">
              <w:rPr>
                <w:rFonts w:cs="Calibri Light"/>
                <w:sz w:val="20"/>
                <w:szCs w:val="20"/>
              </w:rPr>
              <w:t>(2)</w:t>
            </w:r>
            <w:r w:rsidR="003B7051" w:rsidRPr="00DC3961">
              <w:rPr>
                <w:rFonts w:cs="Calibri Light"/>
                <w:sz w:val="20"/>
                <w:szCs w:val="20"/>
              </w:rPr>
              <w:tab/>
            </w:r>
            <w:r w:rsidRPr="00DC3961">
              <w:rPr>
                <w:rFonts w:cs="Calibri Light"/>
                <w:sz w:val="20"/>
                <w:szCs w:val="20"/>
              </w:rPr>
              <w:t>The average price paid per share (or unit) (column (b)).</w:t>
            </w:r>
          </w:p>
        </w:tc>
        <w:tc>
          <w:tcPr>
            <w:tcW w:w="1530" w:type="dxa"/>
            <w:tcBorders>
              <w:top w:val="single" w:sz="4" w:space="0" w:color="auto"/>
            </w:tcBorders>
            <w:vAlign w:val="bottom"/>
          </w:tcPr>
          <w:p w14:paraId="168F68B5" w14:textId="77777777" w:rsidR="00F730E8" w:rsidRPr="00DC3961" w:rsidRDefault="00F730E8" w:rsidP="00425921">
            <w:pPr>
              <w:pStyle w:val="levela"/>
              <w:spacing w:before="120" w:line="240" w:lineRule="atLeast"/>
              <w:jc w:val="center"/>
              <w:rPr>
                <w:rFonts w:cs="Calibri Light"/>
                <w:b/>
                <w:sz w:val="20"/>
                <w:szCs w:val="20"/>
              </w:rPr>
            </w:pPr>
          </w:p>
        </w:tc>
        <w:tc>
          <w:tcPr>
            <w:tcW w:w="270" w:type="dxa"/>
            <w:vAlign w:val="bottom"/>
          </w:tcPr>
          <w:p w14:paraId="16B0A74C" w14:textId="77777777" w:rsidR="00F730E8" w:rsidRPr="00DC3961" w:rsidRDefault="00F730E8" w:rsidP="00425921">
            <w:pPr>
              <w:pStyle w:val="levela"/>
              <w:spacing w:before="120" w:line="240" w:lineRule="atLeast"/>
              <w:jc w:val="center"/>
              <w:rPr>
                <w:rFonts w:cs="Calibri Light"/>
                <w:b/>
                <w:sz w:val="20"/>
                <w:szCs w:val="20"/>
              </w:rPr>
            </w:pPr>
          </w:p>
        </w:tc>
        <w:tc>
          <w:tcPr>
            <w:tcW w:w="1260" w:type="dxa"/>
            <w:tcBorders>
              <w:top w:val="single" w:sz="4" w:space="0" w:color="auto"/>
            </w:tcBorders>
            <w:vAlign w:val="bottom"/>
          </w:tcPr>
          <w:p w14:paraId="120EC349" w14:textId="77777777" w:rsidR="00F730E8" w:rsidRPr="00DC3961" w:rsidRDefault="00F730E8" w:rsidP="00425921">
            <w:pPr>
              <w:pStyle w:val="levela"/>
              <w:spacing w:before="120" w:line="240" w:lineRule="atLeast"/>
              <w:jc w:val="center"/>
              <w:rPr>
                <w:rFonts w:cs="Calibri Light"/>
                <w:b/>
                <w:sz w:val="20"/>
                <w:szCs w:val="20"/>
              </w:rPr>
            </w:pPr>
          </w:p>
        </w:tc>
      </w:tr>
      <w:tr w:rsidR="00CC40FA" w:rsidRPr="00425921" w14:paraId="7BB2BEBC" w14:textId="77777777" w:rsidTr="004366D5">
        <w:tc>
          <w:tcPr>
            <w:tcW w:w="6750" w:type="dxa"/>
          </w:tcPr>
          <w:p w14:paraId="0985CC67" w14:textId="77777777" w:rsidR="00CC40FA" w:rsidRPr="00DC3961" w:rsidRDefault="00CC40FA" w:rsidP="00DC3961">
            <w:pPr>
              <w:pStyle w:val="level2"/>
              <w:tabs>
                <w:tab w:val="clear" w:pos="576"/>
                <w:tab w:val="clear" w:pos="1152"/>
              </w:tabs>
              <w:spacing w:line="240" w:lineRule="atLeast"/>
              <w:ind w:left="677" w:hanging="360"/>
              <w:rPr>
                <w:rFonts w:cs="Calibri Light"/>
                <w:sz w:val="20"/>
                <w:szCs w:val="20"/>
              </w:rPr>
            </w:pPr>
            <w:r w:rsidRPr="00DC3961">
              <w:rPr>
                <w:rFonts w:cs="Calibri Light"/>
                <w:sz w:val="20"/>
                <w:szCs w:val="20"/>
              </w:rPr>
              <w:t>(3)</w:t>
            </w:r>
            <w:r w:rsidR="003B7051" w:rsidRPr="00DC3961">
              <w:rPr>
                <w:rFonts w:cs="Calibri Light"/>
                <w:sz w:val="20"/>
                <w:szCs w:val="20"/>
              </w:rPr>
              <w:tab/>
            </w:r>
            <w:r w:rsidRPr="00DC3961">
              <w:rPr>
                <w:rFonts w:cs="Calibri Light"/>
                <w:sz w:val="20"/>
                <w:szCs w:val="20"/>
              </w:rPr>
              <w:t>The total number of shares (or units) purchased as part of publicly announced repurchase plans or programs (column (c))</w:t>
            </w:r>
            <w:r w:rsidR="009D30C9" w:rsidRPr="00DC3961">
              <w:rPr>
                <w:rFonts w:cs="Calibri Light"/>
                <w:sz w:val="20"/>
                <w:szCs w:val="20"/>
              </w:rPr>
              <w:t>.</w:t>
            </w:r>
          </w:p>
        </w:tc>
        <w:tc>
          <w:tcPr>
            <w:tcW w:w="1530" w:type="dxa"/>
            <w:tcBorders>
              <w:top w:val="single" w:sz="4" w:space="0" w:color="auto"/>
            </w:tcBorders>
            <w:vAlign w:val="bottom"/>
          </w:tcPr>
          <w:p w14:paraId="6CFF3946" w14:textId="77777777" w:rsidR="00CC40FA" w:rsidRPr="00DC3961" w:rsidRDefault="00CC40FA" w:rsidP="00425921">
            <w:pPr>
              <w:pStyle w:val="levela"/>
              <w:spacing w:before="120" w:line="240" w:lineRule="atLeast"/>
              <w:jc w:val="center"/>
              <w:rPr>
                <w:rFonts w:cs="Calibri Light"/>
                <w:b/>
                <w:sz w:val="20"/>
                <w:szCs w:val="20"/>
              </w:rPr>
            </w:pPr>
          </w:p>
        </w:tc>
        <w:tc>
          <w:tcPr>
            <w:tcW w:w="270" w:type="dxa"/>
            <w:vAlign w:val="bottom"/>
          </w:tcPr>
          <w:p w14:paraId="16451291" w14:textId="77777777" w:rsidR="00CC40FA" w:rsidRPr="00DC3961" w:rsidRDefault="00CC40FA" w:rsidP="00425921">
            <w:pPr>
              <w:pStyle w:val="levela"/>
              <w:spacing w:before="120" w:line="240" w:lineRule="atLeast"/>
              <w:jc w:val="center"/>
              <w:rPr>
                <w:rFonts w:cs="Calibri Light"/>
                <w:b/>
                <w:sz w:val="20"/>
                <w:szCs w:val="20"/>
              </w:rPr>
            </w:pPr>
          </w:p>
        </w:tc>
        <w:tc>
          <w:tcPr>
            <w:tcW w:w="1260" w:type="dxa"/>
            <w:tcBorders>
              <w:top w:val="single" w:sz="4" w:space="0" w:color="auto"/>
            </w:tcBorders>
            <w:vAlign w:val="bottom"/>
          </w:tcPr>
          <w:p w14:paraId="72E5F9F2" w14:textId="77777777" w:rsidR="00CC40FA" w:rsidRPr="00DC3961" w:rsidRDefault="00CC40FA" w:rsidP="00425921">
            <w:pPr>
              <w:pStyle w:val="levela"/>
              <w:spacing w:before="120" w:line="240" w:lineRule="atLeast"/>
              <w:jc w:val="center"/>
              <w:rPr>
                <w:rFonts w:cs="Calibri Light"/>
                <w:b/>
                <w:sz w:val="20"/>
                <w:szCs w:val="20"/>
              </w:rPr>
            </w:pPr>
          </w:p>
        </w:tc>
      </w:tr>
      <w:tr w:rsidR="00CC40FA" w:rsidRPr="00425921" w14:paraId="58AAF6B3" w14:textId="77777777" w:rsidTr="004366D5">
        <w:tc>
          <w:tcPr>
            <w:tcW w:w="6750" w:type="dxa"/>
          </w:tcPr>
          <w:p w14:paraId="134C1C06" w14:textId="77777777" w:rsidR="00CC40FA" w:rsidRPr="00DC3961" w:rsidRDefault="00CC40FA" w:rsidP="00DC3961">
            <w:pPr>
              <w:pStyle w:val="level2"/>
              <w:tabs>
                <w:tab w:val="clear" w:pos="576"/>
                <w:tab w:val="clear" w:pos="1152"/>
              </w:tabs>
              <w:spacing w:line="240" w:lineRule="atLeast"/>
              <w:ind w:left="677" w:hanging="360"/>
              <w:rPr>
                <w:rFonts w:cs="Calibri Light"/>
                <w:sz w:val="20"/>
                <w:szCs w:val="20"/>
              </w:rPr>
            </w:pPr>
            <w:r w:rsidRPr="00DC3961">
              <w:rPr>
                <w:rFonts w:cs="Calibri Light"/>
                <w:sz w:val="20"/>
                <w:szCs w:val="20"/>
              </w:rPr>
              <w:t>(4)</w:t>
            </w:r>
            <w:r w:rsidR="003B7051" w:rsidRPr="00DC3961">
              <w:rPr>
                <w:rFonts w:cs="Calibri Light"/>
                <w:sz w:val="20"/>
                <w:szCs w:val="20"/>
              </w:rPr>
              <w:tab/>
            </w:r>
            <w:r w:rsidRPr="00DC3961">
              <w:rPr>
                <w:rFonts w:cs="Calibri Light"/>
                <w:sz w:val="20"/>
                <w:szCs w:val="20"/>
              </w:rPr>
              <w:t>The maximum number (or approximate dollar value) of shares (or units) that may yet be purchased under the plans or programs (column (d)).</w:t>
            </w:r>
          </w:p>
        </w:tc>
        <w:tc>
          <w:tcPr>
            <w:tcW w:w="1530" w:type="dxa"/>
            <w:tcBorders>
              <w:top w:val="single" w:sz="4" w:space="0" w:color="auto"/>
            </w:tcBorders>
            <w:vAlign w:val="bottom"/>
          </w:tcPr>
          <w:p w14:paraId="69DBD10B" w14:textId="77777777" w:rsidR="00CC40FA" w:rsidRPr="00DC3961" w:rsidRDefault="00CC40FA" w:rsidP="00425921">
            <w:pPr>
              <w:pStyle w:val="levela"/>
              <w:spacing w:before="120" w:line="240" w:lineRule="atLeast"/>
              <w:jc w:val="center"/>
              <w:rPr>
                <w:rFonts w:cs="Calibri Light"/>
                <w:b/>
                <w:sz w:val="20"/>
                <w:szCs w:val="20"/>
              </w:rPr>
            </w:pPr>
          </w:p>
        </w:tc>
        <w:tc>
          <w:tcPr>
            <w:tcW w:w="270" w:type="dxa"/>
            <w:vAlign w:val="bottom"/>
          </w:tcPr>
          <w:p w14:paraId="30EF7C0C" w14:textId="77777777" w:rsidR="00CC40FA" w:rsidRPr="00DC3961" w:rsidRDefault="00CC40FA" w:rsidP="00425921">
            <w:pPr>
              <w:pStyle w:val="levela"/>
              <w:spacing w:before="120" w:line="240" w:lineRule="atLeast"/>
              <w:jc w:val="center"/>
              <w:rPr>
                <w:rFonts w:cs="Calibri Light"/>
                <w:b/>
                <w:sz w:val="20"/>
                <w:szCs w:val="20"/>
              </w:rPr>
            </w:pPr>
          </w:p>
        </w:tc>
        <w:tc>
          <w:tcPr>
            <w:tcW w:w="1260" w:type="dxa"/>
            <w:tcBorders>
              <w:top w:val="single" w:sz="4" w:space="0" w:color="auto"/>
            </w:tcBorders>
            <w:vAlign w:val="bottom"/>
          </w:tcPr>
          <w:p w14:paraId="6E76A529" w14:textId="77777777" w:rsidR="00CC40FA" w:rsidRPr="00DC3961" w:rsidRDefault="00CC40FA" w:rsidP="00425921">
            <w:pPr>
              <w:pStyle w:val="levela"/>
              <w:spacing w:before="120" w:line="240" w:lineRule="atLeast"/>
              <w:jc w:val="center"/>
              <w:rPr>
                <w:rFonts w:cs="Calibri Light"/>
                <w:b/>
                <w:sz w:val="20"/>
                <w:szCs w:val="20"/>
              </w:rPr>
            </w:pPr>
          </w:p>
        </w:tc>
      </w:tr>
      <w:tr w:rsidR="00E36100" w:rsidRPr="00425921" w14:paraId="1EA2ADD4" w14:textId="77777777" w:rsidTr="004366D5">
        <w:tc>
          <w:tcPr>
            <w:tcW w:w="6750" w:type="dxa"/>
          </w:tcPr>
          <w:p w14:paraId="31C724F1" w14:textId="77777777" w:rsidR="00E36100" w:rsidRPr="00DC3961" w:rsidRDefault="00E36100" w:rsidP="00425921">
            <w:pPr>
              <w:spacing w:before="100" w:beforeAutospacing="1" w:line="240" w:lineRule="atLeast"/>
              <w:ind w:left="576"/>
              <w:rPr>
                <w:rFonts w:cs="Calibri Light"/>
                <w:sz w:val="20"/>
                <w:szCs w:val="20"/>
              </w:rPr>
            </w:pPr>
            <w:r w:rsidRPr="00DC3961">
              <w:rPr>
                <w:rFonts w:cs="Calibri Light"/>
                <w:i/>
                <w:iCs/>
                <w:sz w:val="20"/>
                <w:szCs w:val="20"/>
              </w:rPr>
              <w:t>Instructions to paragraphs (b)(3) and (b)(4) of Item 703</w:t>
            </w:r>
          </w:p>
          <w:p w14:paraId="377BED21" w14:textId="0FDE7407" w:rsidR="00E36100" w:rsidRPr="00DC3961" w:rsidRDefault="00E36100" w:rsidP="006C7F7C">
            <w:pPr>
              <w:spacing w:before="100" w:beforeAutospacing="1" w:line="240" w:lineRule="atLeast"/>
              <w:ind w:left="859" w:hanging="283"/>
              <w:rPr>
                <w:rFonts w:cs="Calibri Light"/>
                <w:i/>
                <w:iCs/>
                <w:sz w:val="20"/>
                <w:szCs w:val="20"/>
              </w:rPr>
            </w:pPr>
            <w:r w:rsidRPr="00DC3961">
              <w:rPr>
                <w:rFonts w:cs="Calibri Light"/>
                <w:sz w:val="20"/>
                <w:szCs w:val="20"/>
              </w:rPr>
              <w:t>1.</w:t>
            </w:r>
            <w:r w:rsidR="003B7051" w:rsidRPr="00DC3961">
              <w:rPr>
                <w:rFonts w:cs="Calibri Light"/>
                <w:sz w:val="20"/>
                <w:szCs w:val="20"/>
              </w:rPr>
              <w:tab/>
            </w:r>
            <w:r w:rsidRPr="00DC3961">
              <w:rPr>
                <w:rFonts w:cs="Calibri Light"/>
                <w:sz w:val="20"/>
                <w:szCs w:val="20"/>
              </w:rPr>
              <w:t xml:space="preserve">In the table, disclose this information in the aggregate for all plans or programs publicly announced. </w:t>
            </w:r>
          </w:p>
        </w:tc>
        <w:tc>
          <w:tcPr>
            <w:tcW w:w="1530" w:type="dxa"/>
            <w:tcBorders>
              <w:top w:val="single" w:sz="4" w:space="0" w:color="auto"/>
            </w:tcBorders>
            <w:vAlign w:val="bottom"/>
          </w:tcPr>
          <w:p w14:paraId="2844E880" w14:textId="77777777" w:rsidR="00E36100" w:rsidRPr="00DC3961" w:rsidRDefault="00E36100" w:rsidP="00425921">
            <w:pPr>
              <w:pStyle w:val="levela"/>
              <w:spacing w:before="120" w:line="240" w:lineRule="atLeast"/>
              <w:jc w:val="center"/>
              <w:rPr>
                <w:rFonts w:cs="Calibri Light"/>
                <w:b/>
                <w:sz w:val="20"/>
                <w:szCs w:val="20"/>
              </w:rPr>
            </w:pPr>
          </w:p>
        </w:tc>
        <w:tc>
          <w:tcPr>
            <w:tcW w:w="270" w:type="dxa"/>
            <w:vAlign w:val="bottom"/>
          </w:tcPr>
          <w:p w14:paraId="76984459" w14:textId="77777777" w:rsidR="00E36100" w:rsidRPr="00DC3961" w:rsidRDefault="00E36100" w:rsidP="00425921">
            <w:pPr>
              <w:pStyle w:val="levela"/>
              <w:spacing w:before="120" w:line="240" w:lineRule="atLeast"/>
              <w:jc w:val="center"/>
              <w:rPr>
                <w:rFonts w:cs="Calibri Light"/>
                <w:b/>
                <w:sz w:val="20"/>
                <w:szCs w:val="20"/>
              </w:rPr>
            </w:pPr>
          </w:p>
        </w:tc>
        <w:tc>
          <w:tcPr>
            <w:tcW w:w="1260" w:type="dxa"/>
            <w:tcBorders>
              <w:top w:val="single" w:sz="4" w:space="0" w:color="auto"/>
            </w:tcBorders>
            <w:vAlign w:val="bottom"/>
          </w:tcPr>
          <w:p w14:paraId="4A82FFF8" w14:textId="77777777" w:rsidR="00E36100" w:rsidRPr="00DC3961" w:rsidRDefault="00E36100" w:rsidP="00425921">
            <w:pPr>
              <w:pStyle w:val="levela"/>
              <w:spacing w:before="120" w:line="240" w:lineRule="atLeast"/>
              <w:jc w:val="center"/>
              <w:rPr>
                <w:rFonts w:cs="Calibri Light"/>
                <w:b/>
                <w:sz w:val="20"/>
                <w:szCs w:val="20"/>
              </w:rPr>
            </w:pPr>
          </w:p>
        </w:tc>
      </w:tr>
      <w:tr w:rsidR="009644FF" w:rsidRPr="00425921" w14:paraId="56BA0FBC" w14:textId="77777777" w:rsidTr="004366D5">
        <w:tc>
          <w:tcPr>
            <w:tcW w:w="6750" w:type="dxa"/>
          </w:tcPr>
          <w:p w14:paraId="0AA5CC11" w14:textId="15925536" w:rsidR="00F354A8" w:rsidRDefault="00F354A8" w:rsidP="00371083">
            <w:pPr>
              <w:spacing w:before="120" w:line="240" w:lineRule="atLeast"/>
              <w:ind w:left="864" w:hanging="274"/>
              <w:rPr>
                <w:rFonts w:cs="Calibri Light"/>
                <w:sz w:val="20"/>
                <w:szCs w:val="20"/>
              </w:rPr>
            </w:pPr>
            <w:r w:rsidRPr="00DC3961">
              <w:rPr>
                <w:rFonts w:cs="Calibri Light"/>
                <w:sz w:val="20"/>
                <w:szCs w:val="20"/>
              </w:rPr>
              <w:t>2.</w:t>
            </w:r>
            <w:r w:rsidRPr="00DC3961">
              <w:rPr>
                <w:rFonts w:cs="Calibri Light"/>
                <w:sz w:val="20"/>
                <w:szCs w:val="20"/>
              </w:rPr>
              <w:tab/>
              <w:t>By footnote to the table, indicate:</w:t>
            </w:r>
          </w:p>
          <w:p w14:paraId="61F36499" w14:textId="5E58AB05" w:rsidR="009644FF" w:rsidRPr="00DC3961" w:rsidRDefault="009644FF" w:rsidP="00DC3961">
            <w:pPr>
              <w:spacing w:before="100" w:beforeAutospacing="1" w:line="240" w:lineRule="atLeast"/>
              <w:ind w:left="1129" w:hanging="270"/>
              <w:rPr>
                <w:rFonts w:cs="Calibri Light"/>
                <w:i/>
                <w:iCs/>
                <w:sz w:val="20"/>
                <w:szCs w:val="20"/>
              </w:rPr>
            </w:pPr>
            <w:r w:rsidRPr="00DC3961">
              <w:rPr>
                <w:rFonts w:cs="Calibri Light"/>
                <w:sz w:val="20"/>
                <w:szCs w:val="20"/>
              </w:rPr>
              <w:t>a.</w:t>
            </w:r>
            <w:r w:rsidRPr="00DC3961">
              <w:rPr>
                <w:rFonts w:cs="Calibri Light"/>
                <w:sz w:val="20"/>
                <w:szCs w:val="20"/>
              </w:rPr>
              <w:tab/>
              <w:t>The date each plan or program was announced;</w:t>
            </w:r>
          </w:p>
        </w:tc>
        <w:tc>
          <w:tcPr>
            <w:tcW w:w="1530" w:type="dxa"/>
            <w:tcBorders>
              <w:top w:val="single" w:sz="4" w:space="0" w:color="auto"/>
            </w:tcBorders>
            <w:vAlign w:val="bottom"/>
          </w:tcPr>
          <w:p w14:paraId="51671F77" w14:textId="77777777" w:rsidR="009644FF" w:rsidRPr="00DC3961" w:rsidRDefault="009644FF" w:rsidP="00425921">
            <w:pPr>
              <w:pStyle w:val="levela"/>
              <w:spacing w:before="120" w:line="240" w:lineRule="atLeast"/>
              <w:jc w:val="center"/>
              <w:rPr>
                <w:rFonts w:cs="Calibri Light"/>
                <w:b/>
                <w:sz w:val="20"/>
                <w:szCs w:val="20"/>
              </w:rPr>
            </w:pPr>
          </w:p>
        </w:tc>
        <w:tc>
          <w:tcPr>
            <w:tcW w:w="270" w:type="dxa"/>
            <w:vAlign w:val="bottom"/>
          </w:tcPr>
          <w:p w14:paraId="7C2F08EB" w14:textId="77777777" w:rsidR="009644FF" w:rsidRPr="00DC3961" w:rsidRDefault="009644FF" w:rsidP="00425921">
            <w:pPr>
              <w:pStyle w:val="levela"/>
              <w:spacing w:before="120" w:line="240" w:lineRule="atLeast"/>
              <w:jc w:val="center"/>
              <w:rPr>
                <w:rFonts w:cs="Calibri Light"/>
                <w:b/>
                <w:sz w:val="20"/>
                <w:szCs w:val="20"/>
              </w:rPr>
            </w:pPr>
          </w:p>
        </w:tc>
        <w:tc>
          <w:tcPr>
            <w:tcW w:w="1260" w:type="dxa"/>
            <w:tcBorders>
              <w:top w:val="single" w:sz="4" w:space="0" w:color="auto"/>
            </w:tcBorders>
            <w:vAlign w:val="bottom"/>
          </w:tcPr>
          <w:p w14:paraId="337626C5" w14:textId="77777777" w:rsidR="009644FF" w:rsidRPr="00DC3961" w:rsidRDefault="009644FF" w:rsidP="00425921">
            <w:pPr>
              <w:pStyle w:val="levela"/>
              <w:spacing w:before="120" w:line="240" w:lineRule="atLeast"/>
              <w:jc w:val="center"/>
              <w:rPr>
                <w:rFonts w:cs="Calibri Light"/>
                <w:b/>
                <w:sz w:val="20"/>
                <w:szCs w:val="20"/>
              </w:rPr>
            </w:pPr>
          </w:p>
        </w:tc>
      </w:tr>
      <w:tr w:rsidR="009644FF" w:rsidRPr="00425921" w14:paraId="2790DF56" w14:textId="77777777" w:rsidTr="004366D5">
        <w:tc>
          <w:tcPr>
            <w:tcW w:w="6750" w:type="dxa"/>
          </w:tcPr>
          <w:p w14:paraId="3AFA73AB" w14:textId="77777777" w:rsidR="009644FF" w:rsidRPr="00DC3961" w:rsidRDefault="009644FF" w:rsidP="00DC3961">
            <w:pPr>
              <w:spacing w:before="100" w:beforeAutospacing="1" w:line="240" w:lineRule="atLeast"/>
              <w:ind w:left="1129" w:hanging="270"/>
              <w:rPr>
                <w:rFonts w:cs="Calibri Light"/>
                <w:sz w:val="20"/>
                <w:szCs w:val="20"/>
              </w:rPr>
            </w:pPr>
            <w:r w:rsidRPr="00DC3961">
              <w:rPr>
                <w:rFonts w:cs="Calibri Light"/>
                <w:sz w:val="20"/>
                <w:szCs w:val="20"/>
              </w:rPr>
              <w:t>b.</w:t>
            </w:r>
            <w:r w:rsidRPr="00DC3961">
              <w:rPr>
                <w:rFonts w:cs="Calibri Light"/>
                <w:sz w:val="20"/>
                <w:szCs w:val="20"/>
              </w:rPr>
              <w:tab/>
              <w:t>The dollar amount (or share or unit amount) approved;</w:t>
            </w:r>
          </w:p>
        </w:tc>
        <w:tc>
          <w:tcPr>
            <w:tcW w:w="1530" w:type="dxa"/>
            <w:tcBorders>
              <w:top w:val="single" w:sz="4" w:space="0" w:color="auto"/>
            </w:tcBorders>
            <w:vAlign w:val="bottom"/>
          </w:tcPr>
          <w:p w14:paraId="35342ED4" w14:textId="77777777" w:rsidR="009644FF" w:rsidRPr="00DC3961" w:rsidRDefault="009644FF" w:rsidP="00425921">
            <w:pPr>
              <w:pStyle w:val="levela"/>
              <w:spacing w:before="120" w:line="240" w:lineRule="atLeast"/>
              <w:jc w:val="center"/>
              <w:rPr>
                <w:rFonts w:cs="Calibri Light"/>
                <w:b/>
                <w:sz w:val="20"/>
                <w:szCs w:val="20"/>
              </w:rPr>
            </w:pPr>
          </w:p>
        </w:tc>
        <w:tc>
          <w:tcPr>
            <w:tcW w:w="270" w:type="dxa"/>
            <w:vAlign w:val="bottom"/>
          </w:tcPr>
          <w:p w14:paraId="2DF54E56" w14:textId="77777777" w:rsidR="009644FF" w:rsidRPr="00DC3961" w:rsidRDefault="009644FF" w:rsidP="00425921">
            <w:pPr>
              <w:pStyle w:val="levela"/>
              <w:spacing w:before="120" w:line="240" w:lineRule="atLeast"/>
              <w:jc w:val="center"/>
              <w:rPr>
                <w:rFonts w:cs="Calibri Light"/>
                <w:b/>
                <w:sz w:val="20"/>
                <w:szCs w:val="20"/>
              </w:rPr>
            </w:pPr>
          </w:p>
        </w:tc>
        <w:tc>
          <w:tcPr>
            <w:tcW w:w="1260" w:type="dxa"/>
            <w:tcBorders>
              <w:top w:val="single" w:sz="4" w:space="0" w:color="auto"/>
            </w:tcBorders>
            <w:vAlign w:val="bottom"/>
          </w:tcPr>
          <w:p w14:paraId="36CB127C" w14:textId="77777777" w:rsidR="009644FF" w:rsidRPr="00DC3961" w:rsidRDefault="009644FF" w:rsidP="00425921">
            <w:pPr>
              <w:pStyle w:val="levela"/>
              <w:spacing w:before="120" w:line="240" w:lineRule="atLeast"/>
              <w:jc w:val="center"/>
              <w:rPr>
                <w:rFonts w:cs="Calibri Light"/>
                <w:b/>
                <w:sz w:val="20"/>
                <w:szCs w:val="20"/>
              </w:rPr>
            </w:pPr>
          </w:p>
        </w:tc>
      </w:tr>
      <w:tr w:rsidR="009644FF" w:rsidRPr="00425921" w14:paraId="526BF40F" w14:textId="77777777" w:rsidTr="004366D5">
        <w:tc>
          <w:tcPr>
            <w:tcW w:w="6750" w:type="dxa"/>
          </w:tcPr>
          <w:p w14:paraId="7BD4BA3C" w14:textId="77777777" w:rsidR="009644FF" w:rsidRPr="00DC3961" w:rsidRDefault="009644FF" w:rsidP="00DC3961">
            <w:pPr>
              <w:spacing w:before="100" w:beforeAutospacing="1" w:line="240" w:lineRule="atLeast"/>
              <w:ind w:left="1129" w:hanging="270"/>
              <w:rPr>
                <w:rFonts w:cs="Calibri Light"/>
                <w:sz w:val="20"/>
                <w:szCs w:val="20"/>
              </w:rPr>
            </w:pPr>
            <w:r w:rsidRPr="00DC3961">
              <w:rPr>
                <w:rFonts w:cs="Calibri Light"/>
                <w:sz w:val="20"/>
                <w:szCs w:val="20"/>
              </w:rPr>
              <w:t>c.</w:t>
            </w:r>
            <w:r w:rsidRPr="00DC3961">
              <w:rPr>
                <w:rFonts w:cs="Calibri Light"/>
                <w:sz w:val="20"/>
                <w:szCs w:val="20"/>
              </w:rPr>
              <w:tab/>
              <w:t>The expiration date (if any) of each plan or program;</w:t>
            </w:r>
          </w:p>
        </w:tc>
        <w:tc>
          <w:tcPr>
            <w:tcW w:w="1530" w:type="dxa"/>
            <w:tcBorders>
              <w:top w:val="single" w:sz="4" w:space="0" w:color="auto"/>
            </w:tcBorders>
            <w:vAlign w:val="bottom"/>
          </w:tcPr>
          <w:p w14:paraId="2AF98164" w14:textId="77777777" w:rsidR="009644FF" w:rsidRPr="00DC3961" w:rsidRDefault="009644FF" w:rsidP="00425921">
            <w:pPr>
              <w:pStyle w:val="levela"/>
              <w:spacing w:before="120" w:line="240" w:lineRule="atLeast"/>
              <w:jc w:val="center"/>
              <w:rPr>
                <w:rFonts w:cs="Calibri Light"/>
                <w:b/>
                <w:sz w:val="20"/>
                <w:szCs w:val="20"/>
              </w:rPr>
            </w:pPr>
          </w:p>
        </w:tc>
        <w:tc>
          <w:tcPr>
            <w:tcW w:w="270" w:type="dxa"/>
            <w:vAlign w:val="bottom"/>
          </w:tcPr>
          <w:p w14:paraId="40E59AE4" w14:textId="77777777" w:rsidR="009644FF" w:rsidRPr="00DC3961" w:rsidRDefault="009644FF" w:rsidP="00425921">
            <w:pPr>
              <w:pStyle w:val="levela"/>
              <w:spacing w:before="120" w:line="240" w:lineRule="atLeast"/>
              <w:jc w:val="center"/>
              <w:rPr>
                <w:rFonts w:cs="Calibri Light"/>
                <w:b/>
                <w:sz w:val="20"/>
                <w:szCs w:val="20"/>
              </w:rPr>
            </w:pPr>
          </w:p>
        </w:tc>
        <w:tc>
          <w:tcPr>
            <w:tcW w:w="1260" w:type="dxa"/>
            <w:tcBorders>
              <w:top w:val="single" w:sz="4" w:space="0" w:color="auto"/>
            </w:tcBorders>
            <w:vAlign w:val="bottom"/>
          </w:tcPr>
          <w:p w14:paraId="4373F432" w14:textId="77777777" w:rsidR="009644FF" w:rsidRPr="00DC3961" w:rsidRDefault="009644FF" w:rsidP="00425921">
            <w:pPr>
              <w:pStyle w:val="levela"/>
              <w:spacing w:before="120" w:line="240" w:lineRule="atLeast"/>
              <w:jc w:val="center"/>
              <w:rPr>
                <w:rFonts w:cs="Calibri Light"/>
                <w:b/>
                <w:sz w:val="20"/>
                <w:szCs w:val="20"/>
              </w:rPr>
            </w:pPr>
          </w:p>
        </w:tc>
      </w:tr>
      <w:tr w:rsidR="009644FF" w:rsidRPr="00425921" w14:paraId="07BB49DA" w14:textId="77777777" w:rsidTr="006C7F7C">
        <w:tc>
          <w:tcPr>
            <w:tcW w:w="6750" w:type="dxa"/>
          </w:tcPr>
          <w:p w14:paraId="127ED1BF" w14:textId="77777777" w:rsidR="009644FF" w:rsidRPr="00DC3961" w:rsidRDefault="009644FF" w:rsidP="00DC3961">
            <w:pPr>
              <w:spacing w:before="100" w:beforeAutospacing="1" w:line="240" w:lineRule="atLeast"/>
              <w:ind w:left="1129" w:hanging="270"/>
              <w:rPr>
                <w:rFonts w:cs="Calibri Light"/>
                <w:sz w:val="20"/>
                <w:szCs w:val="20"/>
              </w:rPr>
            </w:pPr>
            <w:r w:rsidRPr="00DC3961">
              <w:rPr>
                <w:rFonts w:cs="Calibri Light"/>
                <w:sz w:val="20"/>
                <w:szCs w:val="20"/>
              </w:rPr>
              <w:t>d.</w:t>
            </w:r>
            <w:r w:rsidRPr="00DC3961">
              <w:rPr>
                <w:rFonts w:cs="Calibri Light"/>
                <w:sz w:val="20"/>
                <w:szCs w:val="20"/>
              </w:rPr>
              <w:tab/>
              <w:t>Each plan or program that has expired during the period covered by the table; and</w:t>
            </w:r>
          </w:p>
        </w:tc>
        <w:tc>
          <w:tcPr>
            <w:tcW w:w="1530" w:type="dxa"/>
            <w:tcBorders>
              <w:top w:val="single" w:sz="4" w:space="0" w:color="auto"/>
              <w:bottom w:val="single" w:sz="4" w:space="0" w:color="auto"/>
            </w:tcBorders>
            <w:vAlign w:val="bottom"/>
          </w:tcPr>
          <w:p w14:paraId="26414E40" w14:textId="77777777" w:rsidR="009644FF" w:rsidRPr="00DC3961" w:rsidRDefault="009644FF" w:rsidP="00425921">
            <w:pPr>
              <w:pStyle w:val="levela"/>
              <w:spacing w:before="120" w:line="240" w:lineRule="atLeast"/>
              <w:jc w:val="center"/>
              <w:rPr>
                <w:rFonts w:cs="Calibri Light"/>
                <w:b/>
                <w:sz w:val="20"/>
                <w:szCs w:val="20"/>
              </w:rPr>
            </w:pPr>
          </w:p>
        </w:tc>
        <w:tc>
          <w:tcPr>
            <w:tcW w:w="270" w:type="dxa"/>
            <w:vAlign w:val="bottom"/>
          </w:tcPr>
          <w:p w14:paraId="3263BA21" w14:textId="77777777" w:rsidR="009644FF" w:rsidRPr="00DC3961" w:rsidRDefault="009644FF" w:rsidP="00425921">
            <w:pPr>
              <w:pStyle w:val="levela"/>
              <w:spacing w:before="120" w:line="240" w:lineRule="atLeast"/>
              <w:jc w:val="center"/>
              <w:rPr>
                <w:rFonts w:cs="Calibri Light"/>
                <w:b/>
                <w:sz w:val="20"/>
                <w:szCs w:val="20"/>
              </w:rPr>
            </w:pPr>
          </w:p>
        </w:tc>
        <w:tc>
          <w:tcPr>
            <w:tcW w:w="1260" w:type="dxa"/>
            <w:tcBorders>
              <w:top w:val="single" w:sz="4" w:space="0" w:color="auto"/>
              <w:bottom w:val="single" w:sz="4" w:space="0" w:color="auto"/>
            </w:tcBorders>
            <w:vAlign w:val="bottom"/>
          </w:tcPr>
          <w:p w14:paraId="36E84567" w14:textId="77777777" w:rsidR="009644FF" w:rsidRPr="00DC3961" w:rsidRDefault="009644FF" w:rsidP="00425921">
            <w:pPr>
              <w:pStyle w:val="levela"/>
              <w:spacing w:before="120" w:line="240" w:lineRule="atLeast"/>
              <w:jc w:val="center"/>
              <w:rPr>
                <w:rFonts w:cs="Calibri Light"/>
                <w:b/>
                <w:sz w:val="20"/>
                <w:szCs w:val="20"/>
              </w:rPr>
            </w:pPr>
          </w:p>
        </w:tc>
      </w:tr>
      <w:tr w:rsidR="009644FF" w:rsidRPr="00425921" w14:paraId="4777BF98" w14:textId="77777777" w:rsidTr="006C7F7C">
        <w:tc>
          <w:tcPr>
            <w:tcW w:w="6750" w:type="dxa"/>
          </w:tcPr>
          <w:p w14:paraId="370CE3F9" w14:textId="77777777" w:rsidR="009644FF" w:rsidRPr="00DC3961" w:rsidRDefault="009644FF" w:rsidP="00DC3961">
            <w:pPr>
              <w:spacing w:before="100" w:beforeAutospacing="1" w:line="240" w:lineRule="atLeast"/>
              <w:ind w:left="1129" w:hanging="270"/>
              <w:rPr>
                <w:rFonts w:cs="Calibri Light"/>
                <w:i/>
                <w:iCs/>
                <w:sz w:val="20"/>
                <w:szCs w:val="20"/>
              </w:rPr>
            </w:pPr>
            <w:r w:rsidRPr="00DC3961">
              <w:rPr>
                <w:rFonts w:cs="Calibri Light"/>
                <w:sz w:val="20"/>
                <w:szCs w:val="20"/>
              </w:rPr>
              <w:t>e.</w:t>
            </w:r>
            <w:r w:rsidRPr="00DC3961">
              <w:rPr>
                <w:rFonts w:cs="Calibri Light"/>
                <w:sz w:val="20"/>
                <w:szCs w:val="20"/>
              </w:rPr>
              <w:tab/>
              <w:t>Each plan or program the issuer has determined to terminate prior to expiration, or under which the issuer does not intend to make further purchases.</w:t>
            </w:r>
          </w:p>
        </w:tc>
        <w:tc>
          <w:tcPr>
            <w:tcW w:w="1530" w:type="dxa"/>
            <w:tcBorders>
              <w:top w:val="single" w:sz="4" w:space="0" w:color="auto"/>
              <w:bottom w:val="single" w:sz="4" w:space="0" w:color="auto"/>
            </w:tcBorders>
            <w:vAlign w:val="bottom"/>
          </w:tcPr>
          <w:p w14:paraId="04928EA5" w14:textId="77777777" w:rsidR="009644FF" w:rsidRPr="00DC3961" w:rsidRDefault="009644FF" w:rsidP="00425921">
            <w:pPr>
              <w:pStyle w:val="levela"/>
              <w:spacing w:before="120" w:line="240" w:lineRule="atLeast"/>
              <w:jc w:val="center"/>
              <w:rPr>
                <w:rFonts w:cs="Calibri Light"/>
                <w:b/>
                <w:sz w:val="20"/>
                <w:szCs w:val="20"/>
              </w:rPr>
            </w:pPr>
          </w:p>
        </w:tc>
        <w:tc>
          <w:tcPr>
            <w:tcW w:w="270" w:type="dxa"/>
            <w:vAlign w:val="bottom"/>
          </w:tcPr>
          <w:p w14:paraId="0576F27D" w14:textId="77777777" w:rsidR="009644FF" w:rsidRPr="00DC3961" w:rsidRDefault="009644FF" w:rsidP="00425921">
            <w:pPr>
              <w:pStyle w:val="levela"/>
              <w:spacing w:before="120" w:line="240" w:lineRule="atLeast"/>
              <w:jc w:val="center"/>
              <w:rPr>
                <w:rFonts w:cs="Calibri Light"/>
                <w:b/>
                <w:sz w:val="20"/>
                <w:szCs w:val="20"/>
              </w:rPr>
            </w:pPr>
          </w:p>
        </w:tc>
        <w:tc>
          <w:tcPr>
            <w:tcW w:w="1260" w:type="dxa"/>
            <w:tcBorders>
              <w:top w:val="single" w:sz="4" w:space="0" w:color="auto"/>
              <w:bottom w:val="single" w:sz="4" w:space="0" w:color="auto"/>
            </w:tcBorders>
            <w:vAlign w:val="bottom"/>
          </w:tcPr>
          <w:p w14:paraId="3F414EC5" w14:textId="77777777" w:rsidR="009644FF" w:rsidRPr="00DC3961" w:rsidRDefault="009644FF" w:rsidP="00425921">
            <w:pPr>
              <w:pStyle w:val="levela"/>
              <w:spacing w:before="120" w:line="240" w:lineRule="atLeast"/>
              <w:jc w:val="center"/>
              <w:rPr>
                <w:rFonts w:cs="Calibri Light"/>
                <w:b/>
                <w:sz w:val="20"/>
                <w:szCs w:val="20"/>
              </w:rPr>
            </w:pPr>
          </w:p>
        </w:tc>
      </w:tr>
      <w:tr w:rsidR="00E36100" w:rsidRPr="00425921" w14:paraId="30DC85EF" w14:textId="77777777" w:rsidTr="006C7F7C">
        <w:trPr>
          <w:trHeight w:val="3860"/>
        </w:trPr>
        <w:tc>
          <w:tcPr>
            <w:tcW w:w="6750" w:type="dxa"/>
          </w:tcPr>
          <w:p w14:paraId="57FE16DD" w14:textId="77777777" w:rsidR="00E36100" w:rsidRPr="00DC3961" w:rsidRDefault="00E36100" w:rsidP="001016AD">
            <w:pPr>
              <w:pStyle w:val="FormTableHeaderRow"/>
              <w:keepNext/>
              <w:rPr>
                <w:rFonts w:cs="Calibri Light"/>
                <w:sz w:val="20"/>
                <w:szCs w:val="20"/>
              </w:rPr>
            </w:pPr>
            <w:bookmarkStart w:id="58" w:name="items801_and_802"/>
            <w:bookmarkEnd w:id="58"/>
            <w:r w:rsidRPr="00DC3961">
              <w:rPr>
                <w:rFonts w:cs="Calibri Light"/>
                <w:sz w:val="20"/>
                <w:szCs w:val="20"/>
              </w:rPr>
              <w:lastRenderedPageBreak/>
              <w:t>Items 801 and 802.  Industry Guides</w:t>
            </w:r>
            <w:r w:rsidR="006C0998" w:rsidRPr="00DC3961">
              <w:rPr>
                <w:rFonts w:cs="Calibri Light"/>
                <w:sz w:val="20"/>
                <w:szCs w:val="20"/>
              </w:rPr>
              <w:t>.</w:t>
            </w:r>
          </w:p>
          <w:p w14:paraId="49C004A9" w14:textId="49F9D037" w:rsidR="00E36100" w:rsidRPr="00DC3961" w:rsidRDefault="00E36100" w:rsidP="00337D87">
            <w:pPr>
              <w:spacing w:before="100" w:beforeAutospacing="1" w:line="240" w:lineRule="atLeast"/>
              <w:rPr>
                <w:rFonts w:cs="Calibri Light"/>
                <w:iCs/>
                <w:sz w:val="20"/>
                <w:szCs w:val="20"/>
              </w:rPr>
            </w:pPr>
            <w:r w:rsidRPr="00DC3961">
              <w:rPr>
                <w:rFonts w:cs="Calibri Light"/>
                <w:iCs/>
                <w:sz w:val="20"/>
                <w:szCs w:val="20"/>
              </w:rPr>
              <w:t xml:space="preserve">Items 801 and 802 list </w:t>
            </w:r>
            <w:hyperlink r:id="rId49" w:history="1">
              <w:r w:rsidRPr="00DC3961">
                <w:rPr>
                  <w:rStyle w:val="Hyperlink"/>
                  <w:rFonts w:cs="Calibri Light"/>
                  <w:iCs/>
                  <w:sz w:val="20"/>
                  <w:szCs w:val="20"/>
                </w:rPr>
                <w:t>SEC Industry Guides</w:t>
              </w:r>
            </w:hyperlink>
            <w:r w:rsidRPr="00DC3961">
              <w:rPr>
                <w:rFonts w:cs="Calibri Light"/>
                <w:iCs/>
                <w:sz w:val="20"/>
                <w:szCs w:val="20"/>
              </w:rPr>
              <w:t xml:space="preserve"> which prescribe additional disclosure requirements for entities in certain industries.  These guides are as follows:</w:t>
            </w:r>
          </w:p>
          <w:p w14:paraId="667FA235" w14:textId="77777777" w:rsidR="00E36100" w:rsidRPr="00DC3961" w:rsidRDefault="00E36100" w:rsidP="00337D87">
            <w:pPr>
              <w:pStyle w:val="level2"/>
              <w:tabs>
                <w:tab w:val="clear" w:pos="576"/>
                <w:tab w:val="clear" w:pos="1152"/>
              </w:tabs>
              <w:spacing w:line="240" w:lineRule="atLeast"/>
              <w:ind w:left="319" w:hanging="319"/>
              <w:rPr>
                <w:rFonts w:cs="Calibri Light"/>
                <w:sz w:val="20"/>
                <w:szCs w:val="20"/>
              </w:rPr>
            </w:pPr>
            <w:r w:rsidRPr="00DC3961">
              <w:rPr>
                <w:rFonts w:cs="Calibri Light"/>
                <w:sz w:val="20"/>
                <w:szCs w:val="20"/>
              </w:rPr>
              <w:t>(a)</w:t>
            </w:r>
            <w:r w:rsidR="003B7051" w:rsidRPr="00DC3961">
              <w:rPr>
                <w:rFonts w:cs="Calibri Light"/>
                <w:sz w:val="20"/>
                <w:szCs w:val="20"/>
              </w:rPr>
              <w:tab/>
            </w:r>
            <w:r w:rsidRPr="00DC3961">
              <w:rPr>
                <w:rFonts w:cs="Calibri Light"/>
                <w:sz w:val="20"/>
                <w:szCs w:val="20"/>
              </w:rPr>
              <w:t xml:space="preserve">[Reserved] </w:t>
            </w:r>
          </w:p>
          <w:p w14:paraId="497EAACA" w14:textId="64A7DD6F" w:rsidR="00E36100" w:rsidRPr="00DC3961" w:rsidRDefault="00E36100" w:rsidP="00337D87">
            <w:pPr>
              <w:pStyle w:val="level2"/>
              <w:tabs>
                <w:tab w:val="clear" w:pos="576"/>
                <w:tab w:val="clear" w:pos="1152"/>
              </w:tabs>
              <w:spacing w:line="240" w:lineRule="atLeast"/>
              <w:ind w:left="319" w:hanging="319"/>
              <w:rPr>
                <w:rFonts w:cs="Calibri Light"/>
                <w:sz w:val="20"/>
                <w:szCs w:val="20"/>
              </w:rPr>
            </w:pPr>
            <w:r w:rsidRPr="00DC3961">
              <w:rPr>
                <w:rFonts w:cs="Calibri Light"/>
                <w:sz w:val="20"/>
                <w:szCs w:val="20"/>
              </w:rPr>
              <w:t>(b)</w:t>
            </w:r>
            <w:r w:rsidR="003B7051" w:rsidRPr="00DC3961">
              <w:rPr>
                <w:rFonts w:cs="Calibri Light"/>
                <w:sz w:val="20"/>
                <w:szCs w:val="20"/>
              </w:rPr>
              <w:tab/>
            </w:r>
            <w:r w:rsidR="00CB672F" w:rsidRPr="00DC3961">
              <w:rPr>
                <w:rFonts w:cs="Calibri Light"/>
                <w:sz w:val="20"/>
                <w:szCs w:val="20"/>
              </w:rPr>
              <w:t>[Reserved]</w:t>
            </w:r>
          </w:p>
          <w:p w14:paraId="1B6AD190" w14:textId="1A06993A" w:rsidR="00E36100" w:rsidRPr="00DC3961" w:rsidRDefault="00E36100" w:rsidP="00337D87">
            <w:pPr>
              <w:pStyle w:val="level2"/>
              <w:tabs>
                <w:tab w:val="clear" w:pos="576"/>
                <w:tab w:val="clear" w:pos="1152"/>
              </w:tabs>
              <w:spacing w:line="240" w:lineRule="atLeast"/>
              <w:ind w:left="319" w:hanging="319"/>
              <w:rPr>
                <w:rFonts w:cs="Calibri Light"/>
                <w:sz w:val="20"/>
                <w:szCs w:val="20"/>
              </w:rPr>
            </w:pPr>
            <w:r w:rsidRPr="00DC3961">
              <w:rPr>
                <w:rFonts w:cs="Calibri Light"/>
                <w:sz w:val="20"/>
                <w:szCs w:val="20"/>
              </w:rPr>
              <w:t>(c)</w:t>
            </w:r>
            <w:r w:rsidR="003B7051" w:rsidRPr="00DC3961">
              <w:rPr>
                <w:rFonts w:cs="Calibri Light"/>
                <w:sz w:val="20"/>
                <w:szCs w:val="20"/>
              </w:rPr>
              <w:tab/>
            </w:r>
            <w:r w:rsidR="00E473C2">
              <w:rPr>
                <w:rFonts w:cs="Calibri Light"/>
                <w:sz w:val="20"/>
                <w:szCs w:val="20"/>
              </w:rPr>
              <w:t>[Reserved]</w:t>
            </w:r>
            <w:r w:rsidRPr="00DC3961">
              <w:rPr>
                <w:rFonts w:cs="Calibri Light"/>
                <w:sz w:val="20"/>
                <w:szCs w:val="20"/>
              </w:rPr>
              <w:t xml:space="preserve"> </w:t>
            </w:r>
          </w:p>
          <w:p w14:paraId="6BF65468" w14:textId="77777777" w:rsidR="00E36100" w:rsidRPr="00DC3961" w:rsidRDefault="00E36100" w:rsidP="00337D87">
            <w:pPr>
              <w:pStyle w:val="level2"/>
              <w:tabs>
                <w:tab w:val="clear" w:pos="576"/>
                <w:tab w:val="clear" w:pos="1152"/>
              </w:tabs>
              <w:spacing w:line="240" w:lineRule="atLeast"/>
              <w:ind w:left="319" w:hanging="319"/>
              <w:rPr>
                <w:rFonts w:cs="Calibri Light"/>
                <w:sz w:val="20"/>
                <w:szCs w:val="20"/>
              </w:rPr>
            </w:pPr>
            <w:r w:rsidRPr="00DC3961">
              <w:rPr>
                <w:rFonts w:cs="Calibri Light"/>
                <w:sz w:val="20"/>
                <w:szCs w:val="20"/>
              </w:rPr>
              <w:t>(d)</w:t>
            </w:r>
            <w:r w:rsidR="003B7051" w:rsidRPr="00DC3961">
              <w:rPr>
                <w:rFonts w:cs="Calibri Light"/>
                <w:sz w:val="20"/>
                <w:szCs w:val="20"/>
              </w:rPr>
              <w:tab/>
            </w:r>
            <w:r w:rsidRPr="00DC3961">
              <w:rPr>
                <w:rFonts w:cs="Calibri Light"/>
                <w:sz w:val="20"/>
                <w:szCs w:val="20"/>
              </w:rPr>
              <w:t>Guide 4.</w:t>
            </w:r>
            <w:r w:rsidR="00DA48C9" w:rsidRPr="00DC3961">
              <w:rPr>
                <w:rFonts w:cs="Calibri Light"/>
                <w:sz w:val="20"/>
                <w:szCs w:val="20"/>
              </w:rPr>
              <w:t xml:space="preserve"> </w:t>
            </w:r>
            <w:r w:rsidRPr="00DC3961">
              <w:rPr>
                <w:rFonts w:cs="Calibri Light"/>
                <w:sz w:val="20"/>
                <w:szCs w:val="20"/>
              </w:rPr>
              <w:t xml:space="preserve"> Prospectuses relating to interests in oil and gas programs. </w:t>
            </w:r>
          </w:p>
          <w:p w14:paraId="6411047A" w14:textId="77777777" w:rsidR="00E36100" w:rsidRPr="00DC3961" w:rsidRDefault="00E36100" w:rsidP="00337D87">
            <w:pPr>
              <w:pStyle w:val="level2"/>
              <w:tabs>
                <w:tab w:val="clear" w:pos="576"/>
                <w:tab w:val="clear" w:pos="1152"/>
              </w:tabs>
              <w:spacing w:line="240" w:lineRule="atLeast"/>
              <w:ind w:left="319" w:hanging="319"/>
              <w:rPr>
                <w:rFonts w:cs="Calibri Light"/>
                <w:sz w:val="20"/>
                <w:szCs w:val="20"/>
              </w:rPr>
            </w:pPr>
            <w:r w:rsidRPr="00DC3961">
              <w:rPr>
                <w:rFonts w:cs="Calibri Light"/>
                <w:sz w:val="20"/>
                <w:szCs w:val="20"/>
              </w:rPr>
              <w:t>(e)</w:t>
            </w:r>
            <w:r w:rsidR="003B7051" w:rsidRPr="00DC3961">
              <w:rPr>
                <w:rFonts w:cs="Calibri Light"/>
                <w:sz w:val="20"/>
                <w:szCs w:val="20"/>
              </w:rPr>
              <w:tab/>
            </w:r>
            <w:r w:rsidRPr="00DC3961">
              <w:rPr>
                <w:rFonts w:cs="Calibri Light"/>
                <w:sz w:val="20"/>
                <w:szCs w:val="20"/>
              </w:rPr>
              <w:t xml:space="preserve">Guide 5. </w:t>
            </w:r>
            <w:r w:rsidR="00DA48C9" w:rsidRPr="00DC3961">
              <w:rPr>
                <w:rFonts w:cs="Calibri Light"/>
                <w:sz w:val="20"/>
                <w:szCs w:val="20"/>
              </w:rPr>
              <w:t xml:space="preserve"> </w:t>
            </w:r>
            <w:r w:rsidRPr="00DC3961">
              <w:rPr>
                <w:rFonts w:cs="Calibri Light"/>
                <w:sz w:val="20"/>
                <w:szCs w:val="20"/>
              </w:rPr>
              <w:t xml:space="preserve">Preparation of registration statements relating to interests in real estate limited partnerships. </w:t>
            </w:r>
          </w:p>
          <w:p w14:paraId="3584491D" w14:textId="389FF6CE" w:rsidR="00E36100" w:rsidRPr="00DC3961" w:rsidRDefault="00E36100" w:rsidP="00E473C2">
            <w:pPr>
              <w:pStyle w:val="level2"/>
              <w:tabs>
                <w:tab w:val="clear" w:pos="576"/>
                <w:tab w:val="clear" w:pos="1152"/>
              </w:tabs>
              <w:spacing w:line="240" w:lineRule="atLeast"/>
              <w:ind w:left="319" w:hanging="319"/>
              <w:rPr>
                <w:rFonts w:cs="Calibri Light"/>
                <w:sz w:val="20"/>
                <w:szCs w:val="20"/>
              </w:rPr>
            </w:pPr>
            <w:r w:rsidRPr="00DC3961">
              <w:rPr>
                <w:rFonts w:cs="Calibri Light"/>
                <w:sz w:val="20"/>
                <w:szCs w:val="20"/>
              </w:rPr>
              <w:t>(f)</w:t>
            </w:r>
            <w:r w:rsidR="003B7051" w:rsidRPr="00DC3961">
              <w:rPr>
                <w:rFonts w:cs="Calibri Light"/>
                <w:sz w:val="20"/>
                <w:szCs w:val="20"/>
              </w:rPr>
              <w:tab/>
            </w:r>
            <w:r w:rsidRPr="00DC3961">
              <w:rPr>
                <w:rFonts w:cs="Calibri Light"/>
                <w:sz w:val="20"/>
                <w:szCs w:val="20"/>
              </w:rPr>
              <w:t xml:space="preserve">Guide 6. </w:t>
            </w:r>
            <w:r w:rsidR="00DA48C9" w:rsidRPr="00DC3961">
              <w:rPr>
                <w:rFonts w:cs="Calibri Light"/>
                <w:sz w:val="20"/>
                <w:szCs w:val="20"/>
              </w:rPr>
              <w:t xml:space="preserve"> </w:t>
            </w:r>
            <w:r w:rsidRPr="00DC3961">
              <w:rPr>
                <w:rFonts w:cs="Calibri Light"/>
                <w:sz w:val="20"/>
                <w:szCs w:val="20"/>
              </w:rPr>
              <w:t xml:space="preserve">Disclosures concerning unpaid claims and claim adjustment expenses of property-casualty underwriters.  </w:t>
            </w:r>
          </w:p>
        </w:tc>
        <w:tc>
          <w:tcPr>
            <w:tcW w:w="1530" w:type="dxa"/>
            <w:tcBorders>
              <w:top w:val="single" w:sz="4" w:space="0" w:color="auto"/>
            </w:tcBorders>
            <w:vAlign w:val="bottom"/>
          </w:tcPr>
          <w:p w14:paraId="2EF5B37B" w14:textId="77777777" w:rsidR="00E36100" w:rsidRPr="00DC3961" w:rsidRDefault="00E36100" w:rsidP="00425921">
            <w:pPr>
              <w:pStyle w:val="levela"/>
              <w:spacing w:before="120" w:line="240" w:lineRule="atLeast"/>
              <w:jc w:val="center"/>
              <w:rPr>
                <w:rFonts w:cs="Calibri Light"/>
                <w:b/>
                <w:sz w:val="20"/>
                <w:szCs w:val="20"/>
              </w:rPr>
            </w:pPr>
          </w:p>
        </w:tc>
        <w:tc>
          <w:tcPr>
            <w:tcW w:w="270" w:type="dxa"/>
            <w:vAlign w:val="bottom"/>
          </w:tcPr>
          <w:p w14:paraId="22F33646" w14:textId="77777777" w:rsidR="00E36100" w:rsidRPr="00DC3961" w:rsidRDefault="00E36100" w:rsidP="00425921">
            <w:pPr>
              <w:pStyle w:val="levela"/>
              <w:spacing w:before="120" w:line="240" w:lineRule="atLeast"/>
              <w:jc w:val="center"/>
              <w:rPr>
                <w:rFonts w:cs="Calibri Light"/>
                <w:b/>
                <w:sz w:val="20"/>
                <w:szCs w:val="20"/>
              </w:rPr>
            </w:pPr>
          </w:p>
        </w:tc>
        <w:tc>
          <w:tcPr>
            <w:tcW w:w="1260" w:type="dxa"/>
            <w:tcBorders>
              <w:top w:val="single" w:sz="4" w:space="0" w:color="auto"/>
            </w:tcBorders>
            <w:vAlign w:val="bottom"/>
          </w:tcPr>
          <w:p w14:paraId="6775E4EF" w14:textId="77777777" w:rsidR="00E36100" w:rsidRPr="00DC3961" w:rsidRDefault="00E36100" w:rsidP="00425921">
            <w:pPr>
              <w:pStyle w:val="levela"/>
              <w:spacing w:before="120" w:line="240" w:lineRule="atLeast"/>
              <w:jc w:val="center"/>
              <w:rPr>
                <w:rFonts w:cs="Calibri Light"/>
                <w:b/>
                <w:sz w:val="20"/>
                <w:szCs w:val="20"/>
              </w:rPr>
            </w:pPr>
          </w:p>
        </w:tc>
      </w:tr>
    </w:tbl>
    <w:p w14:paraId="21197D7F" w14:textId="1D4ADA9A" w:rsidR="007F09EC" w:rsidRDefault="007F09EC" w:rsidP="00425921">
      <w:pPr>
        <w:pStyle w:val="standard"/>
        <w:spacing w:before="0" w:line="240" w:lineRule="atLeast"/>
        <w:rPr>
          <w:rFonts w:cs="Calibri Light"/>
          <w:sz w:val="20"/>
          <w:szCs w:val="20"/>
          <w:lang w:eastAsia="zh-CN"/>
        </w:rPr>
      </w:pPr>
      <w:bookmarkStart w:id="59" w:name="item900"/>
      <w:bookmarkStart w:id="60" w:name="item1000"/>
      <w:bookmarkStart w:id="61" w:name="item1100"/>
      <w:bookmarkStart w:id="62" w:name="_Test_for_S-X"/>
      <w:bookmarkStart w:id="63" w:name="_Test_for_S-X_1"/>
      <w:bookmarkStart w:id="64" w:name="_Test_for_S-X_2"/>
      <w:bookmarkStart w:id="65" w:name="_Test_for_S-X_3"/>
      <w:bookmarkStart w:id="66" w:name="_Test_for_S-X_5"/>
      <w:bookmarkStart w:id="67" w:name="_Test_for_S-X_4"/>
      <w:bookmarkStart w:id="68" w:name="G"/>
      <w:bookmarkStart w:id="69" w:name="_Test_for_S-K"/>
      <w:bookmarkStart w:id="70" w:name="_S-K_Item_503(d)—Worksheet"/>
      <w:bookmarkEnd w:id="59"/>
      <w:bookmarkEnd w:id="60"/>
      <w:bookmarkEnd w:id="61"/>
      <w:bookmarkEnd w:id="62"/>
      <w:bookmarkEnd w:id="63"/>
      <w:bookmarkEnd w:id="64"/>
      <w:bookmarkEnd w:id="65"/>
      <w:bookmarkEnd w:id="66"/>
      <w:bookmarkEnd w:id="67"/>
      <w:bookmarkEnd w:id="68"/>
      <w:bookmarkEnd w:id="69"/>
      <w:bookmarkEnd w:id="70"/>
    </w:p>
    <w:p w14:paraId="5BB10389" w14:textId="77777777" w:rsidR="007F09EC" w:rsidRDefault="007F09EC">
      <w:pPr>
        <w:rPr>
          <w:rFonts w:cs="Calibri Light"/>
          <w:sz w:val="20"/>
          <w:szCs w:val="20"/>
          <w:lang w:eastAsia="zh-CN"/>
        </w:rPr>
      </w:pPr>
      <w:r>
        <w:rPr>
          <w:rFonts w:cs="Calibri Light"/>
          <w:sz w:val="20"/>
          <w:szCs w:val="20"/>
          <w:lang w:eastAsia="zh-CN"/>
        </w:rPr>
        <w:br w:type="page"/>
      </w:r>
    </w:p>
    <w:bookmarkStart w:id="71" w:name="_MON_1701513469"/>
    <w:bookmarkEnd w:id="71"/>
    <w:p w14:paraId="4079D771" w14:textId="22E11AA9" w:rsidR="00362800" w:rsidRPr="00430F08" w:rsidRDefault="004F6025" w:rsidP="00425921">
      <w:pPr>
        <w:pStyle w:val="standard"/>
        <w:spacing w:before="0" w:line="240" w:lineRule="atLeast"/>
        <w:rPr>
          <w:rFonts w:cs="Calibri Light"/>
          <w:sz w:val="20"/>
          <w:szCs w:val="20"/>
          <w:lang w:eastAsia="zh-CN"/>
        </w:rPr>
      </w:pPr>
      <w:r>
        <w:rPr>
          <w:rFonts w:cs="Calibri Light"/>
          <w:sz w:val="20"/>
          <w:szCs w:val="20"/>
          <w:lang w:eastAsia="zh-CN"/>
        </w:rPr>
        <w:object w:dxaOrig="9360" w:dyaOrig="12900" w14:anchorId="60541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pt;height:645.3pt" o:ole="">
            <v:imagedata r:id="rId50" o:title=""/>
          </v:shape>
          <o:OLEObject Type="Embed" ProgID="Word.Document.12" ShapeID="_x0000_i1025" DrawAspect="Content" ObjectID="_1732619232" r:id="rId51">
            <o:FieldCodes>\s</o:FieldCodes>
          </o:OLEObject>
        </w:object>
      </w:r>
    </w:p>
    <w:sectPr w:rsidR="00362800" w:rsidRPr="00430F08" w:rsidSect="00425921">
      <w:headerReference w:type="default" r:id="rId52"/>
      <w:footnotePr>
        <w:numRestart w:val="eachSect"/>
      </w:footnotePr>
      <w:endnotePr>
        <w:numFmt w:val="decimal"/>
      </w:endnotePr>
      <w:pgSz w:w="12240" w:h="15840"/>
      <w:pgMar w:top="1440" w:right="1440" w:bottom="1440" w:left="1440" w:header="432" w:footer="432"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900F" w14:textId="77777777" w:rsidR="00130B3D" w:rsidRDefault="00130B3D">
      <w:r>
        <w:separator/>
      </w:r>
    </w:p>
  </w:endnote>
  <w:endnote w:type="continuationSeparator" w:id="0">
    <w:p w14:paraId="7303606F" w14:textId="77777777" w:rsidR="00130B3D" w:rsidRDefault="00130B3D">
      <w:r>
        <w:continuationSeparator/>
      </w:r>
    </w:p>
  </w:endnote>
  <w:endnote w:type="continuationNotice" w:id="1">
    <w:p w14:paraId="44945C84" w14:textId="77777777" w:rsidR="00130B3D" w:rsidRDefault="00130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Pro-Ligh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panose1 w:val="020B03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3D03" w14:textId="77777777" w:rsidR="00AE14EC" w:rsidRDefault="00AE1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F49F" w14:textId="17437DD9" w:rsidR="001C0D30" w:rsidRPr="00430F08" w:rsidRDefault="001C0D30">
    <w:pPr>
      <w:pStyle w:val="Footer"/>
      <w:jc w:val="center"/>
      <w:rPr>
        <w:rFonts w:cs="Calibri Light"/>
        <w:sz w:val="16"/>
        <w:szCs w:val="16"/>
      </w:rPr>
    </w:pPr>
    <w:r w:rsidRPr="00430F08">
      <w:rPr>
        <w:rFonts w:cs="Calibri Light"/>
        <w:sz w:val="16"/>
        <w:szCs w:val="16"/>
      </w:rPr>
      <w:fldChar w:fldCharType="begin"/>
    </w:r>
    <w:r w:rsidRPr="00430F08">
      <w:rPr>
        <w:rFonts w:cs="Calibri Light"/>
        <w:sz w:val="16"/>
        <w:szCs w:val="16"/>
      </w:rPr>
      <w:instrText>PAGE</w:instrText>
    </w:r>
    <w:r w:rsidRPr="00430F08">
      <w:rPr>
        <w:rFonts w:cs="Calibri Light"/>
        <w:sz w:val="16"/>
        <w:szCs w:val="16"/>
      </w:rPr>
      <w:fldChar w:fldCharType="separate"/>
    </w:r>
    <w:r w:rsidRPr="00430F08">
      <w:rPr>
        <w:rFonts w:cs="Calibri Light"/>
        <w:noProof/>
        <w:sz w:val="16"/>
        <w:szCs w:val="16"/>
      </w:rPr>
      <w:t>7</w:t>
    </w:r>
    <w:r w:rsidRPr="00430F08">
      <w:rPr>
        <w:rFonts w:cs="Calibri Light"/>
        <w:noProof/>
        <w:sz w:val="16"/>
        <w:szCs w:val="16"/>
      </w:rPr>
      <w:t>2</w:t>
    </w:r>
    <w:r w:rsidRPr="00430F08">
      <w:rPr>
        <w:rFonts w:cs="Calibri Light"/>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9903" w14:textId="77777777" w:rsidR="001C0D30" w:rsidRDefault="001C0D30">
    <w:pPr>
      <w:pStyle w:val="Footer"/>
      <w:tabs>
        <w:tab w:val="center" w:pos="44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C41F" w14:textId="77777777" w:rsidR="00130B3D" w:rsidRDefault="00130B3D">
      <w:r>
        <w:separator/>
      </w:r>
    </w:p>
  </w:footnote>
  <w:footnote w:type="continuationSeparator" w:id="0">
    <w:p w14:paraId="14E6D1D6" w14:textId="77777777" w:rsidR="00130B3D" w:rsidRDefault="00130B3D">
      <w:r>
        <w:continuationSeparator/>
      </w:r>
    </w:p>
  </w:footnote>
  <w:footnote w:type="continuationNotice" w:id="1">
    <w:p w14:paraId="5EDECE5F" w14:textId="77777777" w:rsidR="00130B3D" w:rsidRDefault="00130B3D"/>
  </w:footnote>
  <w:footnote w:id="2">
    <w:p w14:paraId="265D8606" w14:textId="7951B076" w:rsidR="0066089E" w:rsidRPr="004366D5" w:rsidRDefault="0066089E" w:rsidP="00925085">
      <w:pPr>
        <w:pStyle w:val="FootnoteText"/>
        <w:spacing w:after="120"/>
        <w:ind w:left="360" w:hanging="360"/>
        <w:rPr>
          <w:lang w:val="en-US"/>
        </w:rPr>
      </w:pPr>
      <w:r w:rsidRPr="00925085">
        <w:rPr>
          <w:rStyle w:val="FootnoteReference"/>
          <w:rFonts w:cs="Calibri Light"/>
          <w:szCs w:val="16"/>
          <w:vertAlign w:val="baseline"/>
        </w:rPr>
        <w:footnoteRef/>
      </w:r>
      <w:r w:rsidRPr="004366D5">
        <w:rPr>
          <w:rStyle w:val="FootnoteReference"/>
          <w:rFonts w:cs="Calibri Light"/>
          <w:szCs w:val="16"/>
          <w:vertAlign w:val="baseline"/>
        </w:rPr>
        <w:t xml:space="preserve"> </w:t>
      </w:r>
      <w:r w:rsidR="00D71FFF" w:rsidRPr="004366D5">
        <w:rPr>
          <w:rStyle w:val="FootnoteReference"/>
          <w:vertAlign w:val="baseline"/>
        </w:rPr>
        <w:tab/>
      </w:r>
      <w:r w:rsidR="00D71FFF" w:rsidRPr="002375BD">
        <w:rPr>
          <w:rStyle w:val="FootnoteReference"/>
          <w:rFonts w:cs="Calibri Light"/>
          <w:szCs w:val="16"/>
          <w:vertAlign w:val="baseline"/>
        </w:rPr>
        <w:t>E</w:t>
      </w:r>
      <w:bookmarkStart w:id="8" w:name="note_1"/>
      <w:bookmarkEnd w:id="8"/>
      <w:r w:rsidR="00D71FFF" w:rsidRPr="002375BD">
        <w:rPr>
          <w:rStyle w:val="FootnoteReference"/>
          <w:rFonts w:cs="Calibri Light"/>
          <w:szCs w:val="16"/>
          <w:vertAlign w:val="baseline"/>
        </w:rPr>
        <w:t xml:space="preserve">ffective September 20, 2022, the gross revenue amount used to determine EGC status was adjusted to $1,235,430. See </w:t>
      </w:r>
      <w:hyperlink r:id="rId1" w:history="1">
        <w:r w:rsidR="00D71FFF" w:rsidRPr="00925085">
          <w:rPr>
            <w:rStyle w:val="Hyperlink"/>
          </w:rPr>
          <w:t xml:space="preserve">Inflation Adjustments Under Titles I </w:t>
        </w:r>
        <w:r w:rsidR="00D71FFF" w:rsidRPr="004366D5">
          <w:rPr>
            <w:rStyle w:val="FootnoteReference"/>
            <w:rFonts w:cs="Calibri Light"/>
            <w:szCs w:val="16"/>
            <w:vertAlign w:val="baseline"/>
          </w:rPr>
          <w:t>and III of the JOBS Act</w:t>
        </w:r>
        <w:r w:rsidR="00D71FFF" w:rsidRPr="002375BD">
          <w:rPr>
            <w:rStyle w:val="FootnoteReference"/>
            <w:rFonts w:cs="Calibri Light"/>
            <w:szCs w:val="16"/>
            <w:vertAlign w:val="baseline"/>
          </w:rPr>
          <w:t xml:space="preserve"> (33</w:t>
        </w:r>
        <w:r w:rsidR="00D71FFF" w:rsidRPr="004366D5">
          <w:rPr>
            <w:rStyle w:val="FootnoteReference"/>
            <w:vertAlign w:val="baseline"/>
          </w:rPr>
          <w:t>-</w:t>
        </w:r>
        <w:r w:rsidR="00D71FFF" w:rsidRPr="002375BD">
          <w:rPr>
            <w:rStyle w:val="FootnoteReference"/>
            <w:rFonts w:cs="Calibri Light"/>
            <w:szCs w:val="16"/>
            <w:vertAlign w:val="baseline"/>
          </w:rPr>
          <w:t>11098)</w:t>
        </w:r>
      </w:hyperlink>
      <w:r w:rsidR="00D71FFF" w:rsidRPr="002375BD">
        <w:rPr>
          <w:rStyle w:val="FootnoteReference"/>
          <w:rFonts w:cs="Calibri Light"/>
          <w:szCs w:val="16"/>
          <w:vertAlign w:val="baseline"/>
        </w:rPr>
        <w:t>.</w:t>
      </w:r>
    </w:p>
  </w:footnote>
  <w:footnote w:id="3">
    <w:p w14:paraId="7FBE1F68" w14:textId="66087704" w:rsidR="001C0D30" w:rsidRPr="00E0343F" w:rsidRDefault="001C0D30" w:rsidP="00E0343F">
      <w:pPr>
        <w:pStyle w:val="FootnoteText"/>
        <w:ind w:left="360" w:hanging="360"/>
        <w:rPr>
          <w:rFonts w:cs="Calibri Light"/>
          <w:szCs w:val="16"/>
          <w:lang w:val="en-US"/>
        </w:rPr>
      </w:pPr>
      <w:r w:rsidRPr="00E0343F">
        <w:rPr>
          <w:rStyle w:val="FootnoteReference"/>
          <w:rFonts w:cs="Calibri Light"/>
          <w:szCs w:val="16"/>
          <w:vertAlign w:val="baseline"/>
        </w:rPr>
        <w:footnoteRef/>
      </w:r>
      <w:r w:rsidRPr="00E0343F">
        <w:rPr>
          <w:rFonts w:cs="Calibri Light"/>
          <w:szCs w:val="16"/>
        </w:rPr>
        <w:t xml:space="preserve"> </w:t>
      </w:r>
      <w:r w:rsidRPr="00E0343F">
        <w:rPr>
          <w:rFonts w:cs="Calibri Light"/>
          <w:szCs w:val="16"/>
          <w:lang w:val="en-US"/>
        </w:rPr>
        <w:tab/>
      </w:r>
      <w:r w:rsidRPr="00E0343F">
        <w:rPr>
          <w:rFonts w:cs="Calibri Light"/>
          <w:szCs w:val="16"/>
          <w:shd w:val="clear" w:color="auto" w:fill="FFFFFF"/>
        </w:rPr>
        <w:t xml:space="preserve">This accommodation is limited to an IPO of common equity. As the SEC clarifies in paragraph 10220.1 of the FRM, an entity will generally need to include three years of audited financial statements when </w:t>
      </w:r>
      <w:r w:rsidR="00CB1E42">
        <w:rPr>
          <w:rFonts w:cs="Calibri Light"/>
          <w:szCs w:val="16"/>
          <w:shd w:val="clear" w:color="auto" w:fill="FFFFFF"/>
        </w:rPr>
        <w:t>doing</w:t>
      </w:r>
      <w:r w:rsidRPr="00E0343F">
        <w:rPr>
          <w:rFonts w:cs="Calibri Light"/>
          <w:szCs w:val="16"/>
          <w:shd w:val="clear" w:color="auto" w:fill="FFFFFF"/>
        </w:rPr>
        <w:t xml:space="preserve"> an IPO of debt securities or filing an Exchange Act registration statement, such as a Form 10, to register securities</w:t>
      </w:r>
      <w:r>
        <w:rPr>
          <w:rFonts w:cs="Calibri Light"/>
          <w:szCs w:val="16"/>
          <w:shd w:val="clear" w:color="auto" w:fill="FFFFFF"/>
        </w:rPr>
        <w:t>.</w:t>
      </w:r>
    </w:p>
  </w:footnote>
  <w:footnote w:id="4">
    <w:p w14:paraId="5A4A3155" w14:textId="5F805EDD" w:rsidR="00944BBB" w:rsidRPr="00A20C0F" w:rsidRDefault="00944BBB" w:rsidP="00925085">
      <w:pPr>
        <w:pStyle w:val="FootnoteText"/>
        <w:tabs>
          <w:tab w:val="left" w:pos="450"/>
        </w:tabs>
        <w:rPr>
          <w:lang w:val="en-US"/>
        </w:rPr>
      </w:pPr>
      <w:r w:rsidRPr="00925085">
        <w:rPr>
          <w:rStyle w:val="FootnoteReference"/>
          <w:vertAlign w:val="baseline"/>
        </w:rPr>
        <w:footnoteRef/>
      </w:r>
      <w:r>
        <w:t xml:space="preserve"> </w:t>
      </w:r>
      <w:r>
        <w:tab/>
      </w:r>
      <w:r w:rsidRPr="00112B66">
        <w:t>T</w:t>
      </w:r>
      <w:r>
        <w:t>his</w:t>
      </w:r>
      <w:r w:rsidRPr="00112B66">
        <w:t xml:space="preserve"> </w:t>
      </w:r>
      <w:r>
        <w:t>checklist</w:t>
      </w:r>
      <w:r w:rsidRPr="00112B66">
        <w:t xml:space="preserve"> </w:t>
      </w:r>
      <w:r>
        <w:t>is</w:t>
      </w:r>
      <w:r w:rsidRPr="00112B66">
        <w:t xml:space="preserve"> </w:t>
      </w:r>
      <w:r>
        <w:t>not</w:t>
      </w:r>
      <w:r w:rsidRPr="00112B66">
        <w:t xml:space="preserve"> </w:t>
      </w:r>
      <w:r>
        <w:t>intended to address the reporting requirements within these Regulation S-K sections.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517F" w14:textId="77777777" w:rsidR="00AE14EC" w:rsidRDefault="00AE1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1163" w14:textId="5D367A32" w:rsidR="001C0D30" w:rsidRPr="00816B89" w:rsidRDefault="001C0D30" w:rsidP="00E4735E">
    <w:pPr>
      <w:pStyle w:val="Header"/>
      <w:jc w:val="right"/>
      <w:rPr>
        <w:rFonts w:cs="Calibri Light"/>
      </w:rPr>
    </w:pPr>
    <w:r>
      <w:rPr>
        <w:rFonts w:cs="Calibri Light"/>
        <w:sz w:val="16"/>
      </w:rPr>
      <w:t>SEC Compliance Checklist -- General</w:t>
    </w:r>
    <w:r w:rsidRPr="00816B89">
      <w:rPr>
        <w:rFonts w:cs="Calibri Light"/>
        <w:sz w:val="16"/>
      </w:rPr>
      <w:t xml:space="preserve"> (1</w:t>
    </w:r>
    <w:r>
      <w:rPr>
        <w:rFonts w:cs="Calibri Light"/>
        <w:sz w:val="16"/>
      </w:rPr>
      <w:t>2</w:t>
    </w:r>
    <w:r w:rsidRPr="00816B89">
      <w:rPr>
        <w:rFonts w:cs="Calibri Light"/>
        <w:sz w:val="16"/>
      </w:rPr>
      <w:t>-2</w:t>
    </w:r>
    <w:r w:rsidR="004F6025">
      <w:rPr>
        <w:rFonts w:cs="Calibri Light"/>
        <w:sz w:val="16"/>
      </w:rPr>
      <w:t>2</w:t>
    </w:r>
    <w:r w:rsidRPr="00816B89">
      <w:rPr>
        <w:rFonts w:cs="Calibri Light"/>
        <w:sz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97FE" w14:textId="77D06859" w:rsidR="001C0D30" w:rsidRPr="00425921" w:rsidRDefault="001C0D30" w:rsidP="008F2C09">
    <w:pPr>
      <w:pStyle w:val="Header"/>
      <w:rPr>
        <w:rFonts w:cs="Calibri Light"/>
        <w:sz w:val="16"/>
      </w:rPr>
    </w:pPr>
    <w:r>
      <w:rPr>
        <w:iCs/>
        <w:noProof/>
        <w:sz w:val="18"/>
        <w:szCs w:val="18"/>
      </w:rPr>
      <w:drawing>
        <wp:inline distT="0" distB="0" distL="0" distR="0" wp14:anchorId="49ECE3A5" wp14:editId="1FE60397">
          <wp:extent cx="1390911" cy="26035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DeloitteLogo.tif"/>
                  <pic:cNvPicPr/>
                </pic:nvPicPr>
                <pic:blipFill>
                  <a:blip r:embed="rId1">
                    <a:extLst>
                      <a:ext uri="{28A0092B-C50C-407E-A947-70E740481C1C}">
                        <a14:useLocalDpi xmlns:a14="http://schemas.microsoft.com/office/drawing/2010/main" val="0"/>
                      </a:ext>
                    </a:extLst>
                  </a:blip>
                  <a:stretch>
                    <a:fillRect/>
                  </a:stretch>
                </pic:blipFill>
                <pic:spPr>
                  <a:xfrm>
                    <a:off x="0" y="0"/>
                    <a:ext cx="1406669" cy="263300"/>
                  </a:xfrm>
                  <a:prstGeom prst="rect">
                    <a:avLst/>
                  </a:prstGeom>
                </pic:spPr>
              </pic:pic>
            </a:graphicData>
          </a:graphic>
        </wp:inline>
      </w:drawing>
    </w:r>
    <w:r>
      <w:rPr>
        <w:rFonts w:ascii="Verdana" w:hAnsi="Verdana"/>
        <w:sz w:val="16"/>
      </w:rPr>
      <w:tab/>
    </w:r>
    <w:r w:rsidRPr="00425921">
      <w:rPr>
        <w:rFonts w:cs="Calibri Light"/>
        <w:sz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9E23" w14:textId="67DF516D" w:rsidR="001C0D30" w:rsidRPr="00430F08" w:rsidRDefault="001C0D30" w:rsidP="00A643AE">
    <w:pPr>
      <w:pStyle w:val="Header"/>
      <w:jc w:val="right"/>
      <w:rPr>
        <w:rFonts w:cs="Calibri Light"/>
      </w:rPr>
    </w:pPr>
    <w:r>
      <w:rPr>
        <w:rFonts w:cs="Calibri Light"/>
        <w:sz w:val="16"/>
      </w:rPr>
      <w:t>SEC Compliance Checklist -- General</w:t>
    </w:r>
    <w:r w:rsidRPr="00816B89">
      <w:rPr>
        <w:rFonts w:cs="Calibri Light"/>
        <w:sz w:val="16"/>
      </w:rPr>
      <w:t xml:space="preserve"> (1</w:t>
    </w:r>
    <w:r>
      <w:rPr>
        <w:rFonts w:cs="Calibri Light"/>
        <w:sz w:val="16"/>
      </w:rPr>
      <w:t>2</w:t>
    </w:r>
    <w:r w:rsidRPr="00816B89">
      <w:rPr>
        <w:rFonts w:cs="Calibri Light"/>
        <w:sz w:val="16"/>
      </w:rPr>
      <w:t>-2</w:t>
    </w:r>
    <w:r w:rsidR="008D05F3">
      <w:rPr>
        <w:rFonts w:cs="Calibri Light"/>
        <w:sz w:val="16"/>
      </w:rPr>
      <w:t>2</w:t>
    </w:r>
    <w:r w:rsidRPr="00816B89">
      <w:rPr>
        <w:rFonts w:cs="Calibri Light"/>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DEE4AC"/>
    <w:multiLevelType w:val="hybridMultilevel"/>
    <w:tmpl w:val="5F8635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D3660E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48A1A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A60AB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9D4292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71F0A4E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98E782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55E234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A9AD624"/>
    <w:lvl w:ilvl="0">
      <w:start w:val="1"/>
      <w:numFmt w:val="bullet"/>
      <w:pStyle w:val="ListBullet2"/>
      <w:lvlText w:val="‒"/>
      <w:lvlJc w:val="left"/>
      <w:pPr>
        <w:ind w:left="587" w:hanging="360"/>
      </w:pPr>
      <w:rPr>
        <w:rFonts w:ascii="Calibri" w:hAnsi="Calibri" w:hint="default"/>
      </w:rPr>
    </w:lvl>
  </w:abstractNum>
  <w:abstractNum w:abstractNumId="9"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6AAA80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105A7"/>
    <w:multiLevelType w:val="hybridMultilevel"/>
    <w:tmpl w:val="218EA47E"/>
    <w:lvl w:ilvl="0" w:tplc="9D14847C">
      <w:numFmt w:val="bullet"/>
      <w:lvlText w:val="•"/>
      <w:lvlJc w:val="left"/>
      <w:pPr>
        <w:ind w:left="720" w:hanging="360"/>
      </w:pPr>
      <w:rPr>
        <w:rFonts w:ascii="Calibri Light" w:eastAsia="Times New Roman" w:hAnsi="Calibri Light" w:cs="Open San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0C5A99"/>
    <w:multiLevelType w:val="hybridMultilevel"/>
    <w:tmpl w:val="E0326A5C"/>
    <w:lvl w:ilvl="0" w:tplc="04090019">
      <w:start w:val="1"/>
      <w:numFmt w:val="lowerLetter"/>
      <w:lvlText w:val="%1."/>
      <w:lvlJc w:val="left"/>
      <w:pPr>
        <w:ind w:left="1440" w:hanging="360"/>
      </w:pPr>
    </w:lvl>
    <w:lvl w:ilvl="1" w:tplc="CB5E903C">
      <w:start w:val="1"/>
      <w:numFmt w:val="lowerLetter"/>
      <w:pStyle w:val="DFORM2020INDENTEDlowerAlphaLVL3"/>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2180643"/>
    <w:multiLevelType w:val="hybridMultilevel"/>
    <w:tmpl w:val="289436BC"/>
    <w:lvl w:ilvl="0" w:tplc="18D26E1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305F5F"/>
    <w:multiLevelType w:val="hybridMultilevel"/>
    <w:tmpl w:val="34DC604E"/>
    <w:lvl w:ilvl="0" w:tplc="0409000B">
      <w:start w:val="1"/>
      <w:numFmt w:val="bullet"/>
      <w:lvlText w:val=""/>
      <w:lvlJc w:val="left"/>
      <w:pPr>
        <w:tabs>
          <w:tab w:val="num" w:pos="780"/>
        </w:tabs>
        <w:ind w:left="780" w:hanging="360"/>
      </w:pPr>
      <w:rPr>
        <w:rFonts w:ascii="Wingdings" w:hAnsi="Wingdings" w:hint="default"/>
      </w:rPr>
    </w:lvl>
    <w:lvl w:ilvl="1" w:tplc="947CF7B8">
      <w:start w:val="1"/>
      <w:numFmt w:val="bullet"/>
      <w:lvlText w:val=""/>
      <w:lvlJc w:val="left"/>
      <w:pPr>
        <w:tabs>
          <w:tab w:val="num" w:pos="1500"/>
        </w:tabs>
        <w:ind w:left="1500" w:hanging="360"/>
      </w:pPr>
      <w:rPr>
        <w:rFonts w:ascii="Wingdings" w:hAnsi="Wingdings" w:hint="default"/>
        <w:b w:val="0"/>
        <w:i w:val="0"/>
        <w:sz w:val="18"/>
        <w:szCs w:val="18"/>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04654591"/>
    <w:multiLevelType w:val="hybridMultilevel"/>
    <w:tmpl w:val="0F22EE42"/>
    <w:lvl w:ilvl="0" w:tplc="401CF24C">
      <w:start w:val="1"/>
      <w:numFmt w:val="decimal"/>
      <w:lvlText w:val="(%1)"/>
      <w:lvlJc w:val="left"/>
      <w:pPr>
        <w:ind w:left="1155"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E97C2B"/>
    <w:multiLevelType w:val="hybridMultilevel"/>
    <w:tmpl w:val="C760260E"/>
    <w:lvl w:ilvl="0" w:tplc="602CCBD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3E57BD"/>
    <w:multiLevelType w:val="hybridMultilevel"/>
    <w:tmpl w:val="DB34E942"/>
    <w:lvl w:ilvl="0" w:tplc="57BAE85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07201052"/>
    <w:multiLevelType w:val="multilevel"/>
    <w:tmpl w:val="C66A6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365F8F"/>
    <w:multiLevelType w:val="hybridMultilevel"/>
    <w:tmpl w:val="4BBCDA80"/>
    <w:lvl w:ilvl="0" w:tplc="C5E2F75C">
      <w:start w:val="1"/>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0" w15:restartNumberingAfterBreak="0">
    <w:nsid w:val="08303A69"/>
    <w:multiLevelType w:val="hybridMultilevel"/>
    <w:tmpl w:val="2960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DE6F1C"/>
    <w:multiLevelType w:val="hybridMultilevel"/>
    <w:tmpl w:val="431CFFA8"/>
    <w:lvl w:ilvl="0" w:tplc="804C5806">
      <w:start w:val="1"/>
      <w:numFmt w:val="lowerLetter"/>
      <w:lvlText w:val="(%1)"/>
      <w:lvlJc w:val="left"/>
      <w:pPr>
        <w:ind w:left="405" w:hanging="360"/>
      </w:pPr>
      <w:rPr>
        <w:rFonts w:hint="default"/>
        <w:b w:val="0"/>
        <w:bCs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0">
    <w:nsid w:val="09215846"/>
    <w:multiLevelType w:val="hybridMultilevel"/>
    <w:tmpl w:val="1C7E686E"/>
    <w:lvl w:ilvl="0" w:tplc="8F5AFCA6">
      <w:start w:val="1"/>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3" w15:restartNumberingAfterBreak="0">
    <w:nsid w:val="0A9D67A8"/>
    <w:multiLevelType w:val="hybridMultilevel"/>
    <w:tmpl w:val="C9123860"/>
    <w:lvl w:ilvl="0" w:tplc="C22EF964">
      <w:start w:val="1"/>
      <w:numFmt w:val="lowerLetter"/>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4" w15:restartNumberingAfterBreak="0">
    <w:nsid w:val="0B1B3334"/>
    <w:multiLevelType w:val="hybridMultilevel"/>
    <w:tmpl w:val="B17C6236"/>
    <w:lvl w:ilvl="0" w:tplc="46A6ADF6">
      <w:start w:val="1"/>
      <w:numFmt w:val="bullet"/>
      <w:pStyle w:val="FORM2020DBULLETLV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5C013B"/>
    <w:multiLevelType w:val="multilevel"/>
    <w:tmpl w:val="C7C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D21F28"/>
    <w:multiLevelType w:val="hybridMultilevel"/>
    <w:tmpl w:val="6928876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C821492"/>
    <w:multiLevelType w:val="hybridMultilevel"/>
    <w:tmpl w:val="19EE4180"/>
    <w:lvl w:ilvl="0" w:tplc="602CCBD0">
      <w:start w:val="1"/>
      <w:numFmt w:val="lowerLetter"/>
      <w:lvlText w:val="%1."/>
      <w:lvlJc w:val="left"/>
      <w:pPr>
        <w:ind w:left="720" w:hanging="360"/>
      </w:pPr>
      <w:rPr>
        <w:b w:val="0"/>
        <w:bCs/>
      </w:rPr>
    </w:lvl>
    <w:lvl w:ilvl="1" w:tplc="4A1EC1BC">
      <w:start w:val="1"/>
      <w:numFmt w:val="lowerRoman"/>
      <w:lvlText w:val="(%2)"/>
      <w:lvlJc w:val="left"/>
      <w:pPr>
        <w:ind w:left="1800" w:hanging="72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364855"/>
    <w:multiLevelType w:val="multilevel"/>
    <w:tmpl w:val="75F6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5E2DDF"/>
    <w:multiLevelType w:val="multilevel"/>
    <w:tmpl w:val="0994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8A4F67"/>
    <w:multiLevelType w:val="hybridMultilevel"/>
    <w:tmpl w:val="D5BE73B6"/>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1" w15:restartNumberingAfterBreak="0">
    <w:nsid w:val="0FB719D8"/>
    <w:multiLevelType w:val="hybridMultilevel"/>
    <w:tmpl w:val="1890A222"/>
    <w:lvl w:ilvl="0" w:tplc="6F14D3C8">
      <w:start w:val="1"/>
      <w:numFmt w:val="decimal"/>
      <w:lvlText w:val="(%1)"/>
      <w:lvlJc w:val="left"/>
      <w:pPr>
        <w:ind w:left="966" w:hanging="390"/>
      </w:pPr>
      <w:rPr>
        <w:rFonts w:hint="default"/>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15:restartNumberingAfterBreak="0">
    <w:nsid w:val="0FE505CB"/>
    <w:multiLevelType w:val="multilevel"/>
    <w:tmpl w:val="DC9C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635DC0"/>
    <w:multiLevelType w:val="hybridMultilevel"/>
    <w:tmpl w:val="C1B82662"/>
    <w:lvl w:ilvl="0" w:tplc="73D6798E">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34" w15:restartNumberingAfterBreak="0">
    <w:nsid w:val="125913F4"/>
    <w:multiLevelType w:val="hybridMultilevel"/>
    <w:tmpl w:val="6764DC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3A0CE1"/>
    <w:multiLevelType w:val="hybridMultilevel"/>
    <w:tmpl w:val="AFB8D7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255119"/>
    <w:multiLevelType w:val="hybridMultilevel"/>
    <w:tmpl w:val="C6AC63AC"/>
    <w:lvl w:ilvl="0" w:tplc="9D14847C">
      <w:numFmt w:val="bullet"/>
      <w:lvlText w:val="•"/>
      <w:lvlJc w:val="left"/>
      <w:pPr>
        <w:ind w:left="720" w:hanging="360"/>
      </w:pPr>
      <w:rPr>
        <w:rFonts w:ascii="Calibri Light" w:eastAsia="Times New Roman" w:hAnsi="Calibri Light"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4051EC"/>
    <w:multiLevelType w:val="hybridMultilevel"/>
    <w:tmpl w:val="3FA8A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F02731"/>
    <w:multiLevelType w:val="multilevel"/>
    <w:tmpl w:val="5F4A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F448AD"/>
    <w:multiLevelType w:val="hybridMultilevel"/>
    <w:tmpl w:val="CB26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8A0A06"/>
    <w:multiLevelType w:val="multilevel"/>
    <w:tmpl w:val="C82A6F2C"/>
    <w:lvl w:ilvl="0">
      <w:start w:val="165"/>
      <w:numFmt w:val="bullet"/>
      <w:lvlText w:val=""/>
      <w:lvlJc w:val="left"/>
      <w:pPr>
        <w:tabs>
          <w:tab w:val="num" w:pos="331"/>
        </w:tabs>
        <w:ind w:left="331" w:hanging="331"/>
      </w:pPr>
      <w:rPr>
        <w:rFonts w:ascii="Wingdings" w:hAnsi="Wingdings" w:hint="default"/>
        <w:sz w:val="18"/>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1" w15:restartNumberingAfterBreak="0">
    <w:nsid w:val="198B3102"/>
    <w:multiLevelType w:val="hybridMultilevel"/>
    <w:tmpl w:val="1DF0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833B87"/>
    <w:multiLevelType w:val="hybridMultilevel"/>
    <w:tmpl w:val="C82A6F2C"/>
    <w:lvl w:ilvl="0" w:tplc="B0DC72BE">
      <w:start w:val="165"/>
      <w:numFmt w:val="bullet"/>
      <w:lvlText w:val=""/>
      <w:lvlJc w:val="left"/>
      <w:pPr>
        <w:tabs>
          <w:tab w:val="num" w:pos="331"/>
        </w:tabs>
        <w:ind w:left="331" w:hanging="331"/>
      </w:pPr>
      <w:rPr>
        <w:rFonts w:ascii="Wingdings" w:hAnsi="Wingdings" w:hint="default"/>
        <w:sz w:val="1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1ACA5F35"/>
    <w:multiLevelType w:val="hybridMultilevel"/>
    <w:tmpl w:val="A0B8434C"/>
    <w:lvl w:ilvl="0" w:tplc="1612F11C">
      <w:start w:val="2"/>
      <w:numFmt w:val="decimal"/>
      <w:lvlText w:val="(%1)"/>
      <w:lvlJc w:val="left"/>
      <w:pPr>
        <w:ind w:left="933" w:hanging="360"/>
      </w:pPr>
      <w:rPr>
        <w:rFonts w:ascii="Calibri Light" w:hAnsi="Calibri Light" w:cs="Calibri Light"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44" w15:restartNumberingAfterBreak="0">
    <w:nsid w:val="1B8452FF"/>
    <w:multiLevelType w:val="hybridMultilevel"/>
    <w:tmpl w:val="8312E1B8"/>
    <w:lvl w:ilvl="0" w:tplc="9D14847C">
      <w:numFmt w:val="bullet"/>
      <w:lvlText w:val="•"/>
      <w:lvlJc w:val="left"/>
      <w:pPr>
        <w:ind w:left="720" w:hanging="360"/>
      </w:pPr>
      <w:rPr>
        <w:rFonts w:ascii="Calibri Light" w:eastAsia="Times New Roman" w:hAnsi="Calibri Light"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C2258B"/>
    <w:multiLevelType w:val="hybridMultilevel"/>
    <w:tmpl w:val="709C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A544DE"/>
    <w:multiLevelType w:val="hybridMultilevel"/>
    <w:tmpl w:val="224AD6E6"/>
    <w:lvl w:ilvl="0" w:tplc="04090019">
      <w:start w:val="1"/>
      <w:numFmt w:val="lowerLetter"/>
      <w:lvlText w:val="%1."/>
      <w:lvlJc w:val="left"/>
      <w:pPr>
        <w:ind w:left="720" w:hanging="360"/>
      </w:pPr>
    </w:lvl>
    <w:lvl w:ilvl="1" w:tplc="E12E3CAC">
      <w:start w:val="1"/>
      <w:numFmt w:val="lowerRoman"/>
      <w:pStyle w:val="FORMLIST2020ALowerRomanLevel2"/>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D029D5"/>
    <w:multiLevelType w:val="multilevel"/>
    <w:tmpl w:val="201427A4"/>
    <w:lvl w:ilvl="0">
      <w:start w:val="1"/>
      <w:numFmt w:val="bullet"/>
      <w:lvlText w:val=""/>
      <w:lvlJc w:val="left"/>
      <w:pPr>
        <w:tabs>
          <w:tab w:val="num" w:pos="936"/>
        </w:tabs>
        <w:ind w:left="936" w:hanging="360"/>
      </w:pPr>
      <w:rPr>
        <w:rFonts w:ascii="Symbol" w:hAnsi="Symbol" w:hint="default"/>
      </w:rPr>
    </w:lvl>
    <w:lvl w:ilvl="1">
      <w:start w:val="1"/>
      <w:numFmt w:val="decimal"/>
      <w:lvlText w:val="%2."/>
      <w:lvlJc w:val="left"/>
      <w:pPr>
        <w:tabs>
          <w:tab w:val="num" w:pos="504"/>
        </w:tabs>
        <w:ind w:left="504" w:hanging="360"/>
      </w:pPr>
    </w:lvl>
    <w:lvl w:ilvl="2">
      <w:start w:val="1"/>
      <w:numFmt w:val="lowerLetter"/>
      <w:lvlText w:val="%3."/>
      <w:lvlJc w:val="left"/>
      <w:pPr>
        <w:tabs>
          <w:tab w:val="num" w:pos="1224"/>
        </w:tabs>
        <w:ind w:left="1224" w:hanging="360"/>
      </w:pPr>
      <w:rPr>
        <w:rFonts w:hint="default"/>
      </w:rPr>
    </w:lvl>
    <w:lvl w:ilvl="3" w:tentative="1">
      <w:start w:val="1"/>
      <w:numFmt w:val="lowerLetter"/>
      <w:lvlText w:val="%4."/>
      <w:lvlJc w:val="left"/>
      <w:pPr>
        <w:tabs>
          <w:tab w:val="num" w:pos="1944"/>
        </w:tabs>
        <w:ind w:left="1944" w:hanging="360"/>
      </w:pPr>
    </w:lvl>
    <w:lvl w:ilvl="4" w:tentative="1">
      <w:start w:val="1"/>
      <w:numFmt w:val="lowerLetter"/>
      <w:lvlText w:val="%5."/>
      <w:lvlJc w:val="left"/>
      <w:pPr>
        <w:tabs>
          <w:tab w:val="num" w:pos="2664"/>
        </w:tabs>
        <w:ind w:left="2664" w:hanging="360"/>
      </w:pPr>
    </w:lvl>
    <w:lvl w:ilvl="5" w:tentative="1">
      <w:start w:val="1"/>
      <w:numFmt w:val="lowerLetter"/>
      <w:lvlText w:val="%6."/>
      <w:lvlJc w:val="left"/>
      <w:pPr>
        <w:tabs>
          <w:tab w:val="num" w:pos="3384"/>
        </w:tabs>
        <w:ind w:left="3384" w:hanging="360"/>
      </w:pPr>
    </w:lvl>
    <w:lvl w:ilvl="6" w:tentative="1">
      <w:start w:val="1"/>
      <w:numFmt w:val="lowerLetter"/>
      <w:lvlText w:val="%7."/>
      <w:lvlJc w:val="left"/>
      <w:pPr>
        <w:tabs>
          <w:tab w:val="num" w:pos="4104"/>
        </w:tabs>
        <w:ind w:left="4104" w:hanging="360"/>
      </w:pPr>
    </w:lvl>
    <w:lvl w:ilvl="7" w:tentative="1">
      <w:start w:val="1"/>
      <w:numFmt w:val="lowerLetter"/>
      <w:lvlText w:val="%8."/>
      <w:lvlJc w:val="left"/>
      <w:pPr>
        <w:tabs>
          <w:tab w:val="num" w:pos="4824"/>
        </w:tabs>
        <w:ind w:left="4824" w:hanging="360"/>
      </w:pPr>
    </w:lvl>
    <w:lvl w:ilvl="8" w:tentative="1">
      <w:start w:val="1"/>
      <w:numFmt w:val="lowerLetter"/>
      <w:lvlText w:val="%9."/>
      <w:lvlJc w:val="left"/>
      <w:pPr>
        <w:tabs>
          <w:tab w:val="num" w:pos="5544"/>
        </w:tabs>
        <w:ind w:left="5544" w:hanging="360"/>
      </w:pPr>
    </w:lvl>
  </w:abstractNum>
  <w:abstractNum w:abstractNumId="48" w15:restartNumberingAfterBreak="0">
    <w:nsid w:val="20521D68"/>
    <w:multiLevelType w:val="hybridMultilevel"/>
    <w:tmpl w:val="F69AF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0B151CC"/>
    <w:multiLevelType w:val="hybridMultilevel"/>
    <w:tmpl w:val="C760260E"/>
    <w:lvl w:ilvl="0" w:tplc="602CCBD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FD71F6"/>
    <w:multiLevelType w:val="hybridMultilevel"/>
    <w:tmpl w:val="726C32E2"/>
    <w:lvl w:ilvl="0" w:tplc="04090001">
      <w:start w:val="1"/>
      <w:numFmt w:val="bullet"/>
      <w:lvlText w:val=""/>
      <w:lvlJc w:val="left"/>
      <w:pPr>
        <w:ind w:left="1146" w:hanging="570"/>
      </w:pPr>
      <w:rPr>
        <w:rFonts w:ascii="Symbol" w:hAnsi="Symbol"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1" w15:restartNumberingAfterBreak="0">
    <w:nsid w:val="235D6179"/>
    <w:multiLevelType w:val="hybridMultilevel"/>
    <w:tmpl w:val="AA98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4C66784"/>
    <w:multiLevelType w:val="hybridMultilevel"/>
    <w:tmpl w:val="C52E28CC"/>
    <w:lvl w:ilvl="0" w:tplc="7886116A">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5446DF3"/>
    <w:multiLevelType w:val="multilevel"/>
    <w:tmpl w:val="C5D62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850F1B"/>
    <w:multiLevelType w:val="multilevel"/>
    <w:tmpl w:val="78A4AEA4"/>
    <w:lvl w:ilvl="0">
      <w:start w:val="1"/>
      <w:numFmt w:val="decimal"/>
      <w:pStyle w:val="FormBullet1"/>
      <w:lvlText w:val="%1."/>
      <w:lvlJc w:val="left"/>
      <w:pPr>
        <w:tabs>
          <w:tab w:val="num" w:pos="720"/>
        </w:tabs>
        <w:ind w:left="720" w:hanging="720"/>
      </w:pPr>
    </w:lvl>
    <w:lvl w:ilvl="1">
      <w:start w:val="1"/>
      <w:numFmt w:val="decimal"/>
      <w:pStyle w:val="FormBullet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263159D8"/>
    <w:multiLevelType w:val="hybridMultilevel"/>
    <w:tmpl w:val="1FD6D462"/>
    <w:lvl w:ilvl="0" w:tplc="BE7AC070">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67F1495"/>
    <w:multiLevelType w:val="hybridMultilevel"/>
    <w:tmpl w:val="78FE463A"/>
    <w:lvl w:ilvl="0" w:tplc="85907C20">
      <w:start w:val="1"/>
      <w:numFmt w:val="lowerRoman"/>
      <w:lvlText w:val="(%1)"/>
      <w:lvlJc w:val="left"/>
      <w:pPr>
        <w:ind w:left="1492" w:hanging="72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57" w15:restartNumberingAfterBreak="0">
    <w:nsid w:val="26A418A9"/>
    <w:multiLevelType w:val="hybridMultilevel"/>
    <w:tmpl w:val="48D6D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1C1C11"/>
    <w:multiLevelType w:val="hybridMultilevel"/>
    <w:tmpl w:val="FB360A80"/>
    <w:lvl w:ilvl="0" w:tplc="86087184">
      <w:start w:val="1"/>
      <w:numFmt w:val="lowerRoman"/>
      <w:lvlText w:val="(%1)"/>
      <w:lvlJc w:val="left"/>
      <w:pPr>
        <w:ind w:left="238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232B98"/>
    <w:multiLevelType w:val="hybridMultilevel"/>
    <w:tmpl w:val="684215C8"/>
    <w:lvl w:ilvl="0" w:tplc="0409000F">
      <w:start w:val="1"/>
      <w:numFmt w:val="decimal"/>
      <w:lvlText w:val="%1."/>
      <w:lvlJc w:val="left"/>
      <w:pPr>
        <w:ind w:left="450"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F50B5E"/>
    <w:multiLevelType w:val="hybridMultilevel"/>
    <w:tmpl w:val="E3C6C13E"/>
    <w:lvl w:ilvl="0" w:tplc="219814A0">
      <w:start w:val="1"/>
      <w:numFmt w:val="decimal"/>
      <w:pStyle w:val="FORMNUMBEREDLIST202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230634"/>
    <w:multiLevelType w:val="hybridMultilevel"/>
    <w:tmpl w:val="C760260E"/>
    <w:lvl w:ilvl="0" w:tplc="602CCBD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1B1771"/>
    <w:multiLevelType w:val="hybridMultilevel"/>
    <w:tmpl w:val="92740B24"/>
    <w:lvl w:ilvl="0" w:tplc="04090019">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AB17C80"/>
    <w:multiLevelType w:val="hybridMultilevel"/>
    <w:tmpl w:val="3EC4480C"/>
    <w:lvl w:ilvl="0" w:tplc="AF7CAA66">
      <w:numFmt w:val="bullet"/>
      <w:lvlText w:val="•"/>
      <w:lvlJc w:val="left"/>
      <w:pPr>
        <w:ind w:left="720" w:hanging="360"/>
      </w:pPr>
      <w:rPr>
        <w:rFonts w:ascii="FrutigerNextPro-Light" w:eastAsia="Times New Roman" w:hAnsi="FrutigerNextPro-Light" w:cs="FrutigerNextPro-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B8540DA"/>
    <w:multiLevelType w:val="hybridMultilevel"/>
    <w:tmpl w:val="2EC487F4"/>
    <w:lvl w:ilvl="0" w:tplc="EE9EDFB8">
      <w:start w:val="1"/>
      <w:numFmt w:val="decimal"/>
      <w:lvlText w:val="(%1)"/>
      <w:lvlJc w:val="left"/>
      <w:pPr>
        <w:ind w:left="862" w:hanging="360"/>
      </w:pPr>
      <w:rPr>
        <w:rFonts w:hint="default"/>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5" w15:restartNumberingAfterBreak="0">
    <w:nsid w:val="2BD36922"/>
    <w:multiLevelType w:val="hybridMultilevel"/>
    <w:tmpl w:val="10A88352"/>
    <w:lvl w:ilvl="0" w:tplc="49DAA930">
      <w:start w:val="1"/>
      <w:numFmt w:val="decimal"/>
      <w:lvlText w:val="(%1)"/>
      <w:lvlJc w:val="left"/>
      <w:pPr>
        <w:ind w:left="1872" w:hanging="360"/>
      </w:pPr>
      <w:rPr>
        <w:rFonts w:hint="default"/>
        <w:vertAlign w:val="baseline"/>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6" w15:restartNumberingAfterBreak="0">
    <w:nsid w:val="2D1B3240"/>
    <w:multiLevelType w:val="hybridMultilevel"/>
    <w:tmpl w:val="1DF0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363531"/>
    <w:multiLevelType w:val="multilevel"/>
    <w:tmpl w:val="C5F2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8C17F5"/>
    <w:multiLevelType w:val="hybridMultilevel"/>
    <w:tmpl w:val="F30006A2"/>
    <w:lvl w:ilvl="0" w:tplc="F6886324">
      <w:start w:val="2"/>
      <w:numFmt w:val="decimal"/>
      <w:lvlText w:val="(%1)"/>
      <w:lvlJc w:val="left"/>
      <w:pPr>
        <w:tabs>
          <w:tab w:val="num" w:pos="1161"/>
        </w:tabs>
        <w:ind w:left="1161" w:hanging="585"/>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69" w15:restartNumberingAfterBreak="0">
    <w:nsid w:val="2DDA47F6"/>
    <w:multiLevelType w:val="hybridMultilevel"/>
    <w:tmpl w:val="C760260E"/>
    <w:lvl w:ilvl="0" w:tplc="602CCBD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E16494E"/>
    <w:multiLevelType w:val="hybridMultilevel"/>
    <w:tmpl w:val="1462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E5C4A2B"/>
    <w:multiLevelType w:val="hybridMultilevel"/>
    <w:tmpl w:val="2444BD20"/>
    <w:lvl w:ilvl="0" w:tplc="0409000B">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7862480">
      <w:start w:val="1"/>
      <w:numFmt w:val="bullet"/>
      <w:lvlText w:val=""/>
      <w:lvlJc w:val="left"/>
      <w:pPr>
        <w:tabs>
          <w:tab w:val="num" w:pos="2220"/>
        </w:tabs>
        <w:ind w:left="2220" w:hanging="360"/>
      </w:pPr>
      <w:rPr>
        <w:rFonts w:ascii="Wingdings" w:hAnsi="Wingdings" w:hint="default"/>
        <w:sz w:val="16"/>
        <w:szCs w:val="16"/>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2" w15:restartNumberingAfterBreak="0">
    <w:nsid w:val="2EBC17A0"/>
    <w:multiLevelType w:val="hybridMultilevel"/>
    <w:tmpl w:val="6938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F55046E"/>
    <w:multiLevelType w:val="hybridMultilevel"/>
    <w:tmpl w:val="EAECFA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1460AF3"/>
    <w:multiLevelType w:val="hybridMultilevel"/>
    <w:tmpl w:val="1DF0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5B1B60"/>
    <w:multiLevelType w:val="hybridMultilevel"/>
    <w:tmpl w:val="34920B18"/>
    <w:lvl w:ilvl="0" w:tplc="44ACD0F0">
      <w:start w:val="1"/>
      <w:numFmt w:val="lowerLetter"/>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6750EB"/>
    <w:multiLevelType w:val="multilevel"/>
    <w:tmpl w:val="291EC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hAnsi="Verdana"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3172BD0"/>
    <w:multiLevelType w:val="hybridMultilevel"/>
    <w:tmpl w:val="1DF0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32C49ED"/>
    <w:multiLevelType w:val="hybridMultilevel"/>
    <w:tmpl w:val="E22AF8AC"/>
    <w:lvl w:ilvl="0" w:tplc="FB245B46">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9" w15:restartNumberingAfterBreak="0">
    <w:nsid w:val="3434778A"/>
    <w:multiLevelType w:val="hybridMultilevel"/>
    <w:tmpl w:val="13FC0C20"/>
    <w:lvl w:ilvl="0" w:tplc="FFFFFFFF">
      <w:start w:val="1"/>
      <w:numFmt w:val="low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80" w15:restartNumberingAfterBreak="0">
    <w:nsid w:val="34525E3F"/>
    <w:multiLevelType w:val="hybridMultilevel"/>
    <w:tmpl w:val="0F22EE42"/>
    <w:lvl w:ilvl="0" w:tplc="401CF24C">
      <w:start w:val="1"/>
      <w:numFmt w:val="decimal"/>
      <w:lvlText w:val="(%1)"/>
      <w:lvlJc w:val="left"/>
      <w:pPr>
        <w:ind w:left="1155"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9646AE2"/>
    <w:multiLevelType w:val="hybridMultilevel"/>
    <w:tmpl w:val="C456B410"/>
    <w:lvl w:ilvl="0" w:tplc="DEBC8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A0E6873"/>
    <w:multiLevelType w:val="hybridMultilevel"/>
    <w:tmpl w:val="67B8691E"/>
    <w:lvl w:ilvl="0" w:tplc="16E23AB4">
      <w:start w:val="1"/>
      <w:numFmt w:val="lowerRoman"/>
      <w:lvlText w:val="(%1)"/>
      <w:lvlJc w:val="left"/>
      <w:pPr>
        <w:ind w:left="1478" w:hanging="75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BA326E6"/>
    <w:multiLevelType w:val="hybridMultilevel"/>
    <w:tmpl w:val="EACE8F96"/>
    <w:lvl w:ilvl="0" w:tplc="9D14847C">
      <w:numFmt w:val="bullet"/>
      <w:lvlText w:val="•"/>
      <w:lvlJc w:val="left"/>
      <w:pPr>
        <w:ind w:left="405" w:hanging="360"/>
      </w:pPr>
      <w:rPr>
        <w:rFonts w:ascii="Calibri Light" w:eastAsia="Times New Roman" w:hAnsi="Calibri Light" w:cs="Open San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4" w15:restartNumberingAfterBreak="0">
    <w:nsid w:val="3BD50D2C"/>
    <w:multiLevelType w:val="hybridMultilevel"/>
    <w:tmpl w:val="F0EACA46"/>
    <w:lvl w:ilvl="0" w:tplc="9D14847C">
      <w:numFmt w:val="bullet"/>
      <w:lvlText w:val="•"/>
      <w:lvlJc w:val="left"/>
      <w:pPr>
        <w:ind w:left="720" w:hanging="360"/>
      </w:pPr>
      <w:rPr>
        <w:rFonts w:ascii="Calibri Light" w:eastAsia="Times New Roman" w:hAnsi="Calibri Light"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CA679F3"/>
    <w:multiLevelType w:val="hybridMultilevel"/>
    <w:tmpl w:val="092AD876"/>
    <w:lvl w:ilvl="0" w:tplc="04090019">
      <w:start w:val="1"/>
      <w:numFmt w:val="lowerLetter"/>
      <w:lvlText w:val="%1."/>
      <w:lvlJc w:val="left"/>
      <w:pPr>
        <w:ind w:left="30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3365E9"/>
    <w:multiLevelType w:val="hybridMultilevel"/>
    <w:tmpl w:val="9FFAC54A"/>
    <w:lvl w:ilvl="0" w:tplc="3FD65EB8">
      <w:start w:val="1"/>
      <w:numFmt w:val="lowerRoman"/>
      <w:lvlText w:val="(%1)"/>
      <w:lvlJc w:val="left"/>
      <w:pPr>
        <w:ind w:left="1872" w:hanging="720"/>
      </w:pPr>
      <w:rPr>
        <w:rFonts w:hint="default"/>
        <w:b w:val="0"/>
      </w:rPr>
    </w:lvl>
    <w:lvl w:ilvl="1" w:tplc="80E65EEA">
      <w:start w:val="1"/>
      <w:numFmt w:val="upperLetter"/>
      <w:lvlText w:val="(%2)"/>
      <w:lvlJc w:val="left"/>
      <w:pPr>
        <w:ind w:left="2307" w:hanging="435"/>
      </w:pPr>
      <w:rPr>
        <w:rFonts w:hint="default"/>
        <w:b w:val="0"/>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7" w15:restartNumberingAfterBreak="0">
    <w:nsid w:val="3E493143"/>
    <w:multiLevelType w:val="hybridMultilevel"/>
    <w:tmpl w:val="4A5AB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9327CC"/>
    <w:multiLevelType w:val="hybridMultilevel"/>
    <w:tmpl w:val="1C7E686E"/>
    <w:lvl w:ilvl="0" w:tplc="8F5AFCA6">
      <w:start w:val="1"/>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89" w15:restartNumberingAfterBreak="0">
    <w:nsid w:val="458954ED"/>
    <w:multiLevelType w:val="hybridMultilevel"/>
    <w:tmpl w:val="8EC0EBCE"/>
    <w:lvl w:ilvl="0" w:tplc="04090019">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6DC28F9"/>
    <w:multiLevelType w:val="hybridMultilevel"/>
    <w:tmpl w:val="45264A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4E162B"/>
    <w:multiLevelType w:val="hybridMultilevel"/>
    <w:tmpl w:val="9DC2B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8A07577"/>
    <w:multiLevelType w:val="hybridMultilevel"/>
    <w:tmpl w:val="F908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9A75A3C"/>
    <w:multiLevelType w:val="hybridMultilevel"/>
    <w:tmpl w:val="E558E6F2"/>
    <w:lvl w:ilvl="0" w:tplc="8E7E21D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A671305"/>
    <w:multiLevelType w:val="hybridMultilevel"/>
    <w:tmpl w:val="8CA4F0F4"/>
    <w:lvl w:ilvl="0" w:tplc="68D2DC8C">
      <w:start w:val="1"/>
      <w:numFmt w:val="lowerLetter"/>
      <w:lvlText w:val="%1."/>
      <w:lvlJc w:val="left"/>
      <w:pPr>
        <w:tabs>
          <w:tab w:val="num" w:pos="288"/>
        </w:tabs>
        <w:ind w:left="360" w:hanging="360"/>
      </w:pPr>
      <w:rPr>
        <w:rFonts w:ascii="Times New Roman" w:hAnsi="Times New Roman" w:hint="default"/>
        <w:b w:val="0"/>
        <w:i w:val="0"/>
        <w:sz w:val="24"/>
        <w:szCs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5" w15:restartNumberingAfterBreak="0">
    <w:nsid w:val="4B983BD2"/>
    <w:multiLevelType w:val="hybridMultilevel"/>
    <w:tmpl w:val="DEDE78F4"/>
    <w:lvl w:ilvl="0" w:tplc="BB3A14B6">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DA2759A"/>
    <w:multiLevelType w:val="hybridMultilevel"/>
    <w:tmpl w:val="27BA933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7" w15:restartNumberingAfterBreak="0">
    <w:nsid w:val="4E2B0111"/>
    <w:multiLevelType w:val="hybridMultilevel"/>
    <w:tmpl w:val="C2B07BEC"/>
    <w:lvl w:ilvl="0" w:tplc="6F3607EC">
      <w:start w:val="2"/>
      <w:numFmt w:val="decimal"/>
      <w:pStyle w:val="D2020FORMLISTNUMs"/>
      <w:lvlText w:val="%1."/>
      <w:lvlJc w:val="left"/>
      <w:pPr>
        <w:ind w:left="720" w:hanging="360"/>
      </w:pPr>
      <w:rPr>
        <w:rFonts w:ascii="Verdana" w:hAnsi="Verdana" w:hint="default"/>
        <w:b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0D4D44"/>
    <w:multiLevelType w:val="hybridMultilevel"/>
    <w:tmpl w:val="1DF0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41A308C"/>
    <w:multiLevelType w:val="hybridMultilevel"/>
    <w:tmpl w:val="03C4DF98"/>
    <w:lvl w:ilvl="0" w:tplc="7F1CFC86">
      <w:start w:val="1"/>
      <w:numFmt w:val="lowerLetter"/>
      <w:pStyle w:val="FORM2020LISTLower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4E944CD"/>
    <w:multiLevelType w:val="hybridMultilevel"/>
    <w:tmpl w:val="F39A2608"/>
    <w:lvl w:ilvl="0" w:tplc="287CA1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4FD40E0"/>
    <w:multiLevelType w:val="hybridMultilevel"/>
    <w:tmpl w:val="D65C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5264BCA"/>
    <w:multiLevelType w:val="hybridMultilevel"/>
    <w:tmpl w:val="1DF0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794C5A"/>
    <w:multiLevelType w:val="hybridMultilevel"/>
    <w:tmpl w:val="7902A1BC"/>
    <w:lvl w:ilvl="0" w:tplc="4824FE12">
      <w:start w:val="1"/>
      <w:numFmt w:val="bullet"/>
      <w:pStyle w:val="DeloitteTableBullet1"/>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58B758D"/>
    <w:multiLevelType w:val="hybridMultilevel"/>
    <w:tmpl w:val="4AFAD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745438A"/>
    <w:multiLevelType w:val="hybridMultilevel"/>
    <w:tmpl w:val="AD2018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C6E253F"/>
    <w:multiLevelType w:val="hybridMultilevel"/>
    <w:tmpl w:val="486E324A"/>
    <w:lvl w:ilvl="0" w:tplc="90685C52">
      <w:start w:val="1"/>
      <w:numFmt w:val="lowerLetter"/>
      <w:lvlText w:val="%1."/>
      <w:lvlJc w:val="left"/>
      <w:pPr>
        <w:ind w:left="450" w:hanging="405"/>
      </w:pPr>
      <w:rPr>
        <w:rFonts w:hint="default"/>
        <w:b w:val="0"/>
      </w:rPr>
    </w:lvl>
    <w:lvl w:ilvl="1" w:tplc="ABC63B5A">
      <w:start w:val="1"/>
      <w:numFmt w:val="decimal"/>
      <w:lvlText w:val="(%2)"/>
      <w:lvlJc w:val="left"/>
      <w:pPr>
        <w:ind w:left="1155" w:hanging="390"/>
      </w:pPr>
      <w:rPr>
        <w:rFonts w:hint="default"/>
        <w:b w:val="0"/>
        <w:i w:val="0"/>
        <w:iCs w:val="0"/>
      </w:rPr>
    </w:lvl>
    <w:lvl w:ilvl="2" w:tplc="86087184">
      <w:start w:val="1"/>
      <w:numFmt w:val="lowerRoman"/>
      <w:lvlText w:val="(%3)"/>
      <w:lvlJc w:val="left"/>
      <w:pPr>
        <w:ind w:left="2385" w:hanging="720"/>
      </w:pPr>
      <w:rPr>
        <w:rFonts w:hint="default"/>
      </w:rPr>
    </w:lvl>
    <w:lvl w:ilvl="3" w:tplc="BB3A14B6">
      <w:start w:val="1"/>
      <w:numFmt w:val="upperLetter"/>
      <w:lvlText w:val="(%4)"/>
      <w:lvlJc w:val="left"/>
      <w:pPr>
        <w:ind w:left="2565" w:hanging="360"/>
      </w:pPr>
      <w:rPr>
        <w:rFonts w:hint="default"/>
      </w:rPr>
    </w:lvl>
    <w:lvl w:ilvl="4" w:tplc="04090019">
      <w:start w:val="1"/>
      <w:numFmt w:val="lowerLetter"/>
      <w:lvlText w:val="%5."/>
      <w:lvlJc w:val="left"/>
      <w:pPr>
        <w:ind w:left="3285" w:hanging="360"/>
      </w:pPr>
      <w:rPr>
        <w:rFonts w:hint="default"/>
      </w:rPr>
    </w:lvl>
    <w:lvl w:ilvl="5" w:tplc="DA0A3B36">
      <w:start w:val="1"/>
      <w:numFmt w:val="lowerLetter"/>
      <w:lvlText w:val="(%6)"/>
      <w:lvlJc w:val="left"/>
      <w:pPr>
        <w:ind w:left="4185" w:hanging="360"/>
      </w:pPr>
      <w:rPr>
        <w:rFonts w:hint="default"/>
        <w:b w:val="0"/>
      </w:r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7" w15:restartNumberingAfterBreak="0">
    <w:nsid w:val="5DC5084B"/>
    <w:multiLevelType w:val="hybridMultilevel"/>
    <w:tmpl w:val="9140DA00"/>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08" w15:restartNumberingAfterBreak="0">
    <w:nsid w:val="5DDF071A"/>
    <w:multiLevelType w:val="hybridMultilevel"/>
    <w:tmpl w:val="F9720C42"/>
    <w:lvl w:ilvl="0" w:tplc="C0528658">
      <w:start w:val="1"/>
      <w:numFmt w:val="lowerRoman"/>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1E40BD"/>
    <w:multiLevelType w:val="hybridMultilevel"/>
    <w:tmpl w:val="78003776"/>
    <w:lvl w:ilvl="0" w:tplc="3D1A86D0">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0" w15:restartNumberingAfterBreak="0">
    <w:nsid w:val="6623086D"/>
    <w:multiLevelType w:val="hybridMultilevel"/>
    <w:tmpl w:val="36360EB2"/>
    <w:lvl w:ilvl="0" w:tplc="FA02A102">
      <w:start w:val="110"/>
      <w:numFmt w:val="bullet"/>
      <w:lvlText w:val="‒"/>
      <w:lvlJc w:val="left"/>
      <w:pPr>
        <w:ind w:left="1872" w:hanging="360"/>
      </w:pPr>
      <w:rPr>
        <w:rFonts w:ascii="Verdana" w:hAnsi="Verdana" w:hint="default"/>
      </w:rPr>
    </w:lvl>
    <w:lvl w:ilvl="1" w:tplc="04090001">
      <w:start w:val="1"/>
      <w:numFmt w:val="bullet"/>
      <w:lvlText w:val=""/>
      <w:lvlJc w:val="left"/>
      <w:pPr>
        <w:ind w:left="2592" w:hanging="360"/>
      </w:pPr>
      <w:rPr>
        <w:rFonts w:ascii="Symbol" w:hAnsi="Symbol"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1" w15:restartNumberingAfterBreak="0">
    <w:nsid w:val="66661869"/>
    <w:multiLevelType w:val="hybridMultilevel"/>
    <w:tmpl w:val="4712E0B8"/>
    <w:lvl w:ilvl="0" w:tplc="9D14847C">
      <w:numFmt w:val="bullet"/>
      <w:lvlText w:val="•"/>
      <w:lvlJc w:val="left"/>
      <w:pPr>
        <w:ind w:left="1042" w:hanging="360"/>
      </w:pPr>
      <w:rPr>
        <w:rFonts w:ascii="Calibri Light" w:eastAsia="Times New Roman" w:hAnsi="Calibri Light" w:cs="Open Sans"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12" w15:restartNumberingAfterBreak="0">
    <w:nsid w:val="6814204B"/>
    <w:multiLevelType w:val="hybridMultilevel"/>
    <w:tmpl w:val="F4C0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853080C"/>
    <w:multiLevelType w:val="hybridMultilevel"/>
    <w:tmpl w:val="1DF0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6934D6"/>
    <w:multiLevelType w:val="hybridMultilevel"/>
    <w:tmpl w:val="68947F00"/>
    <w:lvl w:ilvl="0" w:tplc="AA3C4E44">
      <w:start w:val="1"/>
      <w:numFmt w:val="decimal"/>
      <w:lvlText w:val="(%1)"/>
      <w:lvlJc w:val="left"/>
      <w:pPr>
        <w:ind w:left="1011" w:hanging="39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5" w15:restartNumberingAfterBreak="0">
    <w:nsid w:val="69B91DDA"/>
    <w:multiLevelType w:val="hybridMultilevel"/>
    <w:tmpl w:val="CBE22706"/>
    <w:lvl w:ilvl="0" w:tplc="EBF81630">
      <w:start w:val="1"/>
      <w:numFmt w:val="upperLetter"/>
      <w:lvlText w:val="(%1)"/>
      <w:lvlJc w:val="left"/>
      <w:pPr>
        <w:ind w:left="2307"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A272B86"/>
    <w:multiLevelType w:val="hybridMultilevel"/>
    <w:tmpl w:val="78FE463A"/>
    <w:lvl w:ilvl="0" w:tplc="85907C20">
      <w:start w:val="1"/>
      <w:numFmt w:val="lowerRoman"/>
      <w:lvlText w:val="(%1)"/>
      <w:lvlJc w:val="left"/>
      <w:pPr>
        <w:ind w:left="1492" w:hanging="72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17" w15:restartNumberingAfterBreak="0">
    <w:nsid w:val="6A341165"/>
    <w:multiLevelType w:val="hybridMultilevel"/>
    <w:tmpl w:val="13FC0C20"/>
    <w:lvl w:ilvl="0" w:tplc="FFFFFFFF">
      <w:start w:val="1"/>
      <w:numFmt w:val="low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18" w15:restartNumberingAfterBreak="0">
    <w:nsid w:val="6D2863B8"/>
    <w:multiLevelType w:val="hybridMultilevel"/>
    <w:tmpl w:val="FA2E3C56"/>
    <w:lvl w:ilvl="0" w:tplc="04090019">
      <w:start w:val="3"/>
      <w:numFmt w:val="lowerLetter"/>
      <w:lvlText w:val="%1."/>
      <w:lvlJc w:val="left"/>
      <w:pPr>
        <w:tabs>
          <w:tab w:val="num" w:pos="720"/>
        </w:tabs>
        <w:ind w:left="720" w:hanging="360"/>
      </w:pPr>
      <w:rPr>
        <w:rFonts w:hint="default"/>
      </w:rPr>
    </w:lvl>
    <w:lvl w:ilvl="1" w:tplc="0436F2A2">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F475105"/>
    <w:multiLevelType w:val="hybridMultilevel"/>
    <w:tmpl w:val="F628F558"/>
    <w:lvl w:ilvl="0" w:tplc="4942C3EE">
      <w:start w:val="1"/>
      <w:numFmt w:val="upperLetter"/>
      <w:lvlText w:val="(%1)"/>
      <w:lvlJc w:val="left"/>
      <w:pPr>
        <w:ind w:left="2307" w:hanging="4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117CC1"/>
    <w:multiLevelType w:val="hybridMultilevel"/>
    <w:tmpl w:val="1050492E"/>
    <w:lvl w:ilvl="0" w:tplc="EE803866">
      <w:start w:val="1"/>
      <w:numFmt w:val="lowerRoman"/>
      <w:lvlText w:val="(%1)"/>
      <w:lvlJc w:val="left"/>
      <w:pPr>
        <w:ind w:left="5092" w:hanging="720"/>
      </w:pPr>
      <w:rPr>
        <w:rFonts w:hint="default"/>
        <w:i w:val="0"/>
        <w:iCs w:val="0"/>
      </w:rPr>
    </w:lvl>
    <w:lvl w:ilvl="1" w:tplc="04090019" w:tentative="1">
      <w:start w:val="1"/>
      <w:numFmt w:val="lowerLetter"/>
      <w:lvlText w:val="%2."/>
      <w:lvlJc w:val="left"/>
      <w:pPr>
        <w:ind w:left="5452" w:hanging="360"/>
      </w:pPr>
    </w:lvl>
    <w:lvl w:ilvl="2" w:tplc="0409001B" w:tentative="1">
      <w:start w:val="1"/>
      <w:numFmt w:val="lowerRoman"/>
      <w:lvlText w:val="%3."/>
      <w:lvlJc w:val="right"/>
      <w:pPr>
        <w:ind w:left="6172" w:hanging="180"/>
      </w:pPr>
    </w:lvl>
    <w:lvl w:ilvl="3" w:tplc="0409000F" w:tentative="1">
      <w:start w:val="1"/>
      <w:numFmt w:val="decimal"/>
      <w:lvlText w:val="%4."/>
      <w:lvlJc w:val="left"/>
      <w:pPr>
        <w:ind w:left="6892" w:hanging="360"/>
      </w:pPr>
    </w:lvl>
    <w:lvl w:ilvl="4" w:tplc="04090019" w:tentative="1">
      <w:start w:val="1"/>
      <w:numFmt w:val="lowerLetter"/>
      <w:lvlText w:val="%5."/>
      <w:lvlJc w:val="left"/>
      <w:pPr>
        <w:ind w:left="7612" w:hanging="360"/>
      </w:pPr>
    </w:lvl>
    <w:lvl w:ilvl="5" w:tplc="0409001B" w:tentative="1">
      <w:start w:val="1"/>
      <w:numFmt w:val="lowerRoman"/>
      <w:lvlText w:val="%6."/>
      <w:lvlJc w:val="right"/>
      <w:pPr>
        <w:ind w:left="8332" w:hanging="180"/>
      </w:pPr>
    </w:lvl>
    <w:lvl w:ilvl="6" w:tplc="0409000F" w:tentative="1">
      <w:start w:val="1"/>
      <w:numFmt w:val="decimal"/>
      <w:lvlText w:val="%7."/>
      <w:lvlJc w:val="left"/>
      <w:pPr>
        <w:ind w:left="9052" w:hanging="360"/>
      </w:pPr>
    </w:lvl>
    <w:lvl w:ilvl="7" w:tplc="04090019" w:tentative="1">
      <w:start w:val="1"/>
      <w:numFmt w:val="lowerLetter"/>
      <w:lvlText w:val="%8."/>
      <w:lvlJc w:val="left"/>
      <w:pPr>
        <w:ind w:left="9772" w:hanging="360"/>
      </w:pPr>
    </w:lvl>
    <w:lvl w:ilvl="8" w:tplc="0409001B" w:tentative="1">
      <w:start w:val="1"/>
      <w:numFmt w:val="lowerRoman"/>
      <w:lvlText w:val="%9."/>
      <w:lvlJc w:val="right"/>
      <w:pPr>
        <w:ind w:left="10492" w:hanging="180"/>
      </w:pPr>
    </w:lvl>
  </w:abstractNum>
  <w:abstractNum w:abstractNumId="121" w15:restartNumberingAfterBreak="0">
    <w:nsid w:val="70164AFB"/>
    <w:multiLevelType w:val="hybridMultilevel"/>
    <w:tmpl w:val="43B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0FF3D1F"/>
    <w:multiLevelType w:val="multilevel"/>
    <w:tmpl w:val="55B45422"/>
    <w:lvl w:ilvl="0">
      <w:start w:val="1"/>
      <w:numFmt w:val="bullet"/>
      <w:lvlText w:val=""/>
      <w:lvlJc w:val="left"/>
      <w:pPr>
        <w:tabs>
          <w:tab w:val="num" w:pos="936"/>
        </w:tabs>
        <w:ind w:left="936" w:hanging="360"/>
      </w:pPr>
      <w:rPr>
        <w:rFonts w:ascii="Symbol" w:hAnsi="Symbol" w:hint="default"/>
      </w:rPr>
    </w:lvl>
    <w:lvl w:ilvl="1">
      <w:start w:val="1"/>
      <w:numFmt w:val="decimal"/>
      <w:lvlText w:val="%2."/>
      <w:lvlJc w:val="left"/>
      <w:pPr>
        <w:tabs>
          <w:tab w:val="num" w:pos="504"/>
        </w:tabs>
        <w:ind w:left="504" w:hanging="360"/>
      </w:pPr>
    </w:lvl>
    <w:lvl w:ilvl="2">
      <w:start w:val="1"/>
      <w:numFmt w:val="lowerLetter"/>
      <w:lvlText w:val="%3."/>
      <w:lvlJc w:val="left"/>
      <w:pPr>
        <w:tabs>
          <w:tab w:val="num" w:pos="1224"/>
        </w:tabs>
        <w:ind w:left="1224" w:hanging="360"/>
      </w:pPr>
      <w:rPr>
        <w:rFonts w:hint="default"/>
      </w:rPr>
    </w:lvl>
    <w:lvl w:ilvl="3" w:tentative="1">
      <w:start w:val="1"/>
      <w:numFmt w:val="lowerLetter"/>
      <w:lvlText w:val="%4."/>
      <w:lvlJc w:val="left"/>
      <w:pPr>
        <w:tabs>
          <w:tab w:val="num" w:pos="1944"/>
        </w:tabs>
        <w:ind w:left="1944" w:hanging="360"/>
      </w:pPr>
    </w:lvl>
    <w:lvl w:ilvl="4" w:tentative="1">
      <w:start w:val="1"/>
      <w:numFmt w:val="lowerLetter"/>
      <w:lvlText w:val="%5."/>
      <w:lvlJc w:val="left"/>
      <w:pPr>
        <w:tabs>
          <w:tab w:val="num" w:pos="2664"/>
        </w:tabs>
        <w:ind w:left="2664" w:hanging="360"/>
      </w:pPr>
    </w:lvl>
    <w:lvl w:ilvl="5" w:tentative="1">
      <w:start w:val="1"/>
      <w:numFmt w:val="lowerLetter"/>
      <w:lvlText w:val="%6."/>
      <w:lvlJc w:val="left"/>
      <w:pPr>
        <w:tabs>
          <w:tab w:val="num" w:pos="3384"/>
        </w:tabs>
        <w:ind w:left="3384" w:hanging="360"/>
      </w:pPr>
    </w:lvl>
    <w:lvl w:ilvl="6" w:tentative="1">
      <w:start w:val="1"/>
      <w:numFmt w:val="lowerLetter"/>
      <w:lvlText w:val="%7."/>
      <w:lvlJc w:val="left"/>
      <w:pPr>
        <w:tabs>
          <w:tab w:val="num" w:pos="4104"/>
        </w:tabs>
        <w:ind w:left="4104" w:hanging="360"/>
      </w:pPr>
    </w:lvl>
    <w:lvl w:ilvl="7" w:tentative="1">
      <w:start w:val="1"/>
      <w:numFmt w:val="lowerLetter"/>
      <w:lvlText w:val="%8."/>
      <w:lvlJc w:val="left"/>
      <w:pPr>
        <w:tabs>
          <w:tab w:val="num" w:pos="4824"/>
        </w:tabs>
        <w:ind w:left="4824" w:hanging="360"/>
      </w:pPr>
    </w:lvl>
    <w:lvl w:ilvl="8" w:tentative="1">
      <w:start w:val="1"/>
      <w:numFmt w:val="lowerLetter"/>
      <w:lvlText w:val="%9."/>
      <w:lvlJc w:val="left"/>
      <w:pPr>
        <w:tabs>
          <w:tab w:val="num" w:pos="5544"/>
        </w:tabs>
        <w:ind w:left="5544" w:hanging="360"/>
      </w:pPr>
    </w:lvl>
  </w:abstractNum>
  <w:abstractNum w:abstractNumId="123" w15:restartNumberingAfterBreak="0">
    <w:nsid w:val="72A44077"/>
    <w:multiLevelType w:val="hybridMultilevel"/>
    <w:tmpl w:val="B3A0AF82"/>
    <w:lvl w:ilvl="0" w:tplc="0540A27E">
      <w:start w:val="1"/>
      <w:numFmt w:val="bullet"/>
      <w:pStyle w:val="FormBullet2"/>
      <w:lvlText w:val=""/>
      <w:lvlJc w:val="left"/>
      <w:pPr>
        <w:ind w:left="720" w:hanging="360"/>
      </w:pPr>
      <w:rPr>
        <w:rFonts w:ascii="Symbol" w:hAnsi="Symbol" w:hint="default"/>
      </w:rPr>
    </w:lvl>
    <w:lvl w:ilvl="1" w:tplc="9380FE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2BC777B"/>
    <w:multiLevelType w:val="hybridMultilevel"/>
    <w:tmpl w:val="24009C58"/>
    <w:lvl w:ilvl="0" w:tplc="28B4D6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3A12A1B"/>
    <w:multiLevelType w:val="hybridMultilevel"/>
    <w:tmpl w:val="1DF0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56C0539"/>
    <w:multiLevelType w:val="hybridMultilevel"/>
    <w:tmpl w:val="D7E89D62"/>
    <w:lvl w:ilvl="0" w:tplc="A6BE579E">
      <w:start w:val="1"/>
      <w:numFmt w:val="lowerLetter"/>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27" w15:restartNumberingAfterBreak="0">
    <w:nsid w:val="763E09CD"/>
    <w:multiLevelType w:val="hybridMultilevel"/>
    <w:tmpl w:val="6226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7124BD2"/>
    <w:multiLevelType w:val="hybridMultilevel"/>
    <w:tmpl w:val="536833BC"/>
    <w:lvl w:ilvl="0" w:tplc="0409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8B21448"/>
    <w:multiLevelType w:val="hybridMultilevel"/>
    <w:tmpl w:val="8F5AE1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0" w15:restartNumberingAfterBreak="0">
    <w:nsid w:val="797F5559"/>
    <w:multiLevelType w:val="hybridMultilevel"/>
    <w:tmpl w:val="1D0A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FB7536"/>
    <w:multiLevelType w:val="hybridMultilevel"/>
    <w:tmpl w:val="1DF0F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A7E07B2"/>
    <w:multiLevelType w:val="hybridMultilevel"/>
    <w:tmpl w:val="E482D626"/>
    <w:lvl w:ilvl="0" w:tplc="F74E2118">
      <w:start w:val="1"/>
      <w:numFmt w:val="decimal"/>
      <w:lvlText w:val="(%1)"/>
      <w:lvlJc w:val="left"/>
      <w:pPr>
        <w:ind w:left="1155"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B9D0107"/>
    <w:multiLevelType w:val="hybridMultilevel"/>
    <w:tmpl w:val="A37A1FD0"/>
    <w:lvl w:ilvl="0" w:tplc="F3E2D60E">
      <w:start w:val="1"/>
      <w:numFmt w:val="decimal"/>
      <w:lvlText w:val="(%1)"/>
      <w:lvlJc w:val="left"/>
      <w:pPr>
        <w:ind w:left="540" w:hanging="360"/>
      </w:pPr>
      <w:rPr>
        <w:rFonts w:hint="default"/>
        <w:i w:val="0"/>
        <w:iCs w:val="0"/>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134" w15:restartNumberingAfterBreak="0">
    <w:nsid w:val="7C6B6CBA"/>
    <w:multiLevelType w:val="hybridMultilevel"/>
    <w:tmpl w:val="770807CE"/>
    <w:lvl w:ilvl="0" w:tplc="BC1623AA">
      <w:start w:val="1"/>
      <w:numFmt w:val="decimal"/>
      <w:lvlText w:val="(%1)"/>
      <w:lvlJc w:val="left"/>
      <w:pPr>
        <w:ind w:left="1710" w:hanging="360"/>
      </w:pPr>
      <w:rPr>
        <w:rFonts w:hint="default"/>
        <w:i w:val="0"/>
        <w:iCs/>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35" w15:restartNumberingAfterBreak="0">
    <w:nsid w:val="7DE63AE7"/>
    <w:multiLevelType w:val="hybridMultilevel"/>
    <w:tmpl w:val="13FC0C20"/>
    <w:lvl w:ilvl="0" w:tplc="148C975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6" w15:restartNumberingAfterBreak="0">
    <w:nsid w:val="7DFB5FB0"/>
    <w:multiLevelType w:val="hybridMultilevel"/>
    <w:tmpl w:val="3C90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ED91999"/>
    <w:multiLevelType w:val="hybridMultilevel"/>
    <w:tmpl w:val="7BFA8C36"/>
    <w:lvl w:ilvl="0" w:tplc="A7BA15C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3"/>
  </w:num>
  <w:num w:numId="2">
    <w:abstractNumId w:val="73"/>
  </w:num>
  <w:num w:numId="3">
    <w:abstractNumId w:val="30"/>
  </w:num>
  <w:num w:numId="4">
    <w:abstractNumId w:val="122"/>
  </w:num>
  <w:num w:numId="5">
    <w:abstractNumId w:val="47"/>
  </w:num>
  <w:num w:numId="6">
    <w:abstractNumId w:val="14"/>
  </w:num>
  <w:num w:numId="7">
    <w:abstractNumId w:val="71"/>
  </w:num>
  <w:num w:numId="8">
    <w:abstractNumId w:val="118"/>
  </w:num>
  <w:num w:numId="9">
    <w:abstractNumId w:val="68"/>
  </w:num>
  <w:num w:numId="10">
    <w:abstractNumId w:val="107"/>
  </w:num>
  <w:num w:numId="11">
    <w:abstractNumId w:val="105"/>
  </w:num>
  <w:num w:numId="12">
    <w:abstractNumId w:val="96"/>
  </w:num>
  <w:num w:numId="13">
    <w:abstractNumId w:val="42"/>
  </w:num>
  <w:num w:numId="14">
    <w:abstractNumId w:val="40"/>
  </w:num>
  <w:num w:numId="15">
    <w:abstractNumId w:val="94"/>
  </w:num>
  <w:num w:numId="16">
    <w:abstractNumId w:val="100"/>
  </w:num>
  <w:num w:numId="17">
    <w:abstractNumId w:val="55"/>
  </w:num>
  <w:num w:numId="18">
    <w:abstractNumId w:val="137"/>
  </w:num>
  <w:num w:numId="19">
    <w:abstractNumId w:val="57"/>
  </w:num>
  <w:num w:numId="20">
    <w:abstractNumId w:val="37"/>
  </w:num>
  <w:num w:numId="21">
    <w:abstractNumId w:val="35"/>
  </w:num>
  <w:num w:numId="22">
    <w:abstractNumId w:val="129"/>
  </w:num>
  <w:num w:numId="23">
    <w:abstractNumId w:val="124"/>
  </w:num>
  <w:num w:numId="24">
    <w:abstractNumId w:val="78"/>
  </w:num>
  <w:num w:numId="25">
    <w:abstractNumId w:val="136"/>
  </w:num>
  <w:num w:numId="26">
    <w:abstractNumId w:val="31"/>
  </w:num>
  <w:num w:numId="27">
    <w:abstractNumId w:val="114"/>
  </w:num>
  <w:num w:numId="28">
    <w:abstractNumId w:val="106"/>
  </w:num>
  <w:num w:numId="29">
    <w:abstractNumId w:val="86"/>
  </w:num>
  <w:num w:numId="30">
    <w:abstractNumId w:val="115"/>
  </w:num>
  <w:num w:numId="31">
    <w:abstractNumId w:val="132"/>
  </w:num>
  <w:num w:numId="32">
    <w:abstractNumId w:val="20"/>
  </w:num>
  <w:num w:numId="33">
    <w:abstractNumId w:val="112"/>
  </w:num>
  <w:num w:numId="34">
    <w:abstractNumId w:val="13"/>
  </w:num>
  <w:num w:numId="35">
    <w:abstractNumId w:val="63"/>
  </w:num>
  <w:num w:numId="36">
    <w:abstractNumId w:val="91"/>
  </w:num>
  <w:num w:numId="37">
    <w:abstractNumId w:val="89"/>
  </w:num>
  <w:num w:numId="38">
    <w:abstractNumId w:val="34"/>
  </w:num>
  <w:num w:numId="39">
    <w:abstractNumId w:val="119"/>
  </w:num>
  <w:num w:numId="40">
    <w:abstractNumId w:val="53"/>
  </w:num>
  <w:num w:numId="41">
    <w:abstractNumId w:val="104"/>
  </w:num>
  <w:num w:numId="42">
    <w:abstractNumId w:val="65"/>
  </w:num>
  <w:num w:numId="43">
    <w:abstractNumId w:val="26"/>
  </w:num>
  <w:num w:numId="44">
    <w:abstractNumId w:val="50"/>
  </w:num>
  <w:num w:numId="45">
    <w:abstractNumId w:val="72"/>
  </w:num>
  <w:num w:numId="46">
    <w:abstractNumId w:val="32"/>
  </w:num>
  <w:num w:numId="47">
    <w:abstractNumId w:val="28"/>
  </w:num>
  <w:num w:numId="48">
    <w:abstractNumId w:val="10"/>
  </w:num>
  <w:num w:numId="49">
    <w:abstractNumId w:val="8"/>
  </w:num>
  <w:num w:numId="50">
    <w:abstractNumId w:val="7"/>
  </w:num>
  <w:num w:numId="51">
    <w:abstractNumId w:val="6"/>
  </w:num>
  <w:num w:numId="52">
    <w:abstractNumId w:val="5"/>
  </w:num>
  <w:num w:numId="53">
    <w:abstractNumId w:val="9"/>
  </w:num>
  <w:num w:numId="54">
    <w:abstractNumId w:val="4"/>
  </w:num>
  <w:num w:numId="55">
    <w:abstractNumId w:val="3"/>
  </w:num>
  <w:num w:numId="56">
    <w:abstractNumId w:val="2"/>
  </w:num>
  <w:num w:numId="57">
    <w:abstractNumId w:val="1"/>
  </w:num>
  <w:num w:numId="58">
    <w:abstractNumId w:val="135"/>
  </w:num>
  <w:num w:numId="59">
    <w:abstractNumId w:val="21"/>
  </w:num>
  <w:num w:numId="60">
    <w:abstractNumId w:val="17"/>
  </w:num>
  <w:num w:numId="61">
    <w:abstractNumId w:val="83"/>
  </w:num>
  <w:num w:numId="62">
    <w:abstractNumId w:val="25"/>
  </w:num>
  <w:num w:numId="63">
    <w:abstractNumId w:val="75"/>
  </w:num>
  <w:num w:numId="64">
    <w:abstractNumId w:val="0"/>
  </w:num>
  <w:num w:numId="65">
    <w:abstractNumId w:val="93"/>
  </w:num>
  <w:num w:numId="66">
    <w:abstractNumId w:val="18"/>
  </w:num>
  <w:num w:numId="67">
    <w:abstractNumId w:val="67"/>
  </w:num>
  <w:num w:numId="68">
    <w:abstractNumId w:val="38"/>
  </w:num>
  <w:num w:numId="69">
    <w:abstractNumId w:val="12"/>
  </w:num>
  <w:num w:numId="70">
    <w:abstractNumId w:val="97"/>
  </w:num>
  <w:num w:numId="71">
    <w:abstractNumId w:val="103"/>
  </w:num>
  <w:num w:numId="72">
    <w:abstractNumId w:val="99"/>
    <w:lvlOverride w:ilvl="0">
      <w:startOverride w:val="1"/>
    </w:lvlOverride>
  </w:num>
  <w:num w:numId="73">
    <w:abstractNumId w:val="54"/>
  </w:num>
  <w:num w:numId="74">
    <w:abstractNumId w:val="123"/>
  </w:num>
  <w:num w:numId="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num>
  <w:num w:numId="77">
    <w:abstractNumId w:val="24"/>
  </w:num>
  <w:num w:numId="78">
    <w:abstractNumId w:val="60"/>
  </w:num>
  <w:num w:numId="79">
    <w:abstractNumId w:val="10"/>
  </w:num>
  <w:num w:numId="80">
    <w:abstractNumId w:val="8"/>
  </w:num>
  <w:num w:numId="81">
    <w:abstractNumId w:val="8"/>
  </w:num>
  <w:num w:numId="82">
    <w:abstractNumId w:val="9"/>
  </w:num>
  <w:num w:numId="83">
    <w:abstractNumId w:val="4"/>
  </w:num>
  <w:num w:numId="84">
    <w:abstractNumId w:val="77"/>
  </w:num>
  <w:num w:numId="85">
    <w:abstractNumId w:val="98"/>
  </w:num>
  <w:num w:numId="86">
    <w:abstractNumId w:val="102"/>
  </w:num>
  <w:num w:numId="87">
    <w:abstractNumId w:val="113"/>
  </w:num>
  <w:num w:numId="88">
    <w:abstractNumId w:val="41"/>
  </w:num>
  <w:num w:numId="89">
    <w:abstractNumId w:val="90"/>
  </w:num>
  <w:num w:numId="90">
    <w:abstractNumId w:val="22"/>
  </w:num>
  <w:num w:numId="91">
    <w:abstractNumId w:val="88"/>
  </w:num>
  <w:num w:numId="92">
    <w:abstractNumId w:val="131"/>
  </w:num>
  <w:num w:numId="93">
    <w:abstractNumId w:val="74"/>
  </w:num>
  <w:num w:numId="94">
    <w:abstractNumId w:val="36"/>
  </w:num>
  <w:num w:numId="95">
    <w:abstractNumId w:val="85"/>
  </w:num>
  <w:num w:numId="96">
    <w:abstractNumId w:val="125"/>
  </w:num>
  <w:num w:numId="97">
    <w:abstractNumId w:val="66"/>
  </w:num>
  <w:num w:numId="98">
    <w:abstractNumId w:val="44"/>
  </w:num>
  <w:num w:numId="99">
    <w:abstractNumId w:val="111"/>
  </w:num>
  <w:num w:numId="100">
    <w:abstractNumId w:val="110"/>
  </w:num>
  <w:num w:numId="101">
    <w:abstractNumId w:val="16"/>
  </w:num>
  <w:num w:numId="102">
    <w:abstractNumId w:val="95"/>
  </w:num>
  <w:num w:numId="103">
    <w:abstractNumId w:val="62"/>
  </w:num>
  <w:num w:numId="104">
    <w:abstractNumId w:val="49"/>
  </w:num>
  <w:num w:numId="105">
    <w:abstractNumId w:val="27"/>
  </w:num>
  <w:num w:numId="106">
    <w:abstractNumId w:val="69"/>
  </w:num>
  <w:num w:numId="107">
    <w:abstractNumId w:val="61"/>
  </w:num>
  <w:num w:numId="108">
    <w:abstractNumId w:val="15"/>
  </w:num>
  <w:num w:numId="109">
    <w:abstractNumId w:val="56"/>
  </w:num>
  <w:num w:numId="110">
    <w:abstractNumId w:val="76"/>
  </w:num>
  <w:num w:numId="111">
    <w:abstractNumId w:val="11"/>
  </w:num>
  <w:num w:numId="112">
    <w:abstractNumId w:val="84"/>
  </w:num>
  <w:num w:numId="113">
    <w:abstractNumId w:val="58"/>
  </w:num>
  <w:num w:numId="114">
    <w:abstractNumId w:val="64"/>
  </w:num>
  <w:num w:numId="115">
    <w:abstractNumId w:val="116"/>
  </w:num>
  <w:num w:numId="116">
    <w:abstractNumId w:val="80"/>
  </w:num>
  <w:num w:numId="117">
    <w:abstractNumId w:val="81"/>
  </w:num>
  <w:num w:numId="118">
    <w:abstractNumId w:val="126"/>
  </w:num>
  <w:num w:numId="119">
    <w:abstractNumId w:val="51"/>
  </w:num>
  <w:num w:numId="120">
    <w:abstractNumId w:val="92"/>
  </w:num>
  <w:num w:numId="121">
    <w:abstractNumId w:val="59"/>
  </w:num>
  <w:num w:numId="122">
    <w:abstractNumId w:val="45"/>
  </w:num>
  <w:num w:numId="123">
    <w:abstractNumId w:val="87"/>
  </w:num>
  <w:num w:numId="124">
    <w:abstractNumId w:val="130"/>
  </w:num>
  <w:num w:numId="125">
    <w:abstractNumId w:val="48"/>
  </w:num>
  <w:num w:numId="126">
    <w:abstractNumId w:val="39"/>
  </w:num>
  <w:num w:numId="127">
    <w:abstractNumId w:val="127"/>
  </w:num>
  <w:num w:numId="128">
    <w:abstractNumId w:val="128"/>
  </w:num>
  <w:num w:numId="129">
    <w:abstractNumId w:val="121"/>
  </w:num>
  <w:num w:numId="130">
    <w:abstractNumId w:val="29"/>
  </w:num>
  <w:num w:numId="131">
    <w:abstractNumId w:val="43"/>
  </w:num>
  <w:num w:numId="132">
    <w:abstractNumId w:val="70"/>
  </w:num>
  <w:num w:numId="133">
    <w:abstractNumId w:val="108"/>
  </w:num>
  <w:num w:numId="134">
    <w:abstractNumId w:val="19"/>
  </w:num>
  <w:num w:numId="135">
    <w:abstractNumId w:val="109"/>
  </w:num>
  <w:num w:numId="136">
    <w:abstractNumId w:val="133"/>
  </w:num>
  <w:num w:numId="137">
    <w:abstractNumId w:val="120"/>
  </w:num>
  <w:num w:numId="138">
    <w:abstractNumId w:val="52"/>
  </w:num>
  <w:num w:numId="139">
    <w:abstractNumId w:val="82"/>
  </w:num>
  <w:num w:numId="140">
    <w:abstractNumId w:val="134"/>
  </w:num>
  <w:num w:numId="141">
    <w:abstractNumId w:val="101"/>
  </w:num>
  <w:num w:numId="142">
    <w:abstractNumId w:val="33"/>
  </w:num>
  <w:num w:numId="143">
    <w:abstractNumId w:val="79"/>
  </w:num>
  <w:num w:numId="144">
    <w:abstractNumId w:val="11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ctiveWritingStyle w:appName="MSWord" w:lang="en-US" w:vendorID="64" w:dllVersion="0" w:nlCheck="1" w:checkStyle="0"/>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F3"/>
    <w:rsid w:val="00000739"/>
    <w:rsid w:val="00000A11"/>
    <w:rsid w:val="00000B03"/>
    <w:rsid w:val="00000BD4"/>
    <w:rsid w:val="00000CA1"/>
    <w:rsid w:val="00001168"/>
    <w:rsid w:val="00003C76"/>
    <w:rsid w:val="00005016"/>
    <w:rsid w:val="00006421"/>
    <w:rsid w:val="0000794A"/>
    <w:rsid w:val="00010628"/>
    <w:rsid w:val="00010F89"/>
    <w:rsid w:val="0001189B"/>
    <w:rsid w:val="00012DFB"/>
    <w:rsid w:val="00012F59"/>
    <w:rsid w:val="000144A6"/>
    <w:rsid w:val="00014840"/>
    <w:rsid w:val="0001501A"/>
    <w:rsid w:val="00015046"/>
    <w:rsid w:val="00015D98"/>
    <w:rsid w:val="00016AF0"/>
    <w:rsid w:val="0001711D"/>
    <w:rsid w:val="000203D9"/>
    <w:rsid w:val="00020FE0"/>
    <w:rsid w:val="000219A0"/>
    <w:rsid w:val="000223E6"/>
    <w:rsid w:val="000229E9"/>
    <w:rsid w:val="00022F4C"/>
    <w:rsid w:val="00023008"/>
    <w:rsid w:val="00023B3F"/>
    <w:rsid w:val="00023D87"/>
    <w:rsid w:val="0002409C"/>
    <w:rsid w:val="000242FC"/>
    <w:rsid w:val="00025ECD"/>
    <w:rsid w:val="00026DF4"/>
    <w:rsid w:val="00026F41"/>
    <w:rsid w:val="000274DF"/>
    <w:rsid w:val="000276CC"/>
    <w:rsid w:val="0002770F"/>
    <w:rsid w:val="0003090F"/>
    <w:rsid w:val="00030D6D"/>
    <w:rsid w:val="00031000"/>
    <w:rsid w:val="00032346"/>
    <w:rsid w:val="00033024"/>
    <w:rsid w:val="00033884"/>
    <w:rsid w:val="0003412E"/>
    <w:rsid w:val="00034540"/>
    <w:rsid w:val="00034A75"/>
    <w:rsid w:val="00035AD7"/>
    <w:rsid w:val="00036476"/>
    <w:rsid w:val="00036D92"/>
    <w:rsid w:val="00037C2C"/>
    <w:rsid w:val="00040988"/>
    <w:rsid w:val="00040E0A"/>
    <w:rsid w:val="00041152"/>
    <w:rsid w:val="0004137A"/>
    <w:rsid w:val="0004185C"/>
    <w:rsid w:val="000428ED"/>
    <w:rsid w:val="00043DAD"/>
    <w:rsid w:val="00043F12"/>
    <w:rsid w:val="000443AE"/>
    <w:rsid w:val="0004515F"/>
    <w:rsid w:val="000452EF"/>
    <w:rsid w:val="000460F0"/>
    <w:rsid w:val="000465E2"/>
    <w:rsid w:val="00047A08"/>
    <w:rsid w:val="0005013E"/>
    <w:rsid w:val="00050F2D"/>
    <w:rsid w:val="00051F76"/>
    <w:rsid w:val="000521EC"/>
    <w:rsid w:val="00052488"/>
    <w:rsid w:val="000532C2"/>
    <w:rsid w:val="00053D28"/>
    <w:rsid w:val="00054250"/>
    <w:rsid w:val="0005428A"/>
    <w:rsid w:val="000546F9"/>
    <w:rsid w:val="000557D4"/>
    <w:rsid w:val="00055D33"/>
    <w:rsid w:val="00056099"/>
    <w:rsid w:val="00056329"/>
    <w:rsid w:val="00056D43"/>
    <w:rsid w:val="00061123"/>
    <w:rsid w:val="00061269"/>
    <w:rsid w:val="00061FF5"/>
    <w:rsid w:val="0006241A"/>
    <w:rsid w:val="00062684"/>
    <w:rsid w:val="00062724"/>
    <w:rsid w:val="00062D05"/>
    <w:rsid w:val="00063FB1"/>
    <w:rsid w:val="000640B4"/>
    <w:rsid w:val="00064715"/>
    <w:rsid w:val="0006486D"/>
    <w:rsid w:val="00064E79"/>
    <w:rsid w:val="0006671D"/>
    <w:rsid w:val="0006675F"/>
    <w:rsid w:val="00067BD6"/>
    <w:rsid w:val="0007023F"/>
    <w:rsid w:val="0007048C"/>
    <w:rsid w:val="00071009"/>
    <w:rsid w:val="00072808"/>
    <w:rsid w:val="00073581"/>
    <w:rsid w:val="00073BEF"/>
    <w:rsid w:val="00074A23"/>
    <w:rsid w:val="00076AB9"/>
    <w:rsid w:val="000776CF"/>
    <w:rsid w:val="00081544"/>
    <w:rsid w:val="0008222D"/>
    <w:rsid w:val="000826C9"/>
    <w:rsid w:val="00082E18"/>
    <w:rsid w:val="00083B76"/>
    <w:rsid w:val="00084950"/>
    <w:rsid w:val="00085A2E"/>
    <w:rsid w:val="00086943"/>
    <w:rsid w:val="000900FE"/>
    <w:rsid w:val="00090227"/>
    <w:rsid w:val="00091434"/>
    <w:rsid w:val="0009165A"/>
    <w:rsid w:val="0009191E"/>
    <w:rsid w:val="0009196E"/>
    <w:rsid w:val="000931C6"/>
    <w:rsid w:val="00093CF7"/>
    <w:rsid w:val="00095001"/>
    <w:rsid w:val="000958D0"/>
    <w:rsid w:val="00096C39"/>
    <w:rsid w:val="000A05C1"/>
    <w:rsid w:val="000A13B2"/>
    <w:rsid w:val="000A3366"/>
    <w:rsid w:val="000A48AC"/>
    <w:rsid w:val="000A4FD3"/>
    <w:rsid w:val="000A51B4"/>
    <w:rsid w:val="000A552C"/>
    <w:rsid w:val="000A6A61"/>
    <w:rsid w:val="000A705D"/>
    <w:rsid w:val="000A70FF"/>
    <w:rsid w:val="000A7155"/>
    <w:rsid w:val="000A75BC"/>
    <w:rsid w:val="000A7E15"/>
    <w:rsid w:val="000B042B"/>
    <w:rsid w:val="000B14A1"/>
    <w:rsid w:val="000B3026"/>
    <w:rsid w:val="000B3A17"/>
    <w:rsid w:val="000B3A28"/>
    <w:rsid w:val="000B7D47"/>
    <w:rsid w:val="000C0636"/>
    <w:rsid w:val="000C178F"/>
    <w:rsid w:val="000C25A7"/>
    <w:rsid w:val="000C3077"/>
    <w:rsid w:val="000C38EE"/>
    <w:rsid w:val="000C4B92"/>
    <w:rsid w:val="000C5074"/>
    <w:rsid w:val="000C7526"/>
    <w:rsid w:val="000D03AA"/>
    <w:rsid w:val="000D0DAA"/>
    <w:rsid w:val="000D14B7"/>
    <w:rsid w:val="000D1532"/>
    <w:rsid w:val="000D1538"/>
    <w:rsid w:val="000D1B0C"/>
    <w:rsid w:val="000D29AA"/>
    <w:rsid w:val="000D2F19"/>
    <w:rsid w:val="000D328F"/>
    <w:rsid w:val="000D4C8F"/>
    <w:rsid w:val="000D6387"/>
    <w:rsid w:val="000D6AED"/>
    <w:rsid w:val="000D7DAA"/>
    <w:rsid w:val="000E0163"/>
    <w:rsid w:val="000E0C00"/>
    <w:rsid w:val="000E1081"/>
    <w:rsid w:val="000E1CFB"/>
    <w:rsid w:val="000E1DF2"/>
    <w:rsid w:val="000E2457"/>
    <w:rsid w:val="000E2E05"/>
    <w:rsid w:val="000E3A32"/>
    <w:rsid w:val="000E46A4"/>
    <w:rsid w:val="000E476F"/>
    <w:rsid w:val="000E62D1"/>
    <w:rsid w:val="000E7799"/>
    <w:rsid w:val="000E7AD0"/>
    <w:rsid w:val="000E7DAE"/>
    <w:rsid w:val="000F0431"/>
    <w:rsid w:val="000F24FC"/>
    <w:rsid w:val="000F274C"/>
    <w:rsid w:val="000F32DC"/>
    <w:rsid w:val="000F40A8"/>
    <w:rsid w:val="000F474A"/>
    <w:rsid w:val="000F5700"/>
    <w:rsid w:val="000F6EB2"/>
    <w:rsid w:val="001016AD"/>
    <w:rsid w:val="0010385E"/>
    <w:rsid w:val="00103D66"/>
    <w:rsid w:val="00104D9F"/>
    <w:rsid w:val="00104F67"/>
    <w:rsid w:val="0010535F"/>
    <w:rsid w:val="00105D2F"/>
    <w:rsid w:val="00106159"/>
    <w:rsid w:val="00106716"/>
    <w:rsid w:val="00106912"/>
    <w:rsid w:val="00106A16"/>
    <w:rsid w:val="00106CE4"/>
    <w:rsid w:val="00106FBE"/>
    <w:rsid w:val="00110851"/>
    <w:rsid w:val="00110A35"/>
    <w:rsid w:val="00113263"/>
    <w:rsid w:val="001137EF"/>
    <w:rsid w:val="00114C56"/>
    <w:rsid w:val="00115A14"/>
    <w:rsid w:val="0011667A"/>
    <w:rsid w:val="001168BA"/>
    <w:rsid w:val="0012028C"/>
    <w:rsid w:val="00122967"/>
    <w:rsid w:val="00122E2C"/>
    <w:rsid w:val="00123D2E"/>
    <w:rsid w:val="00124D25"/>
    <w:rsid w:val="00124E8D"/>
    <w:rsid w:val="001255FA"/>
    <w:rsid w:val="001258D8"/>
    <w:rsid w:val="001259A8"/>
    <w:rsid w:val="001265C5"/>
    <w:rsid w:val="0012677E"/>
    <w:rsid w:val="00130249"/>
    <w:rsid w:val="00130B3D"/>
    <w:rsid w:val="00130BB0"/>
    <w:rsid w:val="00131445"/>
    <w:rsid w:val="00131E92"/>
    <w:rsid w:val="00132278"/>
    <w:rsid w:val="001327D2"/>
    <w:rsid w:val="0013288A"/>
    <w:rsid w:val="00132FF2"/>
    <w:rsid w:val="00134418"/>
    <w:rsid w:val="001344FC"/>
    <w:rsid w:val="001353E2"/>
    <w:rsid w:val="00135586"/>
    <w:rsid w:val="00136597"/>
    <w:rsid w:val="001407BB"/>
    <w:rsid w:val="001411E3"/>
    <w:rsid w:val="001417FA"/>
    <w:rsid w:val="00141F44"/>
    <w:rsid w:val="001434B8"/>
    <w:rsid w:val="0014350F"/>
    <w:rsid w:val="00143591"/>
    <w:rsid w:val="001440B9"/>
    <w:rsid w:val="001441E8"/>
    <w:rsid w:val="001444A1"/>
    <w:rsid w:val="0014460D"/>
    <w:rsid w:val="00144908"/>
    <w:rsid w:val="001450ED"/>
    <w:rsid w:val="00146382"/>
    <w:rsid w:val="001479B5"/>
    <w:rsid w:val="00153354"/>
    <w:rsid w:val="0015355D"/>
    <w:rsid w:val="00153B11"/>
    <w:rsid w:val="001547C7"/>
    <w:rsid w:val="00154E67"/>
    <w:rsid w:val="00154F7D"/>
    <w:rsid w:val="0015547F"/>
    <w:rsid w:val="001560B8"/>
    <w:rsid w:val="001560E0"/>
    <w:rsid w:val="0015620C"/>
    <w:rsid w:val="00156D7B"/>
    <w:rsid w:val="00160A86"/>
    <w:rsid w:val="00161E82"/>
    <w:rsid w:val="00161EE7"/>
    <w:rsid w:val="001620A1"/>
    <w:rsid w:val="00162BF6"/>
    <w:rsid w:val="00163440"/>
    <w:rsid w:val="00163AA9"/>
    <w:rsid w:val="00163BD7"/>
    <w:rsid w:val="00163D0C"/>
    <w:rsid w:val="00163E23"/>
    <w:rsid w:val="00164EFB"/>
    <w:rsid w:val="00165C91"/>
    <w:rsid w:val="001664D3"/>
    <w:rsid w:val="00166526"/>
    <w:rsid w:val="00167061"/>
    <w:rsid w:val="00167B23"/>
    <w:rsid w:val="00167B29"/>
    <w:rsid w:val="001701AC"/>
    <w:rsid w:val="00170324"/>
    <w:rsid w:val="00170369"/>
    <w:rsid w:val="00170774"/>
    <w:rsid w:val="00170D3C"/>
    <w:rsid w:val="0017128C"/>
    <w:rsid w:val="0017163A"/>
    <w:rsid w:val="001722D8"/>
    <w:rsid w:val="00172631"/>
    <w:rsid w:val="00172E02"/>
    <w:rsid w:val="001732D6"/>
    <w:rsid w:val="00173B09"/>
    <w:rsid w:val="00174285"/>
    <w:rsid w:val="0017467A"/>
    <w:rsid w:val="00174BC2"/>
    <w:rsid w:val="0017616B"/>
    <w:rsid w:val="00176272"/>
    <w:rsid w:val="001765AE"/>
    <w:rsid w:val="00176F21"/>
    <w:rsid w:val="001805ED"/>
    <w:rsid w:val="00180CD7"/>
    <w:rsid w:val="00180E65"/>
    <w:rsid w:val="001813B8"/>
    <w:rsid w:val="001817C1"/>
    <w:rsid w:val="001824A4"/>
    <w:rsid w:val="00182F63"/>
    <w:rsid w:val="0018409B"/>
    <w:rsid w:val="001847C2"/>
    <w:rsid w:val="00185530"/>
    <w:rsid w:val="00185A93"/>
    <w:rsid w:val="00185BAE"/>
    <w:rsid w:val="001862B8"/>
    <w:rsid w:val="00190AD6"/>
    <w:rsid w:val="001919C4"/>
    <w:rsid w:val="001926BE"/>
    <w:rsid w:val="00193837"/>
    <w:rsid w:val="00193A06"/>
    <w:rsid w:val="0019410F"/>
    <w:rsid w:val="001942D4"/>
    <w:rsid w:val="001957AF"/>
    <w:rsid w:val="00195B45"/>
    <w:rsid w:val="00195D18"/>
    <w:rsid w:val="00196592"/>
    <w:rsid w:val="001975B1"/>
    <w:rsid w:val="00197778"/>
    <w:rsid w:val="00197CA8"/>
    <w:rsid w:val="001A09BE"/>
    <w:rsid w:val="001A0F40"/>
    <w:rsid w:val="001A1B5A"/>
    <w:rsid w:val="001A2027"/>
    <w:rsid w:val="001A2106"/>
    <w:rsid w:val="001A29E4"/>
    <w:rsid w:val="001A2C8E"/>
    <w:rsid w:val="001A34C9"/>
    <w:rsid w:val="001A3894"/>
    <w:rsid w:val="001A3E57"/>
    <w:rsid w:val="001A44DF"/>
    <w:rsid w:val="001A49F0"/>
    <w:rsid w:val="001A4CBA"/>
    <w:rsid w:val="001A5ED0"/>
    <w:rsid w:val="001A7264"/>
    <w:rsid w:val="001A7B5B"/>
    <w:rsid w:val="001B3829"/>
    <w:rsid w:val="001B502A"/>
    <w:rsid w:val="001B56F3"/>
    <w:rsid w:val="001B72E5"/>
    <w:rsid w:val="001B7F08"/>
    <w:rsid w:val="001C011C"/>
    <w:rsid w:val="001C05D0"/>
    <w:rsid w:val="001C09E8"/>
    <w:rsid w:val="001C0D30"/>
    <w:rsid w:val="001C2A40"/>
    <w:rsid w:val="001C2BEE"/>
    <w:rsid w:val="001C47F9"/>
    <w:rsid w:val="001C6AB0"/>
    <w:rsid w:val="001C6ADE"/>
    <w:rsid w:val="001C707C"/>
    <w:rsid w:val="001D15B4"/>
    <w:rsid w:val="001D3114"/>
    <w:rsid w:val="001D38A8"/>
    <w:rsid w:val="001D3CF2"/>
    <w:rsid w:val="001D4072"/>
    <w:rsid w:val="001D4081"/>
    <w:rsid w:val="001D4659"/>
    <w:rsid w:val="001D5043"/>
    <w:rsid w:val="001E032C"/>
    <w:rsid w:val="001E0D45"/>
    <w:rsid w:val="001E152E"/>
    <w:rsid w:val="001E21B9"/>
    <w:rsid w:val="001E235B"/>
    <w:rsid w:val="001E3015"/>
    <w:rsid w:val="001E318A"/>
    <w:rsid w:val="001E31BE"/>
    <w:rsid w:val="001E375D"/>
    <w:rsid w:val="001E425A"/>
    <w:rsid w:val="001E5921"/>
    <w:rsid w:val="001E6674"/>
    <w:rsid w:val="001E68FD"/>
    <w:rsid w:val="001E73E6"/>
    <w:rsid w:val="001F072E"/>
    <w:rsid w:val="001F0A1C"/>
    <w:rsid w:val="001F0A9A"/>
    <w:rsid w:val="001F0B22"/>
    <w:rsid w:val="001F13F6"/>
    <w:rsid w:val="001F16F5"/>
    <w:rsid w:val="001F24EE"/>
    <w:rsid w:val="001F4B0A"/>
    <w:rsid w:val="001F4BB3"/>
    <w:rsid w:val="001F4F76"/>
    <w:rsid w:val="001F5308"/>
    <w:rsid w:val="001F6629"/>
    <w:rsid w:val="001F667A"/>
    <w:rsid w:val="001F766D"/>
    <w:rsid w:val="001F7A67"/>
    <w:rsid w:val="00200CC9"/>
    <w:rsid w:val="00201088"/>
    <w:rsid w:val="00201804"/>
    <w:rsid w:val="0020184C"/>
    <w:rsid w:val="00202043"/>
    <w:rsid w:val="00203FDE"/>
    <w:rsid w:val="0020473A"/>
    <w:rsid w:val="00205479"/>
    <w:rsid w:val="00206294"/>
    <w:rsid w:val="002063AE"/>
    <w:rsid w:val="002076A5"/>
    <w:rsid w:val="002109B4"/>
    <w:rsid w:val="0021139D"/>
    <w:rsid w:val="00211F82"/>
    <w:rsid w:val="002128BE"/>
    <w:rsid w:val="0021295C"/>
    <w:rsid w:val="00214233"/>
    <w:rsid w:val="002143D6"/>
    <w:rsid w:val="00215B13"/>
    <w:rsid w:val="00216812"/>
    <w:rsid w:val="00216DE8"/>
    <w:rsid w:val="00216E49"/>
    <w:rsid w:val="0022019B"/>
    <w:rsid w:val="002211E6"/>
    <w:rsid w:val="002231F4"/>
    <w:rsid w:val="00225678"/>
    <w:rsid w:val="00226740"/>
    <w:rsid w:val="00226EB9"/>
    <w:rsid w:val="0023083F"/>
    <w:rsid w:val="002318AC"/>
    <w:rsid w:val="00231C1F"/>
    <w:rsid w:val="00232D5A"/>
    <w:rsid w:val="002369AD"/>
    <w:rsid w:val="00237AEE"/>
    <w:rsid w:val="00237FE3"/>
    <w:rsid w:val="002400FC"/>
    <w:rsid w:val="0024057E"/>
    <w:rsid w:val="002427A3"/>
    <w:rsid w:val="002431E9"/>
    <w:rsid w:val="00243FAF"/>
    <w:rsid w:val="002443CD"/>
    <w:rsid w:val="00244732"/>
    <w:rsid w:val="00244C67"/>
    <w:rsid w:val="00245221"/>
    <w:rsid w:val="0024530E"/>
    <w:rsid w:val="002455E5"/>
    <w:rsid w:val="00247907"/>
    <w:rsid w:val="002509D0"/>
    <w:rsid w:val="002512F2"/>
    <w:rsid w:val="002515E3"/>
    <w:rsid w:val="00251DA8"/>
    <w:rsid w:val="002524B8"/>
    <w:rsid w:val="002541B3"/>
    <w:rsid w:val="002542D8"/>
    <w:rsid w:val="0025432C"/>
    <w:rsid w:val="00254974"/>
    <w:rsid w:val="00254EB1"/>
    <w:rsid w:val="00255EA7"/>
    <w:rsid w:val="00255F6D"/>
    <w:rsid w:val="002563F6"/>
    <w:rsid w:val="002566CF"/>
    <w:rsid w:val="00256935"/>
    <w:rsid w:val="0025698E"/>
    <w:rsid w:val="002574A8"/>
    <w:rsid w:val="0025792F"/>
    <w:rsid w:val="00257BB1"/>
    <w:rsid w:val="00260463"/>
    <w:rsid w:val="0026100A"/>
    <w:rsid w:val="002617F4"/>
    <w:rsid w:val="00262777"/>
    <w:rsid w:val="00262E29"/>
    <w:rsid w:val="002635AD"/>
    <w:rsid w:val="00263A17"/>
    <w:rsid w:val="0026460E"/>
    <w:rsid w:val="00264BA4"/>
    <w:rsid w:val="00264DB3"/>
    <w:rsid w:val="002655A5"/>
    <w:rsid w:val="00265F96"/>
    <w:rsid w:val="00266B69"/>
    <w:rsid w:val="002679C3"/>
    <w:rsid w:val="00267B46"/>
    <w:rsid w:val="00270D9C"/>
    <w:rsid w:val="00271106"/>
    <w:rsid w:val="002711D7"/>
    <w:rsid w:val="0027127D"/>
    <w:rsid w:val="00271556"/>
    <w:rsid w:val="00272310"/>
    <w:rsid w:val="0027358D"/>
    <w:rsid w:val="0027423A"/>
    <w:rsid w:val="00274D3D"/>
    <w:rsid w:val="002751CA"/>
    <w:rsid w:val="00276056"/>
    <w:rsid w:val="00277B81"/>
    <w:rsid w:val="002801AC"/>
    <w:rsid w:val="00281A87"/>
    <w:rsid w:val="00282376"/>
    <w:rsid w:val="00282879"/>
    <w:rsid w:val="00282BAF"/>
    <w:rsid w:val="00283F88"/>
    <w:rsid w:val="00284610"/>
    <w:rsid w:val="00285274"/>
    <w:rsid w:val="00285AF9"/>
    <w:rsid w:val="00286830"/>
    <w:rsid w:val="00287D97"/>
    <w:rsid w:val="00290A3B"/>
    <w:rsid w:val="002916FC"/>
    <w:rsid w:val="00291B78"/>
    <w:rsid w:val="00291F5F"/>
    <w:rsid w:val="00292389"/>
    <w:rsid w:val="002927E7"/>
    <w:rsid w:val="00292D6B"/>
    <w:rsid w:val="00293624"/>
    <w:rsid w:val="002941F9"/>
    <w:rsid w:val="002944C0"/>
    <w:rsid w:val="00295B68"/>
    <w:rsid w:val="00296CBD"/>
    <w:rsid w:val="002A0A3B"/>
    <w:rsid w:val="002A16CC"/>
    <w:rsid w:val="002A2499"/>
    <w:rsid w:val="002A498C"/>
    <w:rsid w:val="002A4AAA"/>
    <w:rsid w:val="002A50BE"/>
    <w:rsid w:val="002A6689"/>
    <w:rsid w:val="002A6D76"/>
    <w:rsid w:val="002A71B7"/>
    <w:rsid w:val="002B055C"/>
    <w:rsid w:val="002B3BF8"/>
    <w:rsid w:val="002B4728"/>
    <w:rsid w:val="002B4DCF"/>
    <w:rsid w:val="002B5B23"/>
    <w:rsid w:val="002B5D93"/>
    <w:rsid w:val="002B6233"/>
    <w:rsid w:val="002B64DE"/>
    <w:rsid w:val="002B7CC5"/>
    <w:rsid w:val="002C1812"/>
    <w:rsid w:val="002C1C35"/>
    <w:rsid w:val="002C1CCB"/>
    <w:rsid w:val="002C1DCD"/>
    <w:rsid w:val="002C1F7A"/>
    <w:rsid w:val="002C2544"/>
    <w:rsid w:val="002C2947"/>
    <w:rsid w:val="002C3A71"/>
    <w:rsid w:val="002C3DD5"/>
    <w:rsid w:val="002C3F78"/>
    <w:rsid w:val="002C4102"/>
    <w:rsid w:val="002C524A"/>
    <w:rsid w:val="002C6878"/>
    <w:rsid w:val="002C68A5"/>
    <w:rsid w:val="002C6FC4"/>
    <w:rsid w:val="002C702A"/>
    <w:rsid w:val="002C76E6"/>
    <w:rsid w:val="002C79DA"/>
    <w:rsid w:val="002C7E4E"/>
    <w:rsid w:val="002D01BD"/>
    <w:rsid w:val="002D03FA"/>
    <w:rsid w:val="002D0A6A"/>
    <w:rsid w:val="002D0EC9"/>
    <w:rsid w:val="002D2EDA"/>
    <w:rsid w:val="002D39A9"/>
    <w:rsid w:val="002D3C4A"/>
    <w:rsid w:val="002D616B"/>
    <w:rsid w:val="002D72FC"/>
    <w:rsid w:val="002D7A70"/>
    <w:rsid w:val="002E1876"/>
    <w:rsid w:val="002E23AA"/>
    <w:rsid w:val="002E27EA"/>
    <w:rsid w:val="002E4BEA"/>
    <w:rsid w:val="002E4EF5"/>
    <w:rsid w:val="002E5168"/>
    <w:rsid w:val="002E52C6"/>
    <w:rsid w:val="002E5E0D"/>
    <w:rsid w:val="002E5EC8"/>
    <w:rsid w:val="002E61FD"/>
    <w:rsid w:val="002E6B08"/>
    <w:rsid w:val="002E7A8A"/>
    <w:rsid w:val="002E7F1D"/>
    <w:rsid w:val="002F1BD6"/>
    <w:rsid w:val="002F2572"/>
    <w:rsid w:val="002F3154"/>
    <w:rsid w:val="002F38AB"/>
    <w:rsid w:val="002F4F93"/>
    <w:rsid w:val="002F5E3D"/>
    <w:rsid w:val="002F7905"/>
    <w:rsid w:val="00300322"/>
    <w:rsid w:val="00301E76"/>
    <w:rsid w:val="003022F0"/>
    <w:rsid w:val="00303B51"/>
    <w:rsid w:val="00304110"/>
    <w:rsid w:val="00304868"/>
    <w:rsid w:val="003049E2"/>
    <w:rsid w:val="003053D3"/>
    <w:rsid w:val="00307470"/>
    <w:rsid w:val="003074A0"/>
    <w:rsid w:val="00307708"/>
    <w:rsid w:val="0031009A"/>
    <w:rsid w:val="00310A89"/>
    <w:rsid w:val="00311B0A"/>
    <w:rsid w:val="00311F0E"/>
    <w:rsid w:val="00312469"/>
    <w:rsid w:val="00312D21"/>
    <w:rsid w:val="00312F88"/>
    <w:rsid w:val="00314848"/>
    <w:rsid w:val="003161F9"/>
    <w:rsid w:val="0031673D"/>
    <w:rsid w:val="00316D2B"/>
    <w:rsid w:val="0032020C"/>
    <w:rsid w:val="00320A16"/>
    <w:rsid w:val="00321853"/>
    <w:rsid w:val="00322285"/>
    <w:rsid w:val="003228E3"/>
    <w:rsid w:val="00323113"/>
    <w:rsid w:val="00325D9A"/>
    <w:rsid w:val="00331910"/>
    <w:rsid w:val="003319AE"/>
    <w:rsid w:val="00331D34"/>
    <w:rsid w:val="003321F4"/>
    <w:rsid w:val="00332869"/>
    <w:rsid w:val="00333447"/>
    <w:rsid w:val="00335BEB"/>
    <w:rsid w:val="003364A0"/>
    <w:rsid w:val="003367D1"/>
    <w:rsid w:val="003371DF"/>
    <w:rsid w:val="00337D87"/>
    <w:rsid w:val="00337EE0"/>
    <w:rsid w:val="00337F16"/>
    <w:rsid w:val="003400A6"/>
    <w:rsid w:val="003405C7"/>
    <w:rsid w:val="00340656"/>
    <w:rsid w:val="003414E6"/>
    <w:rsid w:val="0034166E"/>
    <w:rsid w:val="003421C6"/>
    <w:rsid w:val="00342698"/>
    <w:rsid w:val="00342C97"/>
    <w:rsid w:val="00343813"/>
    <w:rsid w:val="00343ACD"/>
    <w:rsid w:val="0034408C"/>
    <w:rsid w:val="00344160"/>
    <w:rsid w:val="003447E1"/>
    <w:rsid w:val="003448FC"/>
    <w:rsid w:val="0034542B"/>
    <w:rsid w:val="00345DC0"/>
    <w:rsid w:val="003463A0"/>
    <w:rsid w:val="003475EC"/>
    <w:rsid w:val="00347C60"/>
    <w:rsid w:val="00347EB5"/>
    <w:rsid w:val="0035074E"/>
    <w:rsid w:val="00350A02"/>
    <w:rsid w:val="00351553"/>
    <w:rsid w:val="00351696"/>
    <w:rsid w:val="0035177B"/>
    <w:rsid w:val="00354927"/>
    <w:rsid w:val="003549CF"/>
    <w:rsid w:val="00356886"/>
    <w:rsid w:val="00357499"/>
    <w:rsid w:val="00357970"/>
    <w:rsid w:val="003601CD"/>
    <w:rsid w:val="003605C2"/>
    <w:rsid w:val="00361ACD"/>
    <w:rsid w:val="00362112"/>
    <w:rsid w:val="00362800"/>
    <w:rsid w:val="00362BB4"/>
    <w:rsid w:val="00363FC7"/>
    <w:rsid w:val="00364295"/>
    <w:rsid w:val="00365A25"/>
    <w:rsid w:val="00366667"/>
    <w:rsid w:val="00366AA0"/>
    <w:rsid w:val="003672CA"/>
    <w:rsid w:val="0036740D"/>
    <w:rsid w:val="00367918"/>
    <w:rsid w:val="00370372"/>
    <w:rsid w:val="00371083"/>
    <w:rsid w:val="0037132B"/>
    <w:rsid w:val="00371485"/>
    <w:rsid w:val="003714C6"/>
    <w:rsid w:val="003719E7"/>
    <w:rsid w:val="003727D3"/>
    <w:rsid w:val="00372E5D"/>
    <w:rsid w:val="00373B75"/>
    <w:rsid w:val="00373D3E"/>
    <w:rsid w:val="00374912"/>
    <w:rsid w:val="00375D37"/>
    <w:rsid w:val="003763CB"/>
    <w:rsid w:val="0037685C"/>
    <w:rsid w:val="00380A66"/>
    <w:rsid w:val="00381942"/>
    <w:rsid w:val="003823B0"/>
    <w:rsid w:val="00382631"/>
    <w:rsid w:val="00382825"/>
    <w:rsid w:val="00384500"/>
    <w:rsid w:val="00385B1A"/>
    <w:rsid w:val="00385BA9"/>
    <w:rsid w:val="00386E8E"/>
    <w:rsid w:val="00387F2F"/>
    <w:rsid w:val="00387F4B"/>
    <w:rsid w:val="00390576"/>
    <w:rsid w:val="00390C42"/>
    <w:rsid w:val="00392759"/>
    <w:rsid w:val="003931B9"/>
    <w:rsid w:val="0039343A"/>
    <w:rsid w:val="003934CC"/>
    <w:rsid w:val="0039377B"/>
    <w:rsid w:val="00393BE9"/>
    <w:rsid w:val="00393E4F"/>
    <w:rsid w:val="00393F96"/>
    <w:rsid w:val="00395717"/>
    <w:rsid w:val="0039649E"/>
    <w:rsid w:val="00396771"/>
    <w:rsid w:val="003971F4"/>
    <w:rsid w:val="00397C7C"/>
    <w:rsid w:val="00397DBA"/>
    <w:rsid w:val="003A1400"/>
    <w:rsid w:val="003A2260"/>
    <w:rsid w:val="003A242E"/>
    <w:rsid w:val="003A2CF8"/>
    <w:rsid w:val="003A3E0A"/>
    <w:rsid w:val="003A45F8"/>
    <w:rsid w:val="003A6CFF"/>
    <w:rsid w:val="003A7471"/>
    <w:rsid w:val="003B13C1"/>
    <w:rsid w:val="003B1ABE"/>
    <w:rsid w:val="003B21F8"/>
    <w:rsid w:val="003B2274"/>
    <w:rsid w:val="003B25D2"/>
    <w:rsid w:val="003B305A"/>
    <w:rsid w:val="003B381F"/>
    <w:rsid w:val="003B3844"/>
    <w:rsid w:val="003B39A1"/>
    <w:rsid w:val="003B4107"/>
    <w:rsid w:val="003B4186"/>
    <w:rsid w:val="003B475D"/>
    <w:rsid w:val="003B4CE3"/>
    <w:rsid w:val="003B57DE"/>
    <w:rsid w:val="003B5CB5"/>
    <w:rsid w:val="003B63DD"/>
    <w:rsid w:val="003B66F6"/>
    <w:rsid w:val="003B7051"/>
    <w:rsid w:val="003B7235"/>
    <w:rsid w:val="003B7246"/>
    <w:rsid w:val="003C006D"/>
    <w:rsid w:val="003C1B35"/>
    <w:rsid w:val="003C276B"/>
    <w:rsid w:val="003C28EC"/>
    <w:rsid w:val="003C31E0"/>
    <w:rsid w:val="003C397F"/>
    <w:rsid w:val="003C3AC5"/>
    <w:rsid w:val="003C3B76"/>
    <w:rsid w:val="003C3ED6"/>
    <w:rsid w:val="003C4384"/>
    <w:rsid w:val="003C4680"/>
    <w:rsid w:val="003C4987"/>
    <w:rsid w:val="003C5790"/>
    <w:rsid w:val="003C596F"/>
    <w:rsid w:val="003C59E1"/>
    <w:rsid w:val="003C6DD3"/>
    <w:rsid w:val="003C7250"/>
    <w:rsid w:val="003C767F"/>
    <w:rsid w:val="003D0764"/>
    <w:rsid w:val="003D1478"/>
    <w:rsid w:val="003D175D"/>
    <w:rsid w:val="003D2EC5"/>
    <w:rsid w:val="003D3293"/>
    <w:rsid w:val="003D34C4"/>
    <w:rsid w:val="003D3F17"/>
    <w:rsid w:val="003D3FD2"/>
    <w:rsid w:val="003D40E6"/>
    <w:rsid w:val="003D4C65"/>
    <w:rsid w:val="003D4D4A"/>
    <w:rsid w:val="003D553F"/>
    <w:rsid w:val="003D5AA9"/>
    <w:rsid w:val="003D61CD"/>
    <w:rsid w:val="003D648B"/>
    <w:rsid w:val="003D7791"/>
    <w:rsid w:val="003D7F1A"/>
    <w:rsid w:val="003E0489"/>
    <w:rsid w:val="003E0702"/>
    <w:rsid w:val="003E0923"/>
    <w:rsid w:val="003E1552"/>
    <w:rsid w:val="003E1EA2"/>
    <w:rsid w:val="003E1FE4"/>
    <w:rsid w:val="003E238A"/>
    <w:rsid w:val="003E2A5C"/>
    <w:rsid w:val="003E5800"/>
    <w:rsid w:val="003E6685"/>
    <w:rsid w:val="003E7542"/>
    <w:rsid w:val="003E7875"/>
    <w:rsid w:val="003E7E27"/>
    <w:rsid w:val="003F2118"/>
    <w:rsid w:val="003F2596"/>
    <w:rsid w:val="003F26EC"/>
    <w:rsid w:val="003F3046"/>
    <w:rsid w:val="003F3445"/>
    <w:rsid w:val="003F3F29"/>
    <w:rsid w:val="003F47BC"/>
    <w:rsid w:val="003F5C9C"/>
    <w:rsid w:val="003F6A35"/>
    <w:rsid w:val="003F72E6"/>
    <w:rsid w:val="003F7AD9"/>
    <w:rsid w:val="003F7B74"/>
    <w:rsid w:val="004000A0"/>
    <w:rsid w:val="00400361"/>
    <w:rsid w:val="004005A4"/>
    <w:rsid w:val="00400838"/>
    <w:rsid w:val="00400A07"/>
    <w:rsid w:val="004019C6"/>
    <w:rsid w:val="004040DE"/>
    <w:rsid w:val="00404EBE"/>
    <w:rsid w:val="00405305"/>
    <w:rsid w:val="00406530"/>
    <w:rsid w:val="00406972"/>
    <w:rsid w:val="004076A5"/>
    <w:rsid w:val="004109F7"/>
    <w:rsid w:val="00411564"/>
    <w:rsid w:val="00411973"/>
    <w:rsid w:val="00411D8B"/>
    <w:rsid w:val="00411F79"/>
    <w:rsid w:val="004122F4"/>
    <w:rsid w:val="004124E7"/>
    <w:rsid w:val="004128EE"/>
    <w:rsid w:val="0041335C"/>
    <w:rsid w:val="00413834"/>
    <w:rsid w:val="0041426A"/>
    <w:rsid w:val="004148DD"/>
    <w:rsid w:val="0041509D"/>
    <w:rsid w:val="00415402"/>
    <w:rsid w:val="00415D3A"/>
    <w:rsid w:val="00415F86"/>
    <w:rsid w:val="0041697E"/>
    <w:rsid w:val="00417A56"/>
    <w:rsid w:val="00417C8B"/>
    <w:rsid w:val="004219E8"/>
    <w:rsid w:val="00421D3A"/>
    <w:rsid w:val="00421D83"/>
    <w:rsid w:val="00421F32"/>
    <w:rsid w:val="00422201"/>
    <w:rsid w:val="00422232"/>
    <w:rsid w:val="00422736"/>
    <w:rsid w:val="00423C67"/>
    <w:rsid w:val="00425921"/>
    <w:rsid w:val="004259F2"/>
    <w:rsid w:val="00425D56"/>
    <w:rsid w:val="00425F37"/>
    <w:rsid w:val="00426E0C"/>
    <w:rsid w:val="004276A4"/>
    <w:rsid w:val="00427D2D"/>
    <w:rsid w:val="004303C1"/>
    <w:rsid w:val="004309A1"/>
    <w:rsid w:val="00430DE2"/>
    <w:rsid w:val="00430F08"/>
    <w:rsid w:val="00431B7D"/>
    <w:rsid w:val="00432533"/>
    <w:rsid w:val="00433E4E"/>
    <w:rsid w:val="004341D7"/>
    <w:rsid w:val="004346E5"/>
    <w:rsid w:val="0043499D"/>
    <w:rsid w:val="0043571B"/>
    <w:rsid w:val="00435C89"/>
    <w:rsid w:val="004366D5"/>
    <w:rsid w:val="00437CA8"/>
    <w:rsid w:val="00441651"/>
    <w:rsid w:val="0044188E"/>
    <w:rsid w:val="0044193E"/>
    <w:rsid w:val="00441A06"/>
    <w:rsid w:val="00441D7C"/>
    <w:rsid w:val="0044244D"/>
    <w:rsid w:val="00442E36"/>
    <w:rsid w:val="00443F65"/>
    <w:rsid w:val="00444DE4"/>
    <w:rsid w:val="00446E00"/>
    <w:rsid w:val="00446EC5"/>
    <w:rsid w:val="00447058"/>
    <w:rsid w:val="004478FA"/>
    <w:rsid w:val="004514AE"/>
    <w:rsid w:val="00451789"/>
    <w:rsid w:val="00451B3C"/>
    <w:rsid w:val="00452121"/>
    <w:rsid w:val="00452700"/>
    <w:rsid w:val="00452711"/>
    <w:rsid w:val="0045324B"/>
    <w:rsid w:val="00453B81"/>
    <w:rsid w:val="0045536C"/>
    <w:rsid w:val="004559AF"/>
    <w:rsid w:val="00457092"/>
    <w:rsid w:val="00457D1D"/>
    <w:rsid w:val="00461069"/>
    <w:rsid w:val="00461577"/>
    <w:rsid w:val="0046167D"/>
    <w:rsid w:val="00461C35"/>
    <w:rsid w:val="00462ABB"/>
    <w:rsid w:val="00463206"/>
    <w:rsid w:val="00463361"/>
    <w:rsid w:val="00464074"/>
    <w:rsid w:val="00464407"/>
    <w:rsid w:val="00464674"/>
    <w:rsid w:val="004646A6"/>
    <w:rsid w:val="00465CD5"/>
    <w:rsid w:val="00465E7D"/>
    <w:rsid w:val="00466557"/>
    <w:rsid w:val="00470D74"/>
    <w:rsid w:val="004716DB"/>
    <w:rsid w:val="00472E39"/>
    <w:rsid w:val="00472F25"/>
    <w:rsid w:val="00473097"/>
    <w:rsid w:val="004732B6"/>
    <w:rsid w:val="00473C0F"/>
    <w:rsid w:val="0047433F"/>
    <w:rsid w:val="00474C47"/>
    <w:rsid w:val="00474CA8"/>
    <w:rsid w:val="004761A5"/>
    <w:rsid w:val="004761C4"/>
    <w:rsid w:val="00476245"/>
    <w:rsid w:val="0047639E"/>
    <w:rsid w:val="00476A2D"/>
    <w:rsid w:val="00476C1C"/>
    <w:rsid w:val="00476C4E"/>
    <w:rsid w:val="00477A90"/>
    <w:rsid w:val="00477B94"/>
    <w:rsid w:val="00477FF6"/>
    <w:rsid w:val="00480B84"/>
    <w:rsid w:val="00480EFE"/>
    <w:rsid w:val="004810E0"/>
    <w:rsid w:val="00481407"/>
    <w:rsid w:val="00481513"/>
    <w:rsid w:val="00481592"/>
    <w:rsid w:val="00481A52"/>
    <w:rsid w:val="0048255A"/>
    <w:rsid w:val="004828BB"/>
    <w:rsid w:val="0048296D"/>
    <w:rsid w:val="004837CB"/>
    <w:rsid w:val="004849AA"/>
    <w:rsid w:val="00484BCD"/>
    <w:rsid w:val="00485FF8"/>
    <w:rsid w:val="004861F8"/>
    <w:rsid w:val="00486CAF"/>
    <w:rsid w:val="00486DC2"/>
    <w:rsid w:val="0049031E"/>
    <w:rsid w:val="004906ED"/>
    <w:rsid w:val="004907B1"/>
    <w:rsid w:val="0049126A"/>
    <w:rsid w:val="00491B74"/>
    <w:rsid w:val="00492F85"/>
    <w:rsid w:val="00493263"/>
    <w:rsid w:val="004932F3"/>
    <w:rsid w:val="00493908"/>
    <w:rsid w:val="0049443F"/>
    <w:rsid w:val="00496665"/>
    <w:rsid w:val="004974E2"/>
    <w:rsid w:val="00497821"/>
    <w:rsid w:val="00497CD7"/>
    <w:rsid w:val="00497E34"/>
    <w:rsid w:val="004A0EAD"/>
    <w:rsid w:val="004A13C0"/>
    <w:rsid w:val="004A27F6"/>
    <w:rsid w:val="004A2B79"/>
    <w:rsid w:val="004A2D47"/>
    <w:rsid w:val="004A4A73"/>
    <w:rsid w:val="004A513C"/>
    <w:rsid w:val="004A625A"/>
    <w:rsid w:val="004A6FA1"/>
    <w:rsid w:val="004A7484"/>
    <w:rsid w:val="004B0314"/>
    <w:rsid w:val="004B04FB"/>
    <w:rsid w:val="004B184E"/>
    <w:rsid w:val="004B1CFF"/>
    <w:rsid w:val="004B272B"/>
    <w:rsid w:val="004B2F68"/>
    <w:rsid w:val="004B31E9"/>
    <w:rsid w:val="004B367E"/>
    <w:rsid w:val="004B3C2B"/>
    <w:rsid w:val="004B5A87"/>
    <w:rsid w:val="004B6487"/>
    <w:rsid w:val="004B66F4"/>
    <w:rsid w:val="004C085B"/>
    <w:rsid w:val="004C2642"/>
    <w:rsid w:val="004C3252"/>
    <w:rsid w:val="004C387B"/>
    <w:rsid w:val="004C48AB"/>
    <w:rsid w:val="004C4CFF"/>
    <w:rsid w:val="004C5396"/>
    <w:rsid w:val="004C67C0"/>
    <w:rsid w:val="004C6C30"/>
    <w:rsid w:val="004C7893"/>
    <w:rsid w:val="004C7B83"/>
    <w:rsid w:val="004C7D1E"/>
    <w:rsid w:val="004D0AFA"/>
    <w:rsid w:val="004D0C82"/>
    <w:rsid w:val="004D0CA1"/>
    <w:rsid w:val="004D1DFE"/>
    <w:rsid w:val="004D25C5"/>
    <w:rsid w:val="004D48AA"/>
    <w:rsid w:val="004D4AF9"/>
    <w:rsid w:val="004D4CBB"/>
    <w:rsid w:val="004D5822"/>
    <w:rsid w:val="004D6615"/>
    <w:rsid w:val="004D7915"/>
    <w:rsid w:val="004E1516"/>
    <w:rsid w:val="004E1D88"/>
    <w:rsid w:val="004E2EDF"/>
    <w:rsid w:val="004E3C94"/>
    <w:rsid w:val="004E3DFC"/>
    <w:rsid w:val="004E3E3F"/>
    <w:rsid w:val="004E3F66"/>
    <w:rsid w:val="004E5339"/>
    <w:rsid w:val="004E53A0"/>
    <w:rsid w:val="004E5565"/>
    <w:rsid w:val="004E6ED2"/>
    <w:rsid w:val="004E785F"/>
    <w:rsid w:val="004E7D98"/>
    <w:rsid w:val="004E7DA3"/>
    <w:rsid w:val="004F0D79"/>
    <w:rsid w:val="004F1502"/>
    <w:rsid w:val="004F32C4"/>
    <w:rsid w:val="004F340A"/>
    <w:rsid w:val="004F4271"/>
    <w:rsid w:val="004F4FB7"/>
    <w:rsid w:val="004F5B21"/>
    <w:rsid w:val="004F6025"/>
    <w:rsid w:val="004F609D"/>
    <w:rsid w:val="004F6B70"/>
    <w:rsid w:val="004F70C0"/>
    <w:rsid w:val="004F77FF"/>
    <w:rsid w:val="004F7A24"/>
    <w:rsid w:val="004F7CBC"/>
    <w:rsid w:val="004F7D68"/>
    <w:rsid w:val="00500037"/>
    <w:rsid w:val="005007FC"/>
    <w:rsid w:val="0050150D"/>
    <w:rsid w:val="00502B26"/>
    <w:rsid w:val="00503391"/>
    <w:rsid w:val="00503440"/>
    <w:rsid w:val="00504113"/>
    <w:rsid w:val="0050424C"/>
    <w:rsid w:val="00504659"/>
    <w:rsid w:val="00504829"/>
    <w:rsid w:val="00504A18"/>
    <w:rsid w:val="00504C59"/>
    <w:rsid w:val="00504E15"/>
    <w:rsid w:val="00505EB3"/>
    <w:rsid w:val="005102A9"/>
    <w:rsid w:val="00510FC3"/>
    <w:rsid w:val="00511CD4"/>
    <w:rsid w:val="00511D3D"/>
    <w:rsid w:val="00511D84"/>
    <w:rsid w:val="00512A46"/>
    <w:rsid w:val="005132EC"/>
    <w:rsid w:val="00514BE1"/>
    <w:rsid w:val="0051570E"/>
    <w:rsid w:val="00515AB4"/>
    <w:rsid w:val="00516847"/>
    <w:rsid w:val="00516A17"/>
    <w:rsid w:val="00516B7D"/>
    <w:rsid w:val="005176A2"/>
    <w:rsid w:val="00517712"/>
    <w:rsid w:val="00517812"/>
    <w:rsid w:val="005178A7"/>
    <w:rsid w:val="00517DA2"/>
    <w:rsid w:val="0052129D"/>
    <w:rsid w:val="00521A27"/>
    <w:rsid w:val="00522B5F"/>
    <w:rsid w:val="00522F2D"/>
    <w:rsid w:val="00523B83"/>
    <w:rsid w:val="00523D6A"/>
    <w:rsid w:val="005241B6"/>
    <w:rsid w:val="00530EB7"/>
    <w:rsid w:val="00530FF1"/>
    <w:rsid w:val="00531090"/>
    <w:rsid w:val="00531901"/>
    <w:rsid w:val="00532503"/>
    <w:rsid w:val="00532C60"/>
    <w:rsid w:val="005337F8"/>
    <w:rsid w:val="005343F3"/>
    <w:rsid w:val="00534446"/>
    <w:rsid w:val="00534B68"/>
    <w:rsid w:val="00534F27"/>
    <w:rsid w:val="00535423"/>
    <w:rsid w:val="00535D5B"/>
    <w:rsid w:val="005363FA"/>
    <w:rsid w:val="0054008E"/>
    <w:rsid w:val="00541522"/>
    <w:rsid w:val="005417FF"/>
    <w:rsid w:val="00541916"/>
    <w:rsid w:val="00542888"/>
    <w:rsid w:val="00543407"/>
    <w:rsid w:val="00545D04"/>
    <w:rsid w:val="0055023F"/>
    <w:rsid w:val="00550518"/>
    <w:rsid w:val="0055172C"/>
    <w:rsid w:val="00551F13"/>
    <w:rsid w:val="00552871"/>
    <w:rsid w:val="005554EF"/>
    <w:rsid w:val="0055598A"/>
    <w:rsid w:val="00556433"/>
    <w:rsid w:val="0055727B"/>
    <w:rsid w:val="0056020E"/>
    <w:rsid w:val="00560435"/>
    <w:rsid w:val="005605BC"/>
    <w:rsid w:val="00560791"/>
    <w:rsid w:val="00560824"/>
    <w:rsid w:val="00560DDC"/>
    <w:rsid w:val="0056120A"/>
    <w:rsid w:val="00562233"/>
    <w:rsid w:val="005625EF"/>
    <w:rsid w:val="005627B1"/>
    <w:rsid w:val="005635B2"/>
    <w:rsid w:val="00563BD0"/>
    <w:rsid w:val="00563E30"/>
    <w:rsid w:val="00565B4A"/>
    <w:rsid w:val="00567073"/>
    <w:rsid w:val="00567503"/>
    <w:rsid w:val="00570CD4"/>
    <w:rsid w:val="0057206F"/>
    <w:rsid w:val="00572462"/>
    <w:rsid w:val="005731E2"/>
    <w:rsid w:val="005734C7"/>
    <w:rsid w:val="00573F33"/>
    <w:rsid w:val="00574059"/>
    <w:rsid w:val="00574EA6"/>
    <w:rsid w:val="00574FA0"/>
    <w:rsid w:val="00575DA0"/>
    <w:rsid w:val="00577986"/>
    <w:rsid w:val="00577D78"/>
    <w:rsid w:val="005819BD"/>
    <w:rsid w:val="00582CAA"/>
    <w:rsid w:val="005831A5"/>
    <w:rsid w:val="0058354E"/>
    <w:rsid w:val="00583927"/>
    <w:rsid w:val="00583B31"/>
    <w:rsid w:val="00583FC8"/>
    <w:rsid w:val="00584F56"/>
    <w:rsid w:val="00585554"/>
    <w:rsid w:val="00585BC7"/>
    <w:rsid w:val="00586679"/>
    <w:rsid w:val="00586E27"/>
    <w:rsid w:val="00587378"/>
    <w:rsid w:val="00587524"/>
    <w:rsid w:val="00590DEA"/>
    <w:rsid w:val="00590EB7"/>
    <w:rsid w:val="005911B0"/>
    <w:rsid w:val="005919F8"/>
    <w:rsid w:val="00591D8C"/>
    <w:rsid w:val="005932BB"/>
    <w:rsid w:val="0059393C"/>
    <w:rsid w:val="00593C10"/>
    <w:rsid w:val="00594537"/>
    <w:rsid w:val="005949E3"/>
    <w:rsid w:val="0059500F"/>
    <w:rsid w:val="00595357"/>
    <w:rsid w:val="00595450"/>
    <w:rsid w:val="00595E51"/>
    <w:rsid w:val="00597191"/>
    <w:rsid w:val="005A04FE"/>
    <w:rsid w:val="005A050A"/>
    <w:rsid w:val="005A0712"/>
    <w:rsid w:val="005A0796"/>
    <w:rsid w:val="005A132D"/>
    <w:rsid w:val="005A13DD"/>
    <w:rsid w:val="005A1747"/>
    <w:rsid w:val="005A222E"/>
    <w:rsid w:val="005A27F1"/>
    <w:rsid w:val="005A2976"/>
    <w:rsid w:val="005A3945"/>
    <w:rsid w:val="005A3E2C"/>
    <w:rsid w:val="005A4053"/>
    <w:rsid w:val="005A4715"/>
    <w:rsid w:val="005A4AB9"/>
    <w:rsid w:val="005A5892"/>
    <w:rsid w:val="005A5913"/>
    <w:rsid w:val="005A7CAE"/>
    <w:rsid w:val="005B0F9C"/>
    <w:rsid w:val="005B13EA"/>
    <w:rsid w:val="005B15F7"/>
    <w:rsid w:val="005B16DD"/>
    <w:rsid w:val="005B184D"/>
    <w:rsid w:val="005B25CF"/>
    <w:rsid w:val="005B3D38"/>
    <w:rsid w:val="005B4F40"/>
    <w:rsid w:val="005B53F9"/>
    <w:rsid w:val="005B64B3"/>
    <w:rsid w:val="005B703F"/>
    <w:rsid w:val="005B779E"/>
    <w:rsid w:val="005C0047"/>
    <w:rsid w:val="005C095C"/>
    <w:rsid w:val="005C0B7D"/>
    <w:rsid w:val="005C21C8"/>
    <w:rsid w:val="005C281A"/>
    <w:rsid w:val="005C33EB"/>
    <w:rsid w:val="005C3EDC"/>
    <w:rsid w:val="005C485D"/>
    <w:rsid w:val="005C61A4"/>
    <w:rsid w:val="005C669B"/>
    <w:rsid w:val="005C6CD4"/>
    <w:rsid w:val="005C7CAC"/>
    <w:rsid w:val="005D06B0"/>
    <w:rsid w:val="005D1A0A"/>
    <w:rsid w:val="005D2B79"/>
    <w:rsid w:val="005D3264"/>
    <w:rsid w:val="005D3864"/>
    <w:rsid w:val="005D3C38"/>
    <w:rsid w:val="005D3C4D"/>
    <w:rsid w:val="005D48AA"/>
    <w:rsid w:val="005D4FC0"/>
    <w:rsid w:val="005D5AA6"/>
    <w:rsid w:val="005D6DA7"/>
    <w:rsid w:val="005D705A"/>
    <w:rsid w:val="005D7AB6"/>
    <w:rsid w:val="005D7D8E"/>
    <w:rsid w:val="005E14DC"/>
    <w:rsid w:val="005E187C"/>
    <w:rsid w:val="005E1CF7"/>
    <w:rsid w:val="005E252E"/>
    <w:rsid w:val="005E335D"/>
    <w:rsid w:val="005E3514"/>
    <w:rsid w:val="005E47BB"/>
    <w:rsid w:val="005E580E"/>
    <w:rsid w:val="005E5DB5"/>
    <w:rsid w:val="005E6C20"/>
    <w:rsid w:val="005E7225"/>
    <w:rsid w:val="005F0A39"/>
    <w:rsid w:val="005F0B2E"/>
    <w:rsid w:val="005F1DBA"/>
    <w:rsid w:val="005F1EF5"/>
    <w:rsid w:val="005F35D9"/>
    <w:rsid w:val="005F3AD5"/>
    <w:rsid w:val="005F3B22"/>
    <w:rsid w:val="005F45D9"/>
    <w:rsid w:val="005F4E7E"/>
    <w:rsid w:val="005F4EF4"/>
    <w:rsid w:val="005F5410"/>
    <w:rsid w:val="005F637A"/>
    <w:rsid w:val="005F64B5"/>
    <w:rsid w:val="005F6740"/>
    <w:rsid w:val="005F755F"/>
    <w:rsid w:val="005F7750"/>
    <w:rsid w:val="005F7D9C"/>
    <w:rsid w:val="0060035F"/>
    <w:rsid w:val="0060038F"/>
    <w:rsid w:val="006004E7"/>
    <w:rsid w:val="00600D40"/>
    <w:rsid w:val="00600E3D"/>
    <w:rsid w:val="00601D11"/>
    <w:rsid w:val="006021C5"/>
    <w:rsid w:val="006022F7"/>
    <w:rsid w:val="00602E4E"/>
    <w:rsid w:val="00603B75"/>
    <w:rsid w:val="00604AC6"/>
    <w:rsid w:val="00604C1D"/>
    <w:rsid w:val="00605316"/>
    <w:rsid w:val="006062A7"/>
    <w:rsid w:val="0060653A"/>
    <w:rsid w:val="00606A9D"/>
    <w:rsid w:val="00607703"/>
    <w:rsid w:val="0060794B"/>
    <w:rsid w:val="0061008C"/>
    <w:rsid w:val="006108AE"/>
    <w:rsid w:val="00610C35"/>
    <w:rsid w:val="00611149"/>
    <w:rsid w:val="00612307"/>
    <w:rsid w:val="0061254B"/>
    <w:rsid w:val="006127AE"/>
    <w:rsid w:val="00613097"/>
    <w:rsid w:val="00613D93"/>
    <w:rsid w:val="006143BB"/>
    <w:rsid w:val="00615D4F"/>
    <w:rsid w:val="00620913"/>
    <w:rsid w:val="006212DE"/>
    <w:rsid w:val="00621BF3"/>
    <w:rsid w:val="006225DB"/>
    <w:rsid w:val="00622D91"/>
    <w:rsid w:val="006244E3"/>
    <w:rsid w:val="00626D19"/>
    <w:rsid w:val="006275DA"/>
    <w:rsid w:val="00627DE3"/>
    <w:rsid w:val="00630557"/>
    <w:rsid w:val="0063057B"/>
    <w:rsid w:val="00630FD6"/>
    <w:rsid w:val="00631858"/>
    <w:rsid w:val="00632028"/>
    <w:rsid w:val="006328B6"/>
    <w:rsid w:val="006331D2"/>
    <w:rsid w:val="00633442"/>
    <w:rsid w:val="006336D3"/>
    <w:rsid w:val="00633D37"/>
    <w:rsid w:val="0063417E"/>
    <w:rsid w:val="00634332"/>
    <w:rsid w:val="00636457"/>
    <w:rsid w:val="006369C5"/>
    <w:rsid w:val="00637D9E"/>
    <w:rsid w:val="006400B6"/>
    <w:rsid w:val="00640819"/>
    <w:rsid w:val="00641376"/>
    <w:rsid w:val="00642BA6"/>
    <w:rsid w:val="00643098"/>
    <w:rsid w:val="00643D56"/>
    <w:rsid w:val="006440C1"/>
    <w:rsid w:val="00644695"/>
    <w:rsid w:val="00644715"/>
    <w:rsid w:val="00644EAD"/>
    <w:rsid w:val="00645E8E"/>
    <w:rsid w:val="0064667C"/>
    <w:rsid w:val="00646923"/>
    <w:rsid w:val="00646DB7"/>
    <w:rsid w:val="0064719F"/>
    <w:rsid w:val="00647379"/>
    <w:rsid w:val="00647798"/>
    <w:rsid w:val="00647D3A"/>
    <w:rsid w:val="00650213"/>
    <w:rsid w:val="006503C9"/>
    <w:rsid w:val="0065062D"/>
    <w:rsid w:val="00652085"/>
    <w:rsid w:val="00653582"/>
    <w:rsid w:val="0065373C"/>
    <w:rsid w:val="00653AC6"/>
    <w:rsid w:val="00653AEF"/>
    <w:rsid w:val="00656FC3"/>
    <w:rsid w:val="00657F60"/>
    <w:rsid w:val="00657F6A"/>
    <w:rsid w:val="006606F4"/>
    <w:rsid w:val="0066089E"/>
    <w:rsid w:val="00660A31"/>
    <w:rsid w:val="00660CAB"/>
    <w:rsid w:val="00660D34"/>
    <w:rsid w:val="00661326"/>
    <w:rsid w:val="006651DF"/>
    <w:rsid w:val="00666A25"/>
    <w:rsid w:val="00667493"/>
    <w:rsid w:val="00667742"/>
    <w:rsid w:val="00667EE0"/>
    <w:rsid w:val="00670713"/>
    <w:rsid w:val="00670937"/>
    <w:rsid w:val="00671F8C"/>
    <w:rsid w:val="006727F8"/>
    <w:rsid w:val="00673D3C"/>
    <w:rsid w:val="006744F3"/>
    <w:rsid w:val="006748C6"/>
    <w:rsid w:val="006752A9"/>
    <w:rsid w:val="0067558C"/>
    <w:rsid w:val="00675748"/>
    <w:rsid w:val="00680EA6"/>
    <w:rsid w:val="006811E0"/>
    <w:rsid w:val="00681AB0"/>
    <w:rsid w:val="00681C6C"/>
    <w:rsid w:val="00682B01"/>
    <w:rsid w:val="00682E39"/>
    <w:rsid w:val="00684191"/>
    <w:rsid w:val="006851D6"/>
    <w:rsid w:val="00685B63"/>
    <w:rsid w:val="00685DF9"/>
    <w:rsid w:val="006869E5"/>
    <w:rsid w:val="00686C91"/>
    <w:rsid w:val="0068775D"/>
    <w:rsid w:val="006879D7"/>
    <w:rsid w:val="0069077A"/>
    <w:rsid w:val="006907C3"/>
    <w:rsid w:val="00690AF5"/>
    <w:rsid w:val="00691090"/>
    <w:rsid w:val="006914C1"/>
    <w:rsid w:val="00691C80"/>
    <w:rsid w:val="00692564"/>
    <w:rsid w:val="00692FA5"/>
    <w:rsid w:val="006935F0"/>
    <w:rsid w:val="00693A5C"/>
    <w:rsid w:val="00693FC0"/>
    <w:rsid w:val="00694623"/>
    <w:rsid w:val="00694D0D"/>
    <w:rsid w:val="0069545C"/>
    <w:rsid w:val="00695659"/>
    <w:rsid w:val="00695697"/>
    <w:rsid w:val="00697550"/>
    <w:rsid w:val="00697701"/>
    <w:rsid w:val="0069772F"/>
    <w:rsid w:val="0069778F"/>
    <w:rsid w:val="006978AD"/>
    <w:rsid w:val="00697C62"/>
    <w:rsid w:val="006A082F"/>
    <w:rsid w:val="006A0936"/>
    <w:rsid w:val="006A0D2C"/>
    <w:rsid w:val="006A1E78"/>
    <w:rsid w:val="006A2E68"/>
    <w:rsid w:val="006A2FDB"/>
    <w:rsid w:val="006A377C"/>
    <w:rsid w:val="006A4659"/>
    <w:rsid w:val="006A4A63"/>
    <w:rsid w:val="006A4E0B"/>
    <w:rsid w:val="006A4E76"/>
    <w:rsid w:val="006A5789"/>
    <w:rsid w:val="006A5A55"/>
    <w:rsid w:val="006A6219"/>
    <w:rsid w:val="006A6A34"/>
    <w:rsid w:val="006A6D02"/>
    <w:rsid w:val="006A7807"/>
    <w:rsid w:val="006A7919"/>
    <w:rsid w:val="006A7AC5"/>
    <w:rsid w:val="006A7D38"/>
    <w:rsid w:val="006B0178"/>
    <w:rsid w:val="006B0477"/>
    <w:rsid w:val="006B0AFB"/>
    <w:rsid w:val="006B14BB"/>
    <w:rsid w:val="006B1620"/>
    <w:rsid w:val="006B1BC3"/>
    <w:rsid w:val="006B366E"/>
    <w:rsid w:val="006B3AA1"/>
    <w:rsid w:val="006B5341"/>
    <w:rsid w:val="006B6941"/>
    <w:rsid w:val="006B70B6"/>
    <w:rsid w:val="006B71F3"/>
    <w:rsid w:val="006B744E"/>
    <w:rsid w:val="006B7B75"/>
    <w:rsid w:val="006C00BA"/>
    <w:rsid w:val="006C0990"/>
    <w:rsid w:val="006C0998"/>
    <w:rsid w:val="006C0FA7"/>
    <w:rsid w:val="006C10C9"/>
    <w:rsid w:val="006C1CEE"/>
    <w:rsid w:val="006C22E4"/>
    <w:rsid w:val="006C2598"/>
    <w:rsid w:val="006C279A"/>
    <w:rsid w:val="006C29AA"/>
    <w:rsid w:val="006C322E"/>
    <w:rsid w:val="006C41C4"/>
    <w:rsid w:val="006C5599"/>
    <w:rsid w:val="006C64B3"/>
    <w:rsid w:val="006C7A1E"/>
    <w:rsid w:val="006C7A9E"/>
    <w:rsid w:val="006C7F7C"/>
    <w:rsid w:val="006D0716"/>
    <w:rsid w:val="006D1BF0"/>
    <w:rsid w:val="006D1D24"/>
    <w:rsid w:val="006D2971"/>
    <w:rsid w:val="006D36FF"/>
    <w:rsid w:val="006D4709"/>
    <w:rsid w:val="006D50D8"/>
    <w:rsid w:val="006D5538"/>
    <w:rsid w:val="006D5A39"/>
    <w:rsid w:val="006D6317"/>
    <w:rsid w:val="006D67F2"/>
    <w:rsid w:val="006D6925"/>
    <w:rsid w:val="006D7525"/>
    <w:rsid w:val="006E0FF8"/>
    <w:rsid w:val="006E10D6"/>
    <w:rsid w:val="006E1211"/>
    <w:rsid w:val="006E13F2"/>
    <w:rsid w:val="006E201A"/>
    <w:rsid w:val="006E22A1"/>
    <w:rsid w:val="006E27EB"/>
    <w:rsid w:val="006E35C0"/>
    <w:rsid w:val="006E44D0"/>
    <w:rsid w:val="006E4B63"/>
    <w:rsid w:val="006E5584"/>
    <w:rsid w:val="006E59FB"/>
    <w:rsid w:val="006E77C2"/>
    <w:rsid w:val="006E7987"/>
    <w:rsid w:val="006E7EB0"/>
    <w:rsid w:val="006F003B"/>
    <w:rsid w:val="006F1C0A"/>
    <w:rsid w:val="006F35F1"/>
    <w:rsid w:val="006F3840"/>
    <w:rsid w:val="006F38D2"/>
    <w:rsid w:val="006F3A86"/>
    <w:rsid w:val="006F3B4B"/>
    <w:rsid w:val="006F3D6B"/>
    <w:rsid w:val="006F3ECE"/>
    <w:rsid w:val="006F40CC"/>
    <w:rsid w:val="006F4285"/>
    <w:rsid w:val="006F4544"/>
    <w:rsid w:val="006F548A"/>
    <w:rsid w:val="006F7440"/>
    <w:rsid w:val="00700B5D"/>
    <w:rsid w:val="007015C5"/>
    <w:rsid w:val="0070206E"/>
    <w:rsid w:val="0070326D"/>
    <w:rsid w:val="0070413E"/>
    <w:rsid w:val="0070454F"/>
    <w:rsid w:val="00705231"/>
    <w:rsid w:val="00706ABB"/>
    <w:rsid w:val="00706D00"/>
    <w:rsid w:val="00710130"/>
    <w:rsid w:val="00710F5A"/>
    <w:rsid w:val="00711091"/>
    <w:rsid w:val="0071127E"/>
    <w:rsid w:val="007119B7"/>
    <w:rsid w:val="00711C55"/>
    <w:rsid w:val="00711D4F"/>
    <w:rsid w:val="00712143"/>
    <w:rsid w:val="007126C5"/>
    <w:rsid w:val="00712873"/>
    <w:rsid w:val="00714A01"/>
    <w:rsid w:val="00716294"/>
    <w:rsid w:val="00716442"/>
    <w:rsid w:val="00716A4D"/>
    <w:rsid w:val="00716EB0"/>
    <w:rsid w:val="007172CC"/>
    <w:rsid w:val="00720AE4"/>
    <w:rsid w:val="00720F76"/>
    <w:rsid w:val="00721560"/>
    <w:rsid w:val="007228E3"/>
    <w:rsid w:val="00722F5B"/>
    <w:rsid w:val="00723CC0"/>
    <w:rsid w:val="00724031"/>
    <w:rsid w:val="00725334"/>
    <w:rsid w:val="00725583"/>
    <w:rsid w:val="007261F5"/>
    <w:rsid w:val="00726223"/>
    <w:rsid w:val="007263D1"/>
    <w:rsid w:val="00730229"/>
    <w:rsid w:val="00730631"/>
    <w:rsid w:val="00730A2B"/>
    <w:rsid w:val="00730CA6"/>
    <w:rsid w:val="00732704"/>
    <w:rsid w:val="007329A0"/>
    <w:rsid w:val="00733E18"/>
    <w:rsid w:val="00736634"/>
    <w:rsid w:val="00736AF6"/>
    <w:rsid w:val="00736BC6"/>
    <w:rsid w:val="00736CBD"/>
    <w:rsid w:val="00736D8B"/>
    <w:rsid w:val="00736E68"/>
    <w:rsid w:val="007406F3"/>
    <w:rsid w:val="00740A31"/>
    <w:rsid w:val="007416BD"/>
    <w:rsid w:val="0074190A"/>
    <w:rsid w:val="00743730"/>
    <w:rsid w:val="00743F75"/>
    <w:rsid w:val="00744332"/>
    <w:rsid w:val="0074464D"/>
    <w:rsid w:val="00745291"/>
    <w:rsid w:val="007453C3"/>
    <w:rsid w:val="00745B51"/>
    <w:rsid w:val="00746503"/>
    <w:rsid w:val="0074739B"/>
    <w:rsid w:val="00747778"/>
    <w:rsid w:val="007504A3"/>
    <w:rsid w:val="0075259F"/>
    <w:rsid w:val="00754BAB"/>
    <w:rsid w:val="00754BC7"/>
    <w:rsid w:val="00754EDB"/>
    <w:rsid w:val="00755EF5"/>
    <w:rsid w:val="007562A1"/>
    <w:rsid w:val="0075647A"/>
    <w:rsid w:val="00756802"/>
    <w:rsid w:val="007600F4"/>
    <w:rsid w:val="0076010A"/>
    <w:rsid w:val="00760805"/>
    <w:rsid w:val="007618D9"/>
    <w:rsid w:val="00761C11"/>
    <w:rsid w:val="007622A3"/>
    <w:rsid w:val="00762C96"/>
    <w:rsid w:val="00763A3F"/>
    <w:rsid w:val="00764129"/>
    <w:rsid w:val="00764726"/>
    <w:rsid w:val="00764817"/>
    <w:rsid w:val="007649F3"/>
    <w:rsid w:val="00764D08"/>
    <w:rsid w:val="007652A8"/>
    <w:rsid w:val="0076566E"/>
    <w:rsid w:val="00765AE0"/>
    <w:rsid w:val="00766303"/>
    <w:rsid w:val="00766592"/>
    <w:rsid w:val="00766611"/>
    <w:rsid w:val="00770C5A"/>
    <w:rsid w:val="00771A7C"/>
    <w:rsid w:val="00773396"/>
    <w:rsid w:val="0077441D"/>
    <w:rsid w:val="00774F35"/>
    <w:rsid w:val="007755BD"/>
    <w:rsid w:val="00775C91"/>
    <w:rsid w:val="00776669"/>
    <w:rsid w:val="00776A06"/>
    <w:rsid w:val="007772E0"/>
    <w:rsid w:val="00777453"/>
    <w:rsid w:val="0077771F"/>
    <w:rsid w:val="007778AE"/>
    <w:rsid w:val="0078008A"/>
    <w:rsid w:val="00780244"/>
    <w:rsid w:val="0078025E"/>
    <w:rsid w:val="0078027A"/>
    <w:rsid w:val="00780703"/>
    <w:rsid w:val="007808B6"/>
    <w:rsid w:val="00780D59"/>
    <w:rsid w:val="00784474"/>
    <w:rsid w:val="00784CCF"/>
    <w:rsid w:val="00784E8A"/>
    <w:rsid w:val="00784F3E"/>
    <w:rsid w:val="007867CE"/>
    <w:rsid w:val="00787087"/>
    <w:rsid w:val="00787215"/>
    <w:rsid w:val="007875E0"/>
    <w:rsid w:val="00790AF4"/>
    <w:rsid w:val="00791550"/>
    <w:rsid w:val="007918A2"/>
    <w:rsid w:val="007928FD"/>
    <w:rsid w:val="0079350E"/>
    <w:rsid w:val="00794EC6"/>
    <w:rsid w:val="007952EB"/>
    <w:rsid w:val="00795840"/>
    <w:rsid w:val="00796665"/>
    <w:rsid w:val="00796A1A"/>
    <w:rsid w:val="00796BC0"/>
    <w:rsid w:val="007972E5"/>
    <w:rsid w:val="00797333"/>
    <w:rsid w:val="0079772F"/>
    <w:rsid w:val="007A0FC0"/>
    <w:rsid w:val="007A17AE"/>
    <w:rsid w:val="007A221D"/>
    <w:rsid w:val="007A261A"/>
    <w:rsid w:val="007A28AD"/>
    <w:rsid w:val="007A4C87"/>
    <w:rsid w:val="007A59CD"/>
    <w:rsid w:val="007A5A95"/>
    <w:rsid w:val="007A6EEA"/>
    <w:rsid w:val="007B04B5"/>
    <w:rsid w:val="007B096C"/>
    <w:rsid w:val="007B276F"/>
    <w:rsid w:val="007B30F2"/>
    <w:rsid w:val="007B3CB8"/>
    <w:rsid w:val="007B3CF9"/>
    <w:rsid w:val="007B5DC8"/>
    <w:rsid w:val="007B5EFA"/>
    <w:rsid w:val="007B6B61"/>
    <w:rsid w:val="007B7260"/>
    <w:rsid w:val="007B72DD"/>
    <w:rsid w:val="007B7441"/>
    <w:rsid w:val="007B7603"/>
    <w:rsid w:val="007C1606"/>
    <w:rsid w:val="007C2262"/>
    <w:rsid w:val="007C282E"/>
    <w:rsid w:val="007C2A47"/>
    <w:rsid w:val="007C2AC6"/>
    <w:rsid w:val="007C30AF"/>
    <w:rsid w:val="007C3B9F"/>
    <w:rsid w:val="007C4CA4"/>
    <w:rsid w:val="007C5E11"/>
    <w:rsid w:val="007D00E6"/>
    <w:rsid w:val="007D09CB"/>
    <w:rsid w:val="007D1214"/>
    <w:rsid w:val="007D2697"/>
    <w:rsid w:val="007D3431"/>
    <w:rsid w:val="007D3503"/>
    <w:rsid w:val="007D3D3F"/>
    <w:rsid w:val="007D3E15"/>
    <w:rsid w:val="007D4233"/>
    <w:rsid w:val="007D4DAB"/>
    <w:rsid w:val="007D4FF9"/>
    <w:rsid w:val="007D5294"/>
    <w:rsid w:val="007D59AB"/>
    <w:rsid w:val="007D5AB3"/>
    <w:rsid w:val="007D6F40"/>
    <w:rsid w:val="007E1C36"/>
    <w:rsid w:val="007E251B"/>
    <w:rsid w:val="007E25C2"/>
    <w:rsid w:val="007E26F4"/>
    <w:rsid w:val="007E288C"/>
    <w:rsid w:val="007E2CB8"/>
    <w:rsid w:val="007E415E"/>
    <w:rsid w:val="007E4784"/>
    <w:rsid w:val="007E4AAD"/>
    <w:rsid w:val="007E4EE3"/>
    <w:rsid w:val="007E74C5"/>
    <w:rsid w:val="007E7B93"/>
    <w:rsid w:val="007F0845"/>
    <w:rsid w:val="007F08D5"/>
    <w:rsid w:val="007F09EC"/>
    <w:rsid w:val="007F1010"/>
    <w:rsid w:val="007F2E8A"/>
    <w:rsid w:val="007F2F19"/>
    <w:rsid w:val="007F3B76"/>
    <w:rsid w:val="007F4268"/>
    <w:rsid w:val="007F582B"/>
    <w:rsid w:val="007F5D53"/>
    <w:rsid w:val="007F67F2"/>
    <w:rsid w:val="007F6B1A"/>
    <w:rsid w:val="007F74B8"/>
    <w:rsid w:val="007F76F9"/>
    <w:rsid w:val="007F7768"/>
    <w:rsid w:val="007F7841"/>
    <w:rsid w:val="007F7ADC"/>
    <w:rsid w:val="007F7B4F"/>
    <w:rsid w:val="007F7DA7"/>
    <w:rsid w:val="00801B53"/>
    <w:rsid w:val="00801ECE"/>
    <w:rsid w:val="00801F10"/>
    <w:rsid w:val="00802A0D"/>
    <w:rsid w:val="00802D40"/>
    <w:rsid w:val="00803055"/>
    <w:rsid w:val="008036FA"/>
    <w:rsid w:val="00803C97"/>
    <w:rsid w:val="00803E92"/>
    <w:rsid w:val="0080482B"/>
    <w:rsid w:val="0080523E"/>
    <w:rsid w:val="008068CF"/>
    <w:rsid w:val="00806B65"/>
    <w:rsid w:val="00812478"/>
    <w:rsid w:val="00812F87"/>
    <w:rsid w:val="00813ACD"/>
    <w:rsid w:val="00813F3A"/>
    <w:rsid w:val="008152BB"/>
    <w:rsid w:val="00815306"/>
    <w:rsid w:val="0081542B"/>
    <w:rsid w:val="00816225"/>
    <w:rsid w:val="00816B89"/>
    <w:rsid w:val="00817ADC"/>
    <w:rsid w:val="00817D8E"/>
    <w:rsid w:val="00820A3B"/>
    <w:rsid w:val="00821381"/>
    <w:rsid w:val="008215B3"/>
    <w:rsid w:val="0082281E"/>
    <w:rsid w:val="00822E93"/>
    <w:rsid w:val="00823AC9"/>
    <w:rsid w:val="008240E3"/>
    <w:rsid w:val="00824698"/>
    <w:rsid w:val="00826550"/>
    <w:rsid w:val="0082655D"/>
    <w:rsid w:val="00827760"/>
    <w:rsid w:val="008278DA"/>
    <w:rsid w:val="008301B3"/>
    <w:rsid w:val="0083087E"/>
    <w:rsid w:val="00830EFE"/>
    <w:rsid w:val="008311E3"/>
    <w:rsid w:val="0083138A"/>
    <w:rsid w:val="008323EE"/>
    <w:rsid w:val="00832808"/>
    <w:rsid w:val="00835217"/>
    <w:rsid w:val="008355C2"/>
    <w:rsid w:val="00835F3A"/>
    <w:rsid w:val="0083796B"/>
    <w:rsid w:val="0084057D"/>
    <w:rsid w:val="00840F56"/>
    <w:rsid w:val="00841402"/>
    <w:rsid w:val="008416C0"/>
    <w:rsid w:val="0084197A"/>
    <w:rsid w:val="00841C9E"/>
    <w:rsid w:val="0084229B"/>
    <w:rsid w:val="008424F3"/>
    <w:rsid w:val="00842EBD"/>
    <w:rsid w:val="00844A4D"/>
    <w:rsid w:val="00844AFE"/>
    <w:rsid w:val="008452F9"/>
    <w:rsid w:val="008456B3"/>
    <w:rsid w:val="0084589B"/>
    <w:rsid w:val="0084740C"/>
    <w:rsid w:val="00847AA8"/>
    <w:rsid w:val="00847D26"/>
    <w:rsid w:val="00850CC8"/>
    <w:rsid w:val="0085115C"/>
    <w:rsid w:val="008528C3"/>
    <w:rsid w:val="00853486"/>
    <w:rsid w:val="0085414E"/>
    <w:rsid w:val="00855011"/>
    <w:rsid w:val="0085575B"/>
    <w:rsid w:val="008565C8"/>
    <w:rsid w:val="00856BB7"/>
    <w:rsid w:val="008572ED"/>
    <w:rsid w:val="00860A87"/>
    <w:rsid w:val="00860BFC"/>
    <w:rsid w:val="0086275C"/>
    <w:rsid w:val="0086305E"/>
    <w:rsid w:val="00863280"/>
    <w:rsid w:val="00863501"/>
    <w:rsid w:val="00863815"/>
    <w:rsid w:val="008646E3"/>
    <w:rsid w:val="00865547"/>
    <w:rsid w:val="00866061"/>
    <w:rsid w:val="008660F5"/>
    <w:rsid w:val="008666BC"/>
    <w:rsid w:val="008666DC"/>
    <w:rsid w:val="00866C6D"/>
    <w:rsid w:val="00867F81"/>
    <w:rsid w:val="008702C3"/>
    <w:rsid w:val="008707E5"/>
    <w:rsid w:val="00870832"/>
    <w:rsid w:val="00874147"/>
    <w:rsid w:val="008742DA"/>
    <w:rsid w:val="0087563D"/>
    <w:rsid w:val="00875946"/>
    <w:rsid w:val="008764F6"/>
    <w:rsid w:val="00876555"/>
    <w:rsid w:val="00876835"/>
    <w:rsid w:val="00876F37"/>
    <w:rsid w:val="00877F7F"/>
    <w:rsid w:val="0088114F"/>
    <w:rsid w:val="00881AFF"/>
    <w:rsid w:val="00882C75"/>
    <w:rsid w:val="00882F69"/>
    <w:rsid w:val="008833EF"/>
    <w:rsid w:val="00883B67"/>
    <w:rsid w:val="00884B95"/>
    <w:rsid w:val="008850F6"/>
    <w:rsid w:val="00885386"/>
    <w:rsid w:val="00885F3B"/>
    <w:rsid w:val="00885F50"/>
    <w:rsid w:val="00886F01"/>
    <w:rsid w:val="00887F35"/>
    <w:rsid w:val="008901B2"/>
    <w:rsid w:val="0089068D"/>
    <w:rsid w:val="00893698"/>
    <w:rsid w:val="0089376C"/>
    <w:rsid w:val="00893DF2"/>
    <w:rsid w:val="00893F58"/>
    <w:rsid w:val="008940D5"/>
    <w:rsid w:val="00894446"/>
    <w:rsid w:val="008947DF"/>
    <w:rsid w:val="008953E1"/>
    <w:rsid w:val="00895522"/>
    <w:rsid w:val="00895A54"/>
    <w:rsid w:val="00895D58"/>
    <w:rsid w:val="008974BF"/>
    <w:rsid w:val="008A01EC"/>
    <w:rsid w:val="008A1534"/>
    <w:rsid w:val="008A15E7"/>
    <w:rsid w:val="008A1DB8"/>
    <w:rsid w:val="008A1E00"/>
    <w:rsid w:val="008A2D28"/>
    <w:rsid w:val="008A2DDC"/>
    <w:rsid w:val="008A3CF9"/>
    <w:rsid w:val="008A41B0"/>
    <w:rsid w:val="008A45BB"/>
    <w:rsid w:val="008A5C9F"/>
    <w:rsid w:val="008A630A"/>
    <w:rsid w:val="008A68E5"/>
    <w:rsid w:val="008A6987"/>
    <w:rsid w:val="008A69A0"/>
    <w:rsid w:val="008A6AC1"/>
    <w:rsid w:val="008A6FC6"/>
    <w:rsid w:val="008A7A4E"/>
    <w:rsid w:val="008A7BEC"/>
    <w:rsid w:val="008B00B8"/>
    <w:rsid w:val="008B0EC3"/>
    <w:rsid w:val="008B14E8"/>
    <w:rsid w:val="008B18B8"/>
    <w:rsid w:val="008B1A5B"/>
    <w:rsid w:val="008B245E"/>
    <w:rsid w:val="008B42F1"/>
    <w:rsid w:val="008B5939"/>
    <w:rsid w:val="008B65CC"/>
    <w:rsid w:val="008B6E2D"/>
    <w:rsid w:val="008B7142"/>
    <w:rsid w:val="008C0090"/>
    <w:rsid w:val="008C02A3"/>
    <w:rsid w:val="008C02DD"/>
    <w:rsid w:val="008C1421"/>
    <w:rsid w:val="008C24A4"/>
    <w:rsid w:val="008C2980"/>
    <w:rsid w:val="008C2D88"/>
    <w:rsid w:val="008C2DE5"/>
    <w:rsid w:val="008C4BD1"/>
    <w:rsid w:val="008C64DD"/>
    <w:rsid w:val="008C6654"/>
    <w:rsid w:val="008D05F3"/>
    <w:rsid w:val="008D0AC4"/>
    <w:rsid w:val="008D162A"/>
    <w:rsid w:val="008D2FD9"/>
    <w:rsid w:val="008D3133"/>
    <w:rsid w:val="008D3966"/>
    <w:rsid w:val="008D3E0A"/>
    <w:rsid w:val="008D4281"/>
    <w:rsid w:val="008D4653"/>
    <w:rsid w:val="008D4FF8"/>
    <w:rsid w:val="008D59F7"/>
    <w:rsid w:val="008D5CA1"/>
    <w:rsid w:val="008D621A"/>
    <w:rsid w:val="008D6DE5"/>
    <w:rsid w:val="008D747C"/>
    <w:rsid w:val="008D75E1"/>
    <w:rsid w:val="008E08C2"/>
    <w:rsid w:val="008E15F5"/>
    <w:rsid w:val="008E21E9"/>
    <w:rsid w:val="008E38F2"/>
    <w:rsid w:val="008E57C1"/>
    <w:rsid w:val="008E5CD7"/>
    <w:rsid w:val="008E5F6B"/>
    <w:rsid w:val="008E6846"/>
    <w:rsid w:val="008E68B1"/>
    <w:rsid w:val="008E6F63"/>
    <w:rsid w:val="008E7854"/>
    <w:rsid w:val="008E78ED"/>
    <w:rsid w:val="008E794C"/>
    <w:rsid w:val="008E7B89"/>
    <w:rsid w:val="008E7DF9"/>
    <w:rsid w:val="008E7EEB"/>
    <w:rsid w:val="008F004D"/>
    <w:rsid w:val="008F1993"/>
    <w:rsid w:val="008F2C09"/>
    <w:rsid w:val="008F2D69"/>
    <w:rsid w:val="008F333E"/>
    <w:rsid w:val="008F3A43"/>
    <w:rsid w:val="008F3DA8"/>
    <w:rsid w:val="008F3DFB"/>
    <w:rsid w:val="008F5834"/>
    <w:rsid w:val="008F6689"/>
    <w:rsid w:val="008F6919"/>
    <w:rsid w:val="008F6EA6"/>
    <w:rsid w:val="008F6EBC"/>
    <w:rsid w:val="008F7A8A"/>
    <w:rsid w:val="0090045B"/>
    <w:rsid w:val="009004C0"/>
    <w:rsid w:val="009016AA"/>
    <w:rsid w:val="0090195A"/>
    <w:rsid w:val="00901DEA"/>
    <w:rsid w:val="0090200B"/>
    <w:rsid w:val="009020D2"/>
    <w:rsid w:val="00902E66"/>
    <w:rsid w:val="0090346C"/>
    <w:rsid w:val="0090470C"/>
    <w:rsid w:val="00904D22"/>
    <w:rsid w:val="00905484"/>
    <w:rsid w:val="0090670A"/>
    <w:rsid w:val="00906E74"/>
    <w:rsid w:val="009101C6"/>
    <w:rsid w:val="0091160D"/>
    <w:rsid w:val="00912BA9"/>
    <w:rsid w:val="00916C01"/>
    <w:rsid w:val="00917D6F"/>
    <w:rsid w:val="009200BB"/>
    <w:rsid w:val="00920564"/>
    <w:rsid w:val="009205C9"/>
    <w:rsid w:val="00921A3D"/>
    <w:rsid w:val="00921B99"/>
    <w:rsid w:val="00925085"/>
    <w:rsid w:val="009269FE"/>
    <w:rsid w:val="00926ADA"/>
    <w:rsid w:val="00926FBE"/>
    <w:rsid w:val="0092796C"/>
    <w:rsid w:val="0093024E"/>
    <w:rsid w:val="00930576"/>
    <w:rsid w:val="009307AB"/>
    <w:rsid w:val="00931495"/>
    <w:rsid w:val="00931C76"/>
    <w:rsid w:val="00933B30"/>
    <w:rsid w:val="00933B67"/>
    <w:rsid w:val="00934373"/>
    <w:rsid w:val="00935F60"/>
    <w:rsid w:val="0093608E"/>
    <w:rsid w:val="009361CA"/>
    <w:rsid w:val="00936843"/>
    <w:rsid w:val="00936879"/>
    <w:rsid w:val="00936FF5"/>
    <w:rsid w:val="00940F6B"/>
    <w:rsid w:val="009419A3"/>
    <w:rsid w:val="00944073"/>
    <w:rsid w:val="00944770"/>
    <w:rsid w:val="00944BBB"/>
    <w:rsid w:val="00945B32"/>
    <w:rsid w:val="00945D2A"/>
    <w:rsid w:val="00945E43"/>
    <w:rsid w:val="00946717"/>
    <w:rsid w:val="00950143"/>
    <w:rsid w:val="009507BB"/>
    <w:rsid w:val="00950A5A"/>
    <w:rsid w:val="00950B82"/>
    <w:rsid w:val="0095138F"/>
    <w:rsid w:val="00951F44"/>
    <w:rsid w:val="0095220C"/>
    <w:rsid w:val="009522A4"/>
    <w:rsid w:val="009529EF"/>
    <w:rsid w:val="0095356C"/>
    <w:rsid w:val="009538EF"/>
    <w:rsid w:val="00953D0A"/>
    <w:rsid w:val="009546BD"/>
    <w:rsid w:val="00954D0D"/>
    <w:rsid w:val="0095539B"/>
    <w:rsid w:val="0095567A"/>
    <w:rsid w:val="009560C3"/>
    <w:rsid w:val="00960855"/>
    <w:rsid w:val="00961DA2"/>
    <w:rsid w:val="00961F2B"/>
    <w:rsid w:val="009622D4"/>
    <w:rsid w:val="009630EB"/>
    <w:rsid w:val="00963DF4"/>
    <w:rsid w:val="009644FF"/>
    <w:rsid w:val="0096504F"/>
    <w:rsid w:val="0096505D"/>
    <w:rsid w:val="009662C1"/>
    <w:rsid w:val="009663A4"/>
    <w:rsid w:val="00966B73"/>
    <w:rsid w:val="00966E5B"/>
    <w:rsid w:val="009701DF"/>
    <w:rsid w:val="009714EA"/>
    <w:rsid w:val="009726BB"/>
    <w:rsid w:val="009732AD"/>
    <w:rsid w:val="009733A7"/>
    <w:rsid w:val="009746CC"/>
    <w:rsid w:val="00975945"/>
    <w:rsid w:val="0097622F"/>
    <w:rsid w:val="00976473"/>
    <w:rsid w:val="00976CC5"/>
    <w:rsid w:val="009771BA"/>
    <w:rsid w:val="00977C6B"/>
    <w:rsid w:val="009814A9"/>
    <w:rsid w:val="0098179F"/>
    <w:rsid w:val="00981828"/>
    <w:rsid w:val="00982991"/>
    <w:rsid w:val="00982A35"/>
    <w:rsid w:val="00983128"/>
    <w:rsid w:val="00983332"/>
    <w:rsid w:val="00983900"/>
    <w:rsid w:val="00984908"/>
    <w:rsid w:val="00984C02"/>
    <w:rsid w:val="00984CE6"/>
    <w:rsid w:val="00984E2E"/>
    <w:rsid w:val="009859C2"/>
    <w:rsid w:val="00985CC2"/>
    <w:rsid w:val="00985D40"/>
    <w:rsid w:val="00986C66"/>
    <w:rsid w:val="009870A6"/>
    <w:rsid w:val="0098768D"/>
    <w:rsid w:val="00987AF8"/>
    <w:rsid w:val="009900FA"/>
    <w:rsid w:val="00991B2E"/>
    <w:rsid w:val="009927E9"/>
    <w:rsid w:val="0099325E"/>
    <w:rsid w:val="00994282"/>
    <w:rsid w:val="00994DA2"/>
    <w:rsid w:val="0099647A"/>
    <w:rsid w:val="009972D5"/>
    <w:rsid w:val="009A05E6"/>
    <w:rsid w:val="009A0972"/>
    <w:rsid w:val="009A20B8"/>
    <w:rsid w:val="009A30C4"/>
    <w:rsid w:val="009A3378"/>
    <w:rsid w:val="009A4370"/>
    <w:rsid w:val="009A485C"/>
    <w:rsid w:val="009A53AA"/>
    <w:rsid w:val="009A5B12"/>
    <w:rsid w:val="009A6489"/>
    <w:rsid w:val="009A6659"/>
    <w:rsid w:val="009A699B"/>
    <w:rsid w:val="009B096D"/>
    <w:rsid w:val="009B1C65"/>
    <w:rsid w:val="009B2579"/>
    <w:rsid w:val="009B29FB"/>
    <w:rsid w:val="009B308F"/>
    <w:rsid w:val="009B35EE"/>
    <w:rsid w:val="009B3A88"/>
    <w:rsid w:val="009B4073"/>
    <w:rsid w:val="009B419E"/>
    <w:rsid w:val="009B53B7"/>
    <w:rsid w:val="009C0E3E"/>
    <w:rsid w:val="009C12A2"/>
    <w:rsid w:val="009C2187"/>
    <w:rsid w:val="009C2808"/>
    <w:rsid w:val="009C2988"/>
    <w:rsid w:val="009C3890"/>
    <w:rsid w:val="009C5124"/>
    <w:rsid w:val="009C5DD5"/>
    <w:rsid w:val="009C5FAD"/>
    <w:rsid w:val="009C7012"/>
    <w:rsid w:val="009C7699"/>
    <w:rsid w:val="009D0147"/>
    <w:rsid w:val="009D0230"/>
    <w:rsid w:val="009D0341"/>
    <w:rsid w:val="009D0A3F"/>
    <w:rsid w:val="009D22EB"/>
    <w:rsid w:val="009D2F58"/>
    <w:rsid w:val="009D30C9"/>
    <w:rsid w:val="009D30FB"/>
    <w:rsid w:val="009D4009"/>
    <w:rsid w:val="009D4081"/>
    <w:rsid w:val="009D5F89"/>
    <w:rsid w:val="009D681E"/>
    <w:rsid w:val="009E086A"/>
    <w:rsid w:val="009E0B92"/>
    <w:rsid w:val="009E0D6C"/>
    <w:rsid w:val="009E1920"/>
    <w:rsid w:val="009E2D1C"/>
    <w:rsid w:val="009E4095"/>
    <w:rsid w:val="009E4380"/>
    <w:rsid w:val="009E53B5"/>
    <w:rsid w:val="009E5C19"/>
    <w:rsid w:val="009E6206"/>
    <w:rsid w:val="009E647A"/>
    <w:rsid w:val="009E731F"/>
    <w:rsid w:val="009E74D2"/>
    <w:rsid w:val="009E77AC"/>
    <w:rsid w:val="009E7E8C"/>
    <w:rsid w:val="009F0884"/>
    <w:rsid w:val="009F08F4"/>
    <w:rsid w:val="009F0E28"/>
    <w:rsid w:val="009F1985"/>
    <w:rsid w:val="009F28C7"/>
    <w:rsid w:val="009F2A3C"/>
    <w:rsid w:val="009F2F19"/>
    <w:rsid w:val="009F38DA"/>
    <w:rsid w:val="009F3B77"/>
    <w:rsid w:val="009F5C5E"/>
    <w:rsid w:val="009F5FCE"/>
    <w:rsid w:val="009F6644"/>
    <w:rsid w:val="009F6A77"/>
    <w:rsid w:val="009F7E25"/>
    <w:rsid w:val="00A00BAC"/>
    <w:rsid w:val="00A015EA"/>
    <w:rsid w:val="00A017D8"/>
    <w:rsid w:val="00A02BB5"/>
    <w:rsid w:val="00A033CD"/>
    <w:rsid w:val="00A05048"/>
    <w:rsid w:val="00A05A77"/>
    <w:rsid w:val="00A0635D"/>
    <w:rsid w:val="00A06D2A"/>
    <w:rsid w:val="00A070DA"/>
    <w:rsid w:val="00A07176"/>
    <w:rsid w:val="00A10D7C"/>
    <w:rsid w:val="00A11EED"/>
    <w:rsid w:val="00A12269"/>
    <w:rsid w:val="00A1289B"/>
    <w:rsid w:val="00A12FB2"/>
    <w:rsid w:val="00A13206"/>
    <w:rsid w:val="00A1402A"/>
    <w:rsid w:val="00A14353"/>
    <w:rsid w:val="00A145AF"/>
    <w:rsid w:val="00A14B03"/>
    <w:rsid w:val="00A15ED7"/>
    <w:rsid w:val="00A163D9"/>
    <w:rsid w:val="00A16935"/>
    <w:rsid w:val="00A16BA2"/>
    <w:rsid w:val="00A17194"/>
    <w:rsid w:val="00A17B22"/>
    <w:rsid w:val="00A17E34"/>
    <w:rsid w:val="00A20136"/>
    <w:rsid w:val="00A208AF"/>
    <w:rsid w:val="00A20C0F"/>
    <w:rsid w:val="00A21A2E"/>
    <w:rsid w:val="00A21C44"/>
    <w:rsid w:val="00A2232C"/>
    <w:rsid w:val="00A24C0A"/>
    <w:rsid w:val="00A24DEF"/>
    <w:rsid w:val="00A250D1"/>
    <w:rsid w:val="00A2622A"/>
    <w:rsid w:val="00A26EF4"/>
    <w:rsid w:val="00A26F5A"/>
    <w:rsid w:val="00A3008C"/>
    <w:rsid w:val="00A30A18"/>
    <w:rsid w:val="00A31B79"/>
    <w:rsid w:val="00A34192"/>
    <w:rsid w:val="00A37B2B"/>
    <w:rsid w:val="00A37E26"/>
    <w:rsid w:val="00A40EF1"/>
    <w:rsid w:val="00A4126A"/>
    <w:rsid w:val="00A41570"/>
    <w:rsid w:val="00A41583"/>
    <w:rsid w:val="00A41BD5"/>
    <w:rsid w:val="00A42E99"/>
    <w:rsid w:val="00A4381D"/>
    <w:rsid w:val="00A43F2B"/>
    <w:rsid w:val="00A448D7"/>
    <w:rsid w:val="00A44F8B"/>
    <w:rsid w:val="00A45D55"/>
    <w:rsid w:val="00A4690F"/>
    <w:rsid w:val="00A46A80"/>
    <w:rsid w:val="00A50C7F"/>
    <w:rsid w:val="00A513F1"/>
    <w:rsid w:val="00A51967"/>
    <w:rsid w:val="00A5209D"/>
    <w:rsid w:val="00A52A3C"/>
    <w:rsid w:val="00A53459"/>
    <w:rsid w:val="00A540DD"/>
    <w:rsid w:val="00A544C2"/>
    <w:rsid w:val="00A54D77"/>
    <w:rsid w:val="00A55867"/>
    <w:rsid w:val="00A566FE"/>
    <w:rsid w:val="00A56F69"/>
    <w:rsid w:val="00A572CB"/>
    <w:rsid w:val="00A60098"/>
    <w:rsid w:val="00A610A5"/>
    <w:rsid w:val="00A61880"/>
    <w:rsid w:val="00A618FB"/>
    <w:rsid w:val="00A6199F"/>
    <w:rsid w:val="00A620DF"/>
    <w:rsid w:val="00A6271D"/>
    <w:rsid w:val="00A62C7F"/>
    <w:rsid w:val="00A643AE"/>
    <w:rsid w:val="00A652F6"/>
    <w:rsid w:val="00A66680"/>
    <w:rsid w:val="00A67946"/>
    <w:rsid w:val="00A67985"/>
    <w:rsid w:val="00A719A3"/>
    <w:rsid w:val="00A71B0A"/>
    <w:rsid w:val="00A71C8A"/>
    <w:rsid w:val="00A72945"/>
    <w:rsid w:val="00A73A60"/>
    <w:rsid w:val="00A745DB"/>
    <w:rsid w:val="00A74F76"/>
    <w:rsid w:val="00A75B6B"/>
    <w:rsid w:val="00A75D83"/>
    <w:rsid w:val="00A76166"/>
    <w:rsid w:val="00A7624E"/>
    <w:rsid w:val="00A76B83"/>
    <w:rsid w:val="00A776D0"/>
    <w:rsid w:val="00A77818"/>
    <w:rsid w:val="00A801D4"/>
    <w:rsid w:val="00A80AA4"/>
    <w:rsid w:val="00A827B2"/>
    <w:rsid w:val="00A82FD4"/>
    <w:rsid w:val="00A83A2A"/>
    <w:rsid w:val="00A83B54"/>
    <w:rsid w:val="00A84B88"/>
    <w:rsid w:val="00A8602D"/>
    <w:rsid w:val="00A86330"/>
    <w:rsid w:val="00A86B17"/>
    <w:rsid w:val="00A86C68"/>
    <w:rsid w:val="00A870F6"/>
    <w:rsid w:val="00A87CB6"/>
    <w:rsid w:val="00A87E61"/>
    <w:rsid w:val="00A904E8"/>
    <w:rsid w:val="00A90E1E"/>
    <w:rsid w:val="00A92605"/>
    <w:rsid w:val="00A9278C"/>
    <w:rsid w:val="00A95182"/>
    <w:rsid w:val="00A9521E"/>
    <w:rsid w:val="00A95539"/>
    <w:rsid w:val="00AA07AD"/>
    <w:rsid w:val="00AA09A3"/>
    <w:rsid w:val="00AA1763"/>
    <w:rsid w:val="00AA1BD5"/>
    <w:rsid w:val="00AA2368"/>
    <w:rsid w:val="00AA29BA"/>
    <w:rsid w:val="00AA2CFB"/>
    <w:rsid w:val="00AA3478"/>
    <w:rsid w:val="00AA3852"/>
    <w:rsid w:val="00AA4D5B"/>
    <w:rsid w:val="00AA4E06"/>
    <w:rsid w:val="00AB0004"/>
    <w:rsid w:val="00AB092B"/>
    <w:rsid w:val="00AB0C1B"/>
    <w:rsid w:val="00AB0E78"/>
    <w:rsid w:val="00AB526A"/>
    <w:rsid w:val="00AB536E"/>
    <w:rsid w:val="00AB554B"/>
    <w:rsid w:val="00AB5844"/>
    <w:rsid w:val="00AB65A1"/>
    <w:rsid w:val="00AB717E"/>
    <w:rsid w:val="00AC0578"/>
    <w:rsid w:val="00AC158A"/>
    <w:rsid w:val="00AC1C39"/>
    <w:rsid w:val="00AC22EA"/>
    <w:rsid w:val="00AC2F3A"/>
    <w:rsid w:val="00AC33EB"/>
    <w:rsid w:val="00AC3F98"/>
    <w:rsid w:val="00AC4B97"/>
    <w:rsid w:val="00AC5A5D"/>
    <w:rsid w:val="00AC61CB"/>
    <w:rsid w:val="00AC6490"/>
    <w:rsid w:val="00AC6659"/>
    <w:rsid w:val="00AC77B6"/>
    <w:rsid w:val="00AC7966"/>
    <w:rsid w:val="00AC7980"/>
    <w:rsid w:val="00AC7A1A"/>
    <w:rsid w:val="00AD1B35"/>
    <w:rsid w:val="00AD2A8A"/>
    <w:rsid w:val="00AD308D"/>
    <w:rsid w:val="00AD4435"/>
    <w:rsid w:val="00AD50C9"/>
    <w:rsid w:val="00AD5B67"/>
    <w:rsid w:val="00AE0F77"/>
    <w:rsid w:val="00AE14EC"/>
    <w:rsid w:val="00AE190E"/>
    <w:rsid w:val="00AE1AE0"/>
    <w:rsid w:val="00AE1BCA"/>
    <w:rsid w:val="00AE2217"/>
    <w:rsid w:val="00AE22A7"/>
    <w:rsid w:val="00AE24C1"/>
    <w:rsid w:val="00AE4687"/>
    <w:rsid w:val="00AE48DB"/>
    <w:rsid w:val="00AE4D52"/>
    <w:rsid w:val="00AE7EEE"/>
    <w:rsid w:val="00AF0079"/>
    <w:rsid w:val="00AF05A2"/>
    <w:rsid w:val="00AF1721"/>
    <w:rsid w:val="00AF1E1E"/>
    <w:rsid w:val="00AF2271"/>
    <w:rsid w:val="00AF2619"/>
    <w:rsid w:val="00AF2907"/>
    <w:rsid w:val="00AF2FFE"/>
    <w:rsid w:val="00AF34D5"/>
    <w:rsid w:val="00AF420D"/>
    <w:rsid w:val="00AF4B16"/>
    <w:rsid w:val="00AF5326"/>
    <w:rsid w:val="00AF5814"/>
    <w:rsid w:val="00AF5B6A"/>
    <w:rsid w:val="00AF6BBE"/>
    <w:rsid w:val="00AF6DDA"/>
    <w:rsid w:val="00AF6E18"/>
    <w:rsid w:val="00AF762C"/>
    <w:rsid w:val="00B00DE0"/>
    <w:rsid w:val="00B00EF0"/>
    <w:rsid w:val="00B00F51"/>
    <w:rsid w:val="00B01E7E"/>
    <w:rsid w:val="00B023D3"/>
    <w:rsid w:val="00B032DF"/>
    <w:rsid w:val="00B0341A"/>
    <w:rsid w:val="00B03533"/>
    <w:rsid w:val="00B03C3A"/>
    <w:rsid w:val="00B03D3B"/>
    <w:rsid w:val="00B04B4B"/>
    <w:rsid w:val="00B056FA"/>
    <w:rsid w:val="00B0582C"/>
    <w:rsid w:val="00B0598F"/>
    <w:rsid w:val="00B0639A"/>
    <w:rsid w:val="00B06EA1"/>
    <w:rsid w:val="00B07A24"/>
    <w:rsid w:val="00B105B6"/>
    <w:rsid w:val="00B11B58"/>
    <w:rsid w:val="00B11C23"/>
    <w:rsid w:val="00B12109"/>
    <w:rsid w:val="00B12406"/>
    <w:rsid w:val="00B124F3"/>
    <w:rsid w:val="00B12A17"/>
    <w:rsid w:val="00B12CB6"/>
    <w:rsid w:val="00B12CBA"/>
    <w:rsid w:val="00B13C1F"/>
    <w:rsid w:val="00B140BC"/>
    <w:rsid w:val="00B14A1C"/>
    <w:rsid w:val="00B16087"/>
    <w:rsid w:val="00B16475"/>
    <w:rsid w:val="00B16BE1"/>
    <w:rsid w:val="00B20D66"/>
    <w:rsid w:val="00B21C16"/>
    <w:rsid w:val="00B21DF2"/>
    <w:rsid w:val="00B22CBC"/>
    <w:rsid w:val="00B235B8"/>
    <w:rsid w:val="00B248D5"/>
    <w:rsid w:val="00B25D61"/>
    <w:rsid w:val="00B27973"/>
    <w:rsid w:val="00B279D1"/>
    <w:rsid w:val="00B307E1"/>
    <w:rsid w:val="00B314D2"/>
    <w:rsid w:val="00B3152B"/>
    <w:rsid w:val="00B34278"/>
    <w:rsid w:val="00B343C8"/>
    <w:rsid w:val="00B3466B"/>
    <w:rsid w:val="00B34CB6"/>
    <w:rsid w:val="00B35FDC"/>
    <w:rsid w:val="00B3627B"/>
    <w:rsid w:val="00B36CC1"/>
    <w:rsid w:val="00B36ED5"/>
    <w:rsid w:val="00B3732B"/>
    <w:rsid w:val="00B37939"/>
    <w:rsid w:val="00B37D46"/>
    <w:rsid w:val="00B40967"/>
    <w:rsid w:val="00B40C35"/>
    <w:rsid w:val="00B4130F"/>
    <w:rsid w:val="00B418DF"/>
    <w:rsid w:val="00B42130"/>
    <w:rsid w:val="00B4294A"/>
    <w:rsid w:val="00B431E3"/>
    <w:rsid w:val="00B43DF9"/>
    <w:rsid w:val="00B441BE"/>
    <w:rsid w:val="00B4424E"/>
    <w:rsid w:val="00B449AC"/>
    <w:rsid w:val="00B45146"/>
    <w:rsid w:val="00B46473"/>
    <w:rsid w:val="00B47999"/>
    <w:rsid w:val="00B47F25"/>
    <w:rsid w:val="00B508A3"/>
    <w:rsid w:val="00B51697"/>
    <w:rsid w:val="00B52224"/>
    <w:rsid w:val="00B53190"/>
    <w:rsid w:val="00B54A9F"/>
    <w:rsid w:val="00B54CD2"/>
    <w:rsid w:val="00B559E2"/>
    <w:rsid w:val="00B574D2"/>
    <w:rsid w:val="00B579A9"/>
    <w:rsid w:val="00B62645"/>
    <w:rsid w:val="00B63C50"/>
    <w:rsid w:val="00B63E8A"/>
    <w:rsid w:val="00B6429A"/>
    <w:rsid w:val="00B6436D"/>
    <w:rsid w:val="00B64D7A"/>
    <w:rsid w:val="00B6524C"/>
    <w:rsid w:val="00B6602D"/>
    <w:rsid w:val="00B700FF"/>
    <w:rsid w:val="00B70873"/>
    <w:rsid w:val="00B709AB"/>
    <w:rsid w:val="00B73EC1"/>
    <w:rsid w:val="00B743EB"/>
    <w:rsid w:val="00B74722"/>
    <w:rsid w:val="00B752AB"/>
    <w:rsid w:val="00B75E12"/>
    <w:rsid w:val="00B7656B"/>
    <w:rsid w:val="00B774D5"/>
    <w:rsid w:val="00B77695"/>
    <w:rsid w:val="00B77726"/>
    <w:rsid w:val="00B77E55"/>
    <w:rsid w:val="00B8128F"/>
    <w:rsid w:val="00B81548"/>
    <w:rsid w:val="00B81662"/>
    <w:rsid w:val="00B81BC7"/>
    <w:rsid w:val="00B82354"/>
    <w:rsid w:val="00B82DE2"/>
    <w:rsid w:val="00B83524"/>
    <w:rsid w:val="00B844BD"/>
    <w:rsid w:val="00B85278"/>
    <w:rsid w:val="00B85469"/>
    <w:rsid w:val="00B85722"/>
    <w:rsid w:val="00B85DD7"/>
    <w:rsid w:val="00B86550"/>
    <w:rsid w:val="00B86771"/>
    <w:rsid w:val="00B871E8"/>
    <w:rsid w:val="00B91AF6"/>
    <w:rsid w:val="00B92F0B"/>
    <w:rsid w:val="00B9511E"/>
    <w:rsid w:val="00B973F1"/>
    <w:rsid w:val="00BA06BD"/>
    <w:rsid w:val="00BA2155"/>
    <w:rsid w:val="00BA3759"/>
    <w:rsid w:val="00BA49A2"/>
    <w:rsid w:val="00BA5C73"/>
    <w:rsid w:val="00BA709F"/>
    <w:rsid w:val="00BA70E3"/>
    <w:rsid w:val="00BA769B"/>
    <w:rsid w:val="00BA7899"/>
    <w:rsid w:val="00BA7B16"/>
    <w:rsid w:val="00BB09BA"/>
    <w:rsid w:val="00BB30EF"/>
    <w:rsid w:val="00BB3E32"/>
    <w:rsid w:val="00BB3E7F"/>
    <w:rsid w:val="00BB48F1"/>
    <w:rsid w:val="00BB4A69"/>
    <w:rsid w:val="00BB4CAF"/>
    <w:rsid w:val="00BB6C55"/>
    <w:rsid w:val="00BB780C"/>
    <w:rsid w:val="00BC0374"/>
    <w:rsid w:val="00BC072E"/>
    <w:rsid w:val="00BC09AC"/>
    <w:rsid w:val="00BC0A48"/>
    <w:rsid w:val="00BC0C41"/>
    <w:rsid w:val="00BC2244"/>
    <w:rsid w:val="00BC2421"/>
    <w:rsid w:val="00BC243D"/>
    <w:rsid w:val="00BC2603"/>
    <w:rsid w:val="00BC3B7E"/>
    <w:rsid w:val="00BC3C3C"/>
    <w:rsid w:val="00BC4329"/>
    <w:rsid w:val="00BC4389"/>
    <w:rsid w:val="00BC4FEB"/>
    <w:rsid w:val="00BC5821"/>
    <w:rsid w:val="00BC5A5E"/>
    <w:rsid w:val="00BC66B0"/>
    <w:rsid w:val="00BC6A0A"/>
    <w:rsid w:val="00BD01B7"/>
    <w:rsid w:val="00BD2C54"/>
    <w:rsid w:val="00BD2FFC"/>
    <w:rsid w:val="00BD3288"/>
    <w:rsid w:val="00BD32C5"/>
    <w:rsid w:val="00BD3D91"/>
    <w:rsid w:val="00BD4FF2"/>
    <w:rsid w:val="00BD54FC"/>
    <w:rsid w:val="00BD569F"/>
    <w:rsid w:val="00BD5B8D"/>
    <w:rsid w:val="00BD6C42"/>
    <w:rsid w:val="00BD79DC"/>
    <w:rsid w:val="00BD7A39"/>
    <w:rsid w:val="00BD7AC1"/>
    <w:rsid w:val="00BE0384"/>
    <w:rsid w:val="00BE048F"/>
    <w:rsid w:val="00BE0618"/>
    <w:rsid w:val="00BE0BF0"/>
    <w:rsid w:val="00BE140B"/>
    <w:rsid w:val="00BE1870"/>
    <w:rsid w:val="00BE1C9D"/>
    <w:rsid w:val="00BE1FB0"/>
    <w:rsid w:val="00BE24D3"/>
    <w:rsid w:val="00BE2B37"/>
    <w:rsid w:val="00BE45D0"/>
    <w:rsid w:val="00BE5422"/>
    <w:rsid w:val="00BE59BF"/>
    <w:rsid w:val="00BE7C05"/>
    <w:rsid w:val="00BF214C"/>
    <w:rsid w:val="00BF2CC2"/>
    <w:rsid w:val="00BF4B58"/>
    <w:rsid w:val="00BF5207"/>
    <w:rsid w:val="00BF69E6"/>
    <w:rsid w:val="00BF73A4"/>
    <w:rsid w:val="00BF74DA"/>
    <w:rsid w:val="00C004AB"/>
    <w:rsid w:val="00C01869"/>
    <w:rsid w:val="00C01F4C"/>
    <w:rsid w:val="00C0206F"/>
    <w:rsid w:val="00C0233D"/>
    <w:rsid w:val="00C02686"/>
    <w:rsid w:val="00C026A7"/>
    <w:rsid w:val="00C04E0F"/>
    <w:rsid w:val="00C050E8"/>
    <w:rsid w:val="00C05A7C"/>
    <w:rsid w:val="00C07235"/>
    <w:rsid w:val="00C0745B"/>
    <w:rsid w:val="00C07E8F"/>
    <w:rsid w:val="00C10175"/>
    <w:rsid w:val="00C105F9"/>
    <w:rsid w:val="00C10A2B"/>
    <w:rsid w:val="00C10BCF"/>
    <w:rsid w:val="00C11DE2"/>
    <w:rsid w:val="00C13109"/>
    <w:rsid w:val="00C13232"/>
    <w:rsid w:val="00C15F95"/>
    <w:rsid w:val="00C162B8"/>
    <w:rsid w:val="00C162C1"/>
    <w:rsid w:val="00C1688A"/>
    <w:rsid w:val="00C168AA"/>
    <w:rsid w:val="00C16CB9"/>
    <w:rsid w:val="00C1723C"/>
    <w:rsid w:val="00C173AF"/>
    <w:rsid w:val="00C17705"/>
    <w:rsid w:val="00C17A4D"/>
    <w:rsid w:val="00C21275"/>
    <w:rsid w:val="00C2144E"/>
    <w:rsid w:val="00C2146B"/>
    <w:rsid w:val="00C21B78"/>
    <w:rsid w:val="00C22A5E"/>
    <w:rsid w:val="00C23D36"/>
    <w:rsid w:val="00C24008"/>
    <w:rsid w:val="00C24288"/>
    <w:rsid w:val="00C2486F"/>
    <w:rsid w:val="00C24C41"/>
    <w:rsid w:val="00C25886"/>
    <w:rsid w:val="00C25A01"/>
    <w:rsid w:val="00C25CA6"/>
    <w:rsid w:val="00C25D68"/>
    <w:rsid w:val="00C26351"/>
    <w:rsid w:val="00C26546"/>
    <w:rsid w:val="00C26C74"/>
    <w:rsid w:val="00C30498"/>
    <w:rsid w:val="00C30951"/>
    <w:rsid w:val="00C31ABC"/>
    <w:rsid w:val="00C33539"/>
    <w:rsid w:val="00C33856"/>
    <w:rsid w:val="00C33912"/>
    <w:rsid w:val="00C33CDB"/>
    <w:rsid w:val="00C33E7C"/>
    <w:rsid w:val="00C356A7"/>
    <w:rsid w:val="00C36DB4"/>
    <w:rsid w:val="00C3704F"/>
    <w:rsid w:val="00C37F8A"/>
    <w:rsid w:val="00C40E9C"/>
    <w:rsid w:val="00C411B4"/>
    <w:rsid w:val="00C41A43"/>
    <w:rsid w:val="00C41BCF"/>
    <w:rsid w:val="00C4335C"/>
    <w:rsid w:val="00C43F27"/>
    <w:rsid w:val="00C43F81"/>
    <w:rsid w:val="00C44037"/>
    <w:rsid w:val="00C4447D"/>
    <w:rsid w:val="00C44B10"/>
    <w:rsid w:val="00C44CB0"/>
    <w:rsid w:val="00C44F29"/>
    <w:rsid w:val="00C4574B"/>
    <w:rsid w:val="00C46BB2"/>
    <w:rsid w:val="00C47B0A"/>
    <w:rsid w:val="00C47D04"/>
    <w:rsid w:val="00C50453"/>
    <w:rsid w:val="00C504C3"/>
    <w:rsid w:val="00C51DE8"/>
    <w:rsid w:val="00C54DF5"/>
    <w:rsid w:val="00C54F44"/>
    <w:rsid w:val="00C551C3"/>
    <w:rsid w:val="00C558EE"/>
    <w:rsid w:val="00C55EBB"/>
    <w:rsid w:val="00C5612D"/>
    <w:rsid w:val="00C56220"/>
    <w:rsid w:val="00C566A8"/>
    <w:rsid w:val="00C57EE9"/>
    <w:rsid w:val="00C60706"/>
    <w:rsid w:val="00C60870"/>
    <w:rsid w:val="00C60FB2"/>
    <w:rsid w:val="00C62192"/>
    <w:rsid w:val="00C63162"/>
    <w:rsid w:val="00C63550"/>
    <w:rsid w:val="00C64092"/>
    <w:rsid w:val="00C6416E"/>
    <w:rsid w:val="00C66509"/>
    <w:rsid w:val="00C671EA"/>
    <w:rsid w:val="00C6732D"/>
    <w:rsid w:val="00C67918"/>
    <w:rsid w:val="00C70592"/>
    <w:rsid w:val="00C7062D"/>
    <w:rsid w:val="00C712C5"/>
    <w:rsid w:val="00C717A0"/>
    <w:rsid w:val="00C71D9B"/>
    <w:rsid w:val="00C71E5F"/>
    <w:rsid w:val="00C71EB4"/>
    <w:rsid w:val="00C7376B"/>
    <w:rsid w:val="00C74D53"/>
    <w:rsid w:val="00C7574B"/>
    <w:rsid w:val="00C75B2E"/>
    <w:rsid w:val="00C76042"/>
    <w:rsid w:val="00C803E8"/>
    <w:rsid w:val="00C80502"/>
    <w:rsid w:val="00C811D2"/>
    <w:rsid w:val="00C81852"/>
    <w:rsid w:val="00C819B0"/>
    <w:rsid w:val="00C821E9"/>
    <w:rsid w:val="00C825E0"/>
    <w:rsid w:val="00C8274C"/>
    <w:rsid w:val="00C82B5D"/>
    <w:rsid w:val="00C8301E"/>
    <w:rsid w:val="00C833D0"/>
    <w:rsid w:val="00C837A3"/>
    <w:rsid w:val="00C83E5E"/>
    <w:rsid w:val="00C84A82"/>
    <w:rsid w:val="00C85BE1"/>
    <w:rsid w:val="00C85FA7"/>
    <w:rsid w:val="00C86C8E"/>
    <w:rsid w:val="00C87347"/>
    <w:rsid w:val="00C87534"/>
    <w:rsid w:val="00C87E63"/>
    <w:rsid w:val="00C911E0"/>
    <w:rsid w:val="00C9164B"/>
    <w:rsid w:val="00C92669"/>
    <w:rsid w:val="00C927CA"/>
    <w:rsid w:val="00C93B6C"/>
    <w:rsid w:val="00C94C5E"/>
    <w:rsid w:val="00C94DA4"/>
    <w:rsid w:val="00C959DC"/>
    <w:rsid w:val="00C95D32"/>
    <w:rsid w:val="00CA08A0"/>
    <w:rsid w:val="00CA2B69"/>
    <w:rsid w:val="00CA2BDE"/>
    <w:rsid w:val="00CA338F"/>
    <w:rsid w:val="00CA5486"/>
    <w:rsid w:val="00CA55C7"/>
    <w:rsid w:val="00CA5D57"/>
    <w:rsid w:val="00CA6752"/>
    <w:rsid w:val="00CA741A"/>
    <w:rsid w:val="00CB0055"/>
    <w:rsid w:val="00CB0525"/>
    <w:rsid w:val="00CB0585"/>
    <w:rsid w:val="00CB140A"/>
    <w:rsid w:val="00CB1539"/>
    <w:rsid w:val="00CB1E42"/>
    <w:rsid w:val="00CB4124"/>
    <w:rsid w:val="00CB432F"/>
    <w:rsid w:val="00CB66FA"/>
    <w:rsid w:val="00CB672F"/>
    <w:rsid w:val="00CB7DCD"/>
    <w:rsid w:val="00CC0EE2"/>
    <w:rsid w:val="00CC10AB"/>
    <w:rsid w:val="00CC116B"/>
    <w:rsid w:val="00CC1670"/>
    <w:rsid w:val="00CC1F37"/>
    <w:rsid w:val="00CC1FC4"/>
    <w:rsid w:val="00CC2156"/>
    <w:rsid w:val="00CC2E60"/>
    <w:rsid w:val="00CC32C3"/>
    <w:rsid w:val="00CC36C1"/>
    <w:rsid w:val="00CC3E06"/>
    <w:rsid w:val="00CC40FA"/>
    <w:rsid w:val="00CC47DF"/>
    <w:rsid w:val="00CC4951"/>
    <w:rsid w:val="00CC4B9B"/>
    <w:rsid w:val="00CC4C9F"/>
    <w:rsid w:val="00CC4E32"/>
    <w:rsid w:val="00CC61E0"/>
    <w:rsid w:val="00CC6BBB"/>
    <w:rsid w:val="00CC6C2E"/>
    <w:rsid w:val="00CC6DE3"/>
    <w:rsid w:val="00CC713B"/>
    <w:rsid w:val="00CC7160"/>
    <w:rsid w:val="00CD1F5E"/>
    <w:rsid w:val="00CD301F"/>
    <w:rsid w:val="00CD3E83"/>
    <w:rsid w:val="00CD48C4"/>
    <w:rsid w:val="00CD4BDD"/>
    <w:rsid w:val="00CD61AD"/>
    <w:rsid w:val="00CD6498"/>
    <w:rsid w:val="00CD7CC3"/>
    <w:rsid w:val="00CD7E83"/>
    <w:rsid w:val="00CE0086"/>
    <w:rsid w:val="00CE1328"/>
    <w:rsid w:val="00CE1955"/>
    <w:rsid w:val="00CE1979"/>
    <w:rsid w:val="00CE24ED"/>
    <w:rsid w:val="00CE2621"/>
    <w:rsid w:val="00CE3923"/>
    <w:rsid w:val="00CE3F20"/>
    <w:rsid w:val="00CE3F5B"/>
    <w:rsid w:val="00CE49BF"/>
    <w:rsid w:val="00CE5E27"/>
    <w:rsid w:val="00CE63A3"/>
    <w:rsid w:val="00CE7D3C"/>
    <w:rsid w:val="00CF01C3"/>
    <w:rsid w:val="00CF1014"/>
    <w:rsid w:val="00CF105A"/>
    <w:rsid w:val="00CF2018"/>
    <w:rsid w:val="00CF2B4F"/>
    <w:rsid w:val="00CF2D60"/>
    <w:rsid w:val="00CF40F5"/>
    <w:rsid w:val="00CF4477"/>
    <w:rsid w:val="00CF4E8C"/>
    <w:rsid w:val="00CF564D"/>
    <w:rsid w:val="00CF622F"/>
    <w:rsid w:val="00CF6DEC"/>
    <w:rsid w:val="00CF7996"/>
    <w:rsid w:val="00CF7AED"/>
    <w:rsid w:val="00D0088E"/>
    <w:rsid w:val="00D02103"/>
    <w:rsid w:val="00D03AA8"/>
    <w:rsid w:val="00D0406B"/>
    <w:rsid w:val="00D04A50"/>
    <w:rsid w:val="00D04BEF"/>
    <w:rsid w:val="00D05585"/>
    <w:rsid w:val="00D056BE"/>
    <w:rsid w:val="00D05C63"/>
    <w:rsid w:val="00D0639C"/>
    <w:rsid w:val="00D06564"/>
    <w:rsid w:val="00D06AB5"/>
    <w:rsid w:val="00D072D8"/>
    <w:rsid w:val="00D074B4"/>
    <w:rsid w:val="00D07D91"/>
    <w:rsid w:val="00D07E23"/>
    <w:rsid w:val="00D1082D"/>
    <w:rsid w:val="00D11A00"/>
    <w:rsid w:val="00D124F7"/>
    <w:rsid w:val="00D12E0B"/>
    <w:rsid w:val="00D13592"/>
    <w:rsid w:val="00D13AF1"/>
    <w:rsid w:val="00D13BD3"/>
    <w:rsid w:val="00D145C1"/>
    <w:rsid w:val="00D15979"/>
    <w:rsid w:val="00D16491"/>
    <w:rsid w:val="00D169D5"/>
    <w:rsid w:val="00D1712B"/>
    <w:rsid w:val="00D17442"/>
    <w:rsid w:val="00D176F0"/>
    <w:rsid w:val="00D17F67"/>
    <w:rsid w:val="00D213F5"/>
    <w:rsid w:val="00D21EFB"/>
    <w:rsid w:val="00D2249E"/>
    <w:rsid w:val="00D23450"/>
    <w:rsid w:val="00D235CE"/>
    <w:rsid w:val="00D236D9"/>
    <w:rsid w:val="00D248B3"/>
    <w:rsid w:val="00D24942"/>
    <w:rsid w:val="00D25BF7"/>
    <w:rsid w:val="00D25C13"/>
    <w:rsid w:val="00D279DA"/>
    <w:rsid w:val="00D30897"/>
    <w:rsid w:val="00D317AC"/>
    <w:rsid w:val="00D32299"/>
    <w:rsid w:val="00D3345D"/>
    <w:rsid w:val="00D33C85"/>
    <w:rsid w:val="00D34C97"/>
    <w:rsid w:val="00D35001"/>
    <w:rsid w:val="00D351B5"/>
    <w:rsid w:val="00D35518"/>
    <w:rsid w:val="00D364D8"/>
    <w:rsid w:val="00D36DF1"/>
    <w:rsid w:val="00D404C3"/>
    <w:rsid w:val="00D40615"/>
    <w:rsid w:val="00D40B0C"/>
    <w:rsid w:val="00D41B99"/>
    <w:rsid w:val="00D427F2"/>
    <w:rsid w:val="00D4286F"/>
    <w:rsid w:val="00D435B3"/>
    <w:rsid w:val="00D43EC3"/>
    <w:rsid w:val="00D441F8"/>
    <w:rsid w:val="00D447E4"/>
    <w:rsid w:val="00D44AA9"/>
    <w:rsid w:val="00D44C93"/>
    <w:rsid w:val="00D44DC0"/>
    <w:rsid w:val="00D453C4"/>
    <w:rsid w:val="00D454C0"/>
    <w:rsid w:val="00D455EB"/>
    <w:rsid w:val="00D464D4"/>
    <w:rsid w:val="00D473AD"/>
    <w:rsid w:val="00D474D1"/>
    <w:rsid w:val="00D47603"/>
    <w:rsid w:val="00D5043C"/>
    <w:rsid w:val="00D5139A"/>
    <w:rsid w:val="00D51546"/>
    <w:rsid w:val="00D5209D"/>
    <w:rsid w:val="00D5283E"/>
    <w:rsid w:val="00D53289"/>
    <w:rsid w:val="00D53547"/>
    <w:rsid w:val="00D54205"/>
    <w:rsid w:val="00D569D9"/>
    <w:rsid w:val="00D56F76"/>
    <w:rsid w:val="00D5730B"/>
    <w:rsid w:val="00D605EB"/>
    <w:rsid w:val="00D6176D"/>
    <w:rsid w:val="00D62180"/>
    <w:rsid w:val="00D622ED"/>
    <w:rsid w:val="00D62F66"/>
    <w:rsid w:val="00D630BD"/>
    <w:rsid w:val="00D63C91"/>
    <w:rsid w:val="00D6461C"/>
    <w:rsid w:val="00D64977"/>
    <w:rsid w:val="00D64CBD"/>
    <w:rsid w:val="00D64FA3"/>
    <w:rsid w:val="00D655D6"/>
    <w:rsid w:val="00D6612C"/>
    <w:rsid w:val="00D66278"/>
    <w:rsid w:val="00D6704E"/>
    <w:rsid w:val="00D70B9D"/>
    <w:rsid w:val="00D70DC5"/>
    <w:rsid w:val="00D71FFF"/>
    <w:rsid w:val="00D722D2"/>
    <w:rsid w:val="00D732BF"/>
    <w:rsid w:val="00D7481A"/>
    <w:rsid w:val="00D753F2"/>
    <w:rsid w:val="00D756FD"/>
    <w:rsid w:val="00D75F43"/>
    <w:rsid w:val="00D761D9"/>
    <w:rsid w:val="00D765A2"/>
    <w:rsid w:val="00D765A6"/>
    <w:rsid w:val="00D76746"/>
    <w:rsid w:val="00D767F8"/>
    <w:rsid w:val="00D768F4"/>
    <w:rsid w:val="00D7725B"/>
    <w:rsid w:val="00D77669"/>
    <w:rsid w:val="00D77988"/>
    <w:rsid w:val="00D81359"/>
    <w:rsid w:val="00D81F2C"/>
    <w:rsid w:val="00D82588"/>
    <w:rsid w:val="00D8323B"/>
    <w:rsid w:val="00D83C94"/>
    <w:rsid w:val="00D849E8"/>
    <w:rsid w:val="00D85527"/>
    <w:rsid w:val="00D868F5"/>
    <w:rsid w:val="00D911DC"/>
    <w:rsid w:val="00D91517"/>
    <w:rsid w:val="00D91AB4"/>
    <w:rsid w:val="00D93285"/>
    <w:rsid w:val="00D93322"/>
    <w:rsid w:val="00D933C1"/>
    <w:rsid w:val="00D93F9E"/>
    <w:rsid w:val="00D9445E"/>
    <w:rsid w:val="00D94733"/>
    <w:rsid w:val="00D94C21"/>
    <w:rsid w:val="00D950A0"/>
    <w:rsid w:val="00D969E4"/>
    <w:rsid w:val="00D96A7C"/>
    <w:rsid w:val="00D96BF3"/>
    <w:rsid w:val="00DA009A"/>
    <w:rsid w:val="00DA047A"/>
    <w:rsid w:val="00DA06FF"/>
    <w:rsid w:val="00DA2055"/>
    <w:rsid w:val="00DA235D"/>
    <w:rsid w:val="00DA4258"/>
    <w:rsid w:val="00DA46DA"/>
    <w:rsid w:val="00DA4833"/>
    <w:rsid w:val="00DA48C9"/>
    <w:rsid w:val="00DA7634"/>
    <w:rsid w:val="00DB1143"/>
    <w:rsid w:val="00DB1BF4"/>
    <w:rsid w:val="00DB2126"/>
    <w:rsid w:val="00DB3296"/>
    <w:rsid w:val="00DB3872"/>
    <w:rsid w:val="00DB38D1"/>
    <w:rsid w:val="00DB452A"/>
    <w:rsid w:val="00DB622B"/>
    <w:rsid w:val="00DB71AF"/>
    <w:rsid w:val="00DB7333"/>
    <w:rsid w:val="00DB73E8"/>
    <w:rsid w:val="00DB752A"/>
    <w:rsid w:val="00DB773C"/>
    <w:rsid w:val="00DB7D0A"/>
    <w:rsid w:val="00DC2568"/>
    <w:rsid w:val="00DC266D"/>
    <w:rsid w:val="00DC2E46"/>
    <w:rsid w:val="00DC387D"/>
    <w:rsid w:val="00DC3961"/>
    <w:rsid w:val="00DC39EB"/>
    <w:rsid w:val="00DC4F89"/>
    <w:rsid w:val="00DC51E7"/>
    <w:rsid w:val="00DC5360"/>
    <w:rsid w:val="00DC53A4"/>
    <w:rsid w:val="00DC5BAA"/>
    <w:rsid w:val="00DC5F05"/>
    <w:rsid w:val="00DC67C4"/>
    <w:rsid w:val="00DC6CA6"/>
    <w:rsid w:val="00DC7B4F"/>
    <w:rsid w:val="00DC7BCD"/>
    <w:rsid w:val="00DD06AD"/>
    <w:rsid w:val="00DD09CD"/>
    <w:rsid w:val="00DD1130"/>
    <w:rsid w:val="00DD14A1"/>
    <w:rsid w:val="00DD1CE9"/>
    <w:rsid w:val="00DD263F"/>
    <w:rsid w:val="00DD2B10"/>
    <w:rsid w:val="00DD3006"/>
    <w:rsid w:val="00DD5B1A"/>
    <w:rsid w:val="00DD5DDF"/>
    <w:rsid w:val="00DD632D"/>
    <w:rsid w:val="00DD6AE2"/>
    <w:rsid w:val="00DD6C97"/>
    <w:rsid w:val="00DD7AF5"/>
    <w:rsid w:val="00DE0CB7"/>
    <w:rsid w:val="00DE0FF0"/>
    <w:rsid w:val="00DE12AB"/>
    <w:rsid w:val="00DE189A"/>
    <w:rsid w:val="00DE1C70"/>
    <w:rsid w:val="00DE1EB5"/>
    <w:rsid w:val="00DE1EF0"/>
    <w:rsid w:val="00DE381F"/>
    <w:rsid w:val="00DE3B88"/>
    <w:rsid w:val="00DE4401"/>
    <w:rsid w:val="00DE5977"/>
    <w:rsid w:val="00DE6E10"/>
    <w:rsid w:val="00DE6F4F"/>
    <w:rsid w:val="00DE715E"/>
    <w:rsid w:val="00DE75D0"/>
    <w:rsid w:val="00DE7D2A"/>
    <w:rsid w:val="00DF0E0A"/>
    <w:rsid w:val="00DF0F46"/>
    <w:rsid w:val="00DF115E"/>
    <w:rsid w:val="00DF1BAD"/>
    <w:rsid w:val="00DF3168"/>
    <w:rsid w:val="00DF3E6C"/>
    <w:rsid w:val="00DF4965"/>
    <w:rsid w:val="00DF5069"/>
    <w:rsid w:val="00DF5108"/>
    <w:rsid w:val="00DF550A"/>
    <w:rsid w:val="00DF588C"/>
    <w:rsid w:val="00DF6E69"/>
    <w:rsid w:val="00E00438"/>
    <w:rsid w:val="00E01B0F"/>
    <w:rsid w:val="00E01C23"/>
    <w:rsid w:val="00E01C72"/>
    <w:rsid w:val="00E0235A"/>
    <w:rsid w:val="00E0303B"/>
    <w:rsid w:val="00E0343F"/>
    <w:rsid w:val="00E03EA0"/>
    <w:rsid w:val="00E04022"/>
    <w:rsid w:val="00E0476C"/>
    <w:rsid w:val="00E05955"/>
    <w:rsid w:val="00E06478"/>
    <w:rsid w:val="00E0681E"/>
    <w:rsid w:val="00E07822"/>
    <w:rsid w:val="00E10A34"/>
    <w:rsid w:val="00E111D4"/>
    <w:rsid w:val="00E1125C"/>
    <w:rsid w:val="00E12EC2"/>
    <w:rsid w:val="00E136AF"/>
    <w:rsid w:val="00E137C7"/>
    <w:rsid w:val="00E13B56"/>
    <w:rsid w:val="00E14862"/>
    <w:rsid w:val="00E14AAD"/>
    <w:rsid w:val="00E157E5"/>
    <w:rsid w:val="00E15DEE"/>
    <w:rsid w:val="00E1644E"/>
    <w:rsid w:val="00E16D11"/>
    <w:rsid w:val="00E1764A"/>
    <w:rsid w:val="00E176DD"/>
    <w:rsid w:val="00E17874"/>
    <w:rsid w:val="00E21A92"/>
    <w:rsid w:val="00E22ECB"/>
    <w:rsid w:val="00E23BBE"/>
    <w:rsid w:val="00E23E2D"/>
    <w:rsid w:val="00E24A6A"/>
    <w:rsid w:val="00E250E5"/>
    <w:rsid w:val="00E2520E"/>
    <w:rsid w:val="00E253FE"/>
    <w:rsid w:val="00E27715"/>
    <w:rsid w:val="00E30295"/>
    <w:rsid w:val="00E3039B"/>
    <w:rsid w:val="00E3088B"/>
    <w:rsid w:val="00E32BEE"/>
    <w:rsid w:val="00E33A87"/>
    <w:rsid w:val="00E33EED"/>
    <w:rsid w:val="00E3538F"/>
    <w:rsid w:val="00E36038"/>
    <w:rsid w:val="00E36100"/>
    <w:rsid w:val="00E365F3"/>
    <w:rsid w:val="00E36FDC"/>
    <w:rsid w:val="00E37C5E"/>
    <w:rsid w:val="00E40A71"/>
    <w:rsid w:val="00E42144"/>
    <w:rsid w:val="00E4288D"/>
    <w:rsid w:val="00E42DFF"/>
    <w:rsid w:val="00E45398"/>
    <w:rsid w:val="00E453A7"/>
    <w:rsid w:val="00E45C0E"/>
    <w:rsid w:val="00E46639"/>
    <w:rsid w:val="00E471AB"/>
    <w:rsid w:val="00E471D6"/>
    <w:rsid w:val="00E4735E"/>
    <w:rsid w:val="00E473C2"/>
    <w:rsid w:val="00E508C3"/>
    <w:rsid w:val="00E514AB"/>
    <w:rsid w:val="00E51BED"/>
    <w:rsid w:val="00E52252"/>
    <w:rsid w:val="00E526CA"/>
    <w:rsid w:val="00E52947"/>
    <w:rsid w:val="00E5397F"/>
    <w:rsid w:val="00E54765"/>
    <w:rsid w:val="00E54FAC"/>
    <w:rsid w:val="00E5665F"/>
    <w:rsid w:val="00E57C72"/>
    <w:rsid w:val="00E603A7"/>
    <w:rsid w:val="00E6086E"/>
    <w:rsid w:val="00E62509"/>
    <w:rsid w:val="00E62B96"/>
    <w:rsid w:val="00E62D86"/>
    <w:rsid w:val="00E62F62"/>
    <w:rsid w:val="00E64DC8"/>
    <w:rsid w:val="00E65D14"/>
    <w:rsid w:val="00E65ED9"/>
    <w:rsid w:val="00E670FF"/>
    <w:rsid w:val="00E71C53"/>
    <w:rsid w:val="00E72DB4"/>
    <w:rsid w:val="00E7372A"/>
    <w:rsid w:val="00E7454C"/>
    <w:rsid w:val="00E74CB4"/>
    <w:rsid w:val="00E75566"/>
    <w:rsid w:val="00E75EFB"/>
    <w:rsid w:val="00E7660B"/>
    <w:rsid w:val="00E76A55"/>
    <w:rsid w:val="00E770A9"/>
    <w:rsid w:val="00E8056B"/>
    <w:rsid w:val="00E80D89"/>
    <w:rsid w:val="00E8136B"/>
    <w:rsid w:val="00E81C16"/>
    <w:rsid w:val="00E82364"/>
    <w:rsid w:val="00E8284E"/>
    <w:rsid w:val="00E82C48"/>
    <w:rsid w:val="00E83382"/>
    <w:rsid w:val="00E8345E"/>
    <w:rsid w:val="00E8363C"/>
    <w:rsid w:val="00E83C7A"/>
    <w:rsid w:val="00E852EA"/>
    <w:rsid w:val="00E85336"/>
    <w:rsid w:val="00E85C47"/>
    <w:rsid w:val="00E865FD"/>
    <w:rsid w:val="00E87872"/>
    <w:rsid w:val="00E87DDB"/>
    <w:rsid w:val="00E900D2"/>
    <w:rsid w:val="00E9061F"/>
    <w:rsid w:val="00E90B8D"/>
    <w:rsid w:val="00E9135D"/>
    <w:rsid w:val="00E9191D"/>
    <w:rsid w:val="00E93B12"/>
    <w:rsid w:val="00E94167"/>
    <w:rsid w:val="00E94942"/>
    <w:rsid w:val="00E96C96"/>
    <w:rsid w:val="00E97A8A"/>
    <w:rsid w:val="00E97C91"/>
    <w:rsid w:val="00E97FAF"/>
    <w:rsid w:val="00EA0372"/>
    <w:rsid w:val="00EA085F"/>
    <w:rsid w:val="00EA16F6"/>
    <w:rsid w:val="00EA240E"/>
    <w:rsid w:val="00EA55DE"/>
    <w:rsid w:val="00EA561A"/>
    <w:rsid w:val="00EA60AC"/>
    <w:rsid w:val="00EA683E"/>
    <w:rsid w:val="00EA70E8"/>
    <w:rsid w:val="00EA728B"/>
    <w:rsid w:val="00EA7DEE"/>
    <w:rsid w:val="00EB0B1E"/>
    <w:rsid w:val="00EB0BF1"/>
    <w:rsid w:val="00EB1232"/>
    <w:rsid w:val="00EB2277"/>
    <w:rsid w:val="00EB2B43"/>
    <w:rsid w:val="00EB2FDE"/>
    <w:rsid w:val="00EB3586"/>
    <w:rsid w:val="00EB3743"/>
    <w:rsid w:val="00EB3B57"/>
    <w:rsid w:val="00EB410A"/>
    <w:rsid w:val="00EB4C00"/>
    <w:rsid w:val="00EB4CD9"/>
    <w:rsid w:val="00EB65E4"/>
    <w:rsid w:val="00EB7D44"/>
    <w:rsid w:val="00EC0765"/>
    <w:rsid w:val="00EC09EC"/>
    <w:rsid w:val="00EC0E8A"/>
    <w:rsid w:val="00EC1D51"/>
    <w:rsid w:val="00EC25E4"/>
    <w:rsid w:val="00EC2610"/>
    <w:rsid w:val="00EC5297"/>
    <w:rsid w:val="00EC5569"/>
    <w:rsid w:val="00EC585E"/>
    <w:rsid w:val="00EC5EE7"/>
    <w:rsid w:val="00EC7453"/>
    <w:rsid w:val="00EC7AE0"/>
    <w:rsid w:val="00EC7C77"/>
    <w:rsid w:val="00ED01F5"/>
    <w:rsid w:val="00ED0D3B"/>
    <w:rsid w:val="00ED29DA"/>
    <w:rsid w:val="00ED31C5"/>
    <w:rsid w:val="00ED31E7"/>
    <w:rsid w:val="00ED349B"/>
    <w:rsid w:val="00ED3FDE"/>
    <w:rsid w:val="00ED4000"/>
    <w:rsid w:val="00ED4897"/>
    <w:rsid w:val="00ED4DC5"/>
    <w:rsid w:val="00ED592D"/>
    <w:rsid w:val="00ED5FA2"/>
    <w:rsid w:val="00ED6748"/>
    <w:rsid w:val="00ED68E3"/>
    <w:rsid w:val="00EE0827"/>
    <w:rsid w:val="00EE1325"/>
    <w:rsid w:val="00EE18F9"/>
    <w:rsid w:val="00EE1A3B"/>
    <w:rsid w:val="00EE36F5"/>
    <w:rsid w:val="00EE3CEF"/>
    <w:rsid w:val="00EE505E"/>
    <w:rsid w:val="00EE5735"/>
    <w:rsid w:val="00EE5FC7"/>
    <w:rsid w:val="00EE6364"/>
    <w:rsid w:val="00EE69A2"/>
    <w:rsid w:val="00EF0A8E"/>
    <w:rsid w:val="00EF0F2F"/>
    <w:rsid w:val="00EF26B1"/>
    <w:rsid w:val="00EF4086"/>
    <w:rsid w:val="00EF4477"/>
    <w:rsid w:val="00EF4A28"/>
    <w:rsid w:val="00EF4EC4"/>
    <w:rsid w:val="00EF5854"/>
    <w:rsid w:val="00EF5BD5"/>
    <w:rsid w:val="00EF636B"/>
    <w:rsid w:val="00EF639D"/>
    <w:rsid w:val="00EF677B"/>
    <w:rsid w:val="00EF6A9A"/>
    <w:rsid w:val="00EF7215"/>
    <w:rsid w:val="00EF7247"/>
    <w:rsid w:val="00EF743B"/>
    <w:rsid w:val="00EF7DEB"/>
    <w:rsid w:val="00F00214"/>
    <w:rsid w:val="00F013CF"/>
    <w:rsid w:val="00F01860"/>
    <w:rsid w:val="00F01C04"/>
    <w:rsid w:val="00F02620"/>
    <w:rsid w:val="00F02ADE"/>
    <w:rsid w:val="00F034A9"/>
    <w:rsid w:val="00F03E93"/>
    <w:rsid w:val="00F03F11"/>
    <w:rsid w:val="00F06276"/>
    <w:rsid w:val="00F10F80"/>
    <w:rsid w:val="00F12057"/>
    <w:rsid w:val="00F128ED"/>
    <w:rsid w:val="00F133A9"/>
    <w:rsid w:val="00F14983"/>
    <w:rsid w:val="00F14FE5"/>
    <w:rsid w:val="00F16180"/>
    <w:rsid w:val="00F1679C"/>
    <w:rsid w:val="00F174B1"/>
    <w:rsid w:val="00F1787C"/>
    <w:rsid w:val="00F17D95"/>
    <w:rsid w:val="00F203D9"/>
    <w:rsid w:val="00F2075B"/>
    <w:rsid w:val="00F20C5A"/>
    <w:rsid w:val="00F20E8A"/>
    <w:rsid w:val="00F2125E"/>
    <w:rsid w:val="00F22233"/>
    <w:rsid w:val="00F232BA"/>
    <w:rsid w:val="00F253DA"/>
    <w:rsid w:val="00F2686A"/>
    <w:rsid w:val="00F27E3C"/>
    <w:rsid w:val="00F27E69"/>
    <w:rsid w:val="00F30895"/>
    <w:rsid w:val="00F30F76"/>
    <w:rsid w:val="00F31607"/>
    <w:rsid w:val="00F31CCD"/>
    <w:rsid w:val="00F323FD"/>
    <w:rsid w:val="00F325C3"/>
    <w:rsid w:val="00F32A3A"/>
    <w:rsid w:val="00F32D92"/>
    <w:rsid w:val="00F331A4"/>
    <w:rsid w:val="00F350C6"/>
    <w:rsid w:val="00F354A8"/>
    <w:rsid w:val="00F35CB7"/>
    <w:rsid w:val="00F361E2"/>
    <w:rsid w:val="00F36B10"/>
    <w:rsid w:val="00F3770C"/>
    <w:rsid w:val="00F40FD1"/>
    <w:rsid w:val="00F416F0"/>
    <w:rsid w:val="00F41779"/>
    <w:rsid w:val="00F420CB"/>
    <w:rsid w:val="00F4233D"/>
    <w:rsid w:val="00F42388"/>
    <w:rsid w:val="00F42736"/>
    <w:rsid w:val="00F42F18"/>
    <w:rsid w:val="00F43B3C"/>
    <w:rsid w:val="00F45623"/>
    <w:rsid w:val="00F456F2"/>
    <w:rsid w:val="00F46072"/>
    <w:rsid w:val="00F4794F"/>
    <w:rsid w:val="00F47F03"/>
    <w:rsid w:val="00F50162"/>
    <w:rsid w:val="00F501B8"/>
    <w:rsid w:val="00F50BF8"/>
    <w:rsid w:val="00F51647"/>
    <w:rsid w:val="00F52095"/>
    <w:rsid w:val="00F52422"/>
    <w:rsid w:val="00F52A38"/>
    <w:rsid w:val="00F52CBC"/>
    <w:rsid w:val="00F5320C"/>
    <w:rsid w:val="00F53863"/>
    <w:rsid w:val="00F541A8"/>
    <w:rsid w:val="00F5420A"/>
    <w:rsid w:val="00F54B88"/>
    <w:rsid w:val="00F552AF"/>
    <w:rsid w:val="00F56BF5"/>
    <w:rsid w:val="00F56E47"/>
    <w:rsid w:val="00F579CF"/>
    <w:rsid w:val="00F6135F"/>
    <w:rsid w:val="00F61796"/>
    <w:rsid w:val="00F61912"/>
    <w:rsid w:val="00F627FD"/>
    <w:rsid w:val="00F62D4F"/>
    <w:rsid w:val="00F643FC"/>
    <w:rsid w:val="00F64931"/>
    <w:rsid w:val="00F64CD3"/>
    <w:rsid w:val="00F6584C"/>
    <w:rsid w:val="00F661A5"/>
    <w:rsid w:val="00F67138"/>
    <w:rsid w:val="00F674AC"/>
    <w:rsid w:val="00F67CE7"/>
    <w:rsid w:val="00F71196"/>
    <w:rsid w:val="00F730E8"/>
    <w:rsid w:val="00F733EE"/>
    <w:rsid w:val="00F73BD0"/>
    <w:rsid w:val="00F73FB1"/>
    <w:rsid w:val="00F743FB"/>
    <w:rsid w:val="00F74513"/>
    <w:rsid w:val="00F75947"/>
    <w:rsid w:val="00F768F5"/>
    <w:rsid w:val="00F80358"/>
    <w:rsid w:val="00F815E1"/>
    <w:rsid w:val="00F82B06"/>
    <w:rsid w:val="00F83DA0"/>
    <w:rsid w:val="00F83F9C"/>
    <w:rsid w:val="00F849C3"/>
    <w:rsid w:val="00F85AC1"/>
    <w:rsid w:val="00F8675B"/>
    <w:rsid w:val="00F86EAE"/>
    <w:rsid w:val="00F878BE"/>
    <w:rsid w:val="00F87984"/>
    <w:rsid w:val="00F91F08"/>
    <w:rsid w:val="00F92004"/>
    <w:rsid w:val="00F92410"/>
    <w:rsid w:val="00F92AAB"/>
    <w:rsid w:val="00F93144"/>
    <w:rsid w:val="00F9336B"/>
    <w:rsid w:val="00F93423"/>
    <w:rsid w:val="00F94305"/>
    <w:rsid w:val="00F946BA"/>
    <w:rsid w:val="00F9526F"/>
    <w:rsid w:val="00F954CA"/>
    <w:rsid w:val="00F9562A"/>
    <w:rsid w:val="00F96817"/>
    <w:rsid w:val="00F96A46"/>
    <w:rsid w:val="00F96BAC"/>
    <w:rsid w:val="00FA0048"/>
    <w:rsid w:val="00FA06F7"/>
    <w:rsid w:val="00FA14E7"/>
    <w:rsid w:val="00FA164A"/>
    <w:rsid w:val="00FA17D6"/>
    <w:rsid w:val="00FA27B7"/>
    <w:rsid w:val="00FA2D4B"/>
    <w:rsid w:val="00FA2EED"/>
    <w:rsid w:val="00FA4315"/>
    <w:rsid w:val="00FA466D"/>
    <w:rsid w:val="00FA4C4C"/>
    <w:rsid w:val="00FA5042"/>
    <w:rsid w:val="00FA50EA"/>
    <w:rsid w:val="00FA52B1"/>
    <w:rsid w:val="00FA58AB"/>
    <w:rsid w:val="00FA5B2C"/>
    <w:rsid w:val="00FA7271"/>
    <w:rsid w:val="00FB0D39"/>
    <w:rsid w:val="00FB14C2"/>
    <w:rsid w:val="00FB1871"/>
    <w:rsid w:val="00FB2248"/>
    <w:rsid w:val="00FB36B1"/>
    <w:rsid w:val="00FB709F"/>
    <w:rsid w:val="00FB73BB"/>
    <w:rsid w:val="00FB7D39"/>
    <w:rsid w:val="00FB7FF4"/>
    <w:rsid w:val="00FC049F"/>
    <w:rsid w:val="00FC0E28"/>
    <w:rsid w:val="00FC16DB"/>
    <w:rsid w:val="00FC226F"/>
    <w:rsid w:val="00FC30B9"/>
    <w:rsid w:val="00FC3B48"/>
    <w:rsid w:val="00FC5640"/>
    <w:rsid w:val="00FC5CA8"/>
    <w:rsid w:val="00FC7008"/>
    <w:rsid w:val="00FC731E"/>
    <w:rsid w:val="00FC7507"/>
    <w:rsid w:val="00FC7D1B"/>
    <w:rsid w:val="00FD0894"/>
    <w:rsid w:val="00FD1012"/>
    <w:rsid w:val="00FD467F"/>
    <w:rsid w:val="00FD49CE"/>
    <w:rsid w:val="00FD49EA"/>
    <w:rsid w:val="00FD4E63"/>
    <w:rsid w:val="00FD576E"/>
    <w:rsid w:val="00FD7DEA"/>
    <w:rsid w:val="00FE04B9"/>
    <w:rsid w:val="00FE0ABB"/>
    <w:rsid w:val="00FE1738"/>
    <w:rsid w:val="00FE2089"/>
    <w:rsid w:val="00FE3F25"/>
    <w:rsid w:val="00FE48CE"/>
    <w:rsid w:val="00FE615C"/>
    <w:rsid w:val="00FE65CB"/>
    <w:rsid w:val="00FE6A8E"/>
    <w:rsid w:val="00FE75B7"/>
    <w:rsid w:val="00FF0402"/>
    <w:rsid w:val="00FF18F7"/>
    <w:rsid w:val="00FF1A7A"/>
    <w:rsid w:val="00FF1E66"/>
    <w:rsid w:val="00FF2851"/>
    <w:rsid w:val="00FF3044"/>
    <w:rsid w:val="00FF3308"/>
    <w:rsid w:val="00FF5C56"/>
    <w:rsid w:val="00FF6448"/>
    <w:rsid w:val="00FF65D4"/>
    <w:rsid w:val="03AB142F"/>
    <w:rsid w:val="03D7AA96"/>
    <w:rsid w:val="05CB06C5"/>
    <w:rsid w:val="0695BF4D"/>
    <w:rsid w:val="09143006"/>
    <w:rsid w:val="0A79EBF9"/>
    <w:rsid w:val="0BA62F8A"/>
    <w:rsid w:val="0D10E121"/>
    <w:rsid w:val="0D26FA50"/>
    <w:rsid w:val="0EBAD131"/>
    <w:rsid w:val="1119DFB1"/>
    <w:rsid w:val="14CDF89C"/>
    <w:rsid w:val="1A5D2ACB"/>
    <w:rsid w:val="1BA47A85"/>
    <w:rsid w:val="20FFFBD5"/>
    <w:rsid w:val="22D721DD"/>
    <w:rsid w:val="23318188"/>
    <w:rsid w:val="23711E7E"/>
    <w:rsid w:val="2715057D"/>
    <w:rsid w:val="293F8283"/>
    <w:rsid w:val="33835B3E"/>
    <w:rsid w:val="35B91A8F"/>
    <w:rsid w:val="3D29FFDE"/>
    <w:rsid w:val="3E6EBF39"/>
    <w:rsid w:val="422D63DB"/>
    <w:rsid w:val="439A43F8"/>
    <w:rsid w:val="45AFF135"/>
    <w:rsid w:val="4632DB5F"/>
    <w:rsid w:val="504B3DF9"/>
    <w:rsid w:val="51F3180F"/>
    <w:rsid w:val="532B6134"/>
    <w:rsid w:val="548CA69B"/>
    <w:rsid w:val="548EBB82"/>
    <w:rsid w:val="55D457A9"/>
    <w:rsid w:val="56DDE4D7"/>
    <w:rsid w:val="570570C2"/>
    <w:rsid w:val="5ECBF15A"/>
    <w:rsid w:val="629981F7"/>
    <w:rsid w:val="63692E99"/>
    <w:rsid w:val="673A974A"/>
    <w:rsid w:val="67589EF0"/>
    <w:rsid w:val="67598123"/>
    <w:rsid w:val="67BC706E"/>
    <w:rsid w:val="6C826D7B"/>
    <w:rsid w:val="6D935959"/>
    <w:rsid w:val="6EBA42CA"/>
    <w:rsid w:val="6F7E2C1D"/>
    <w:rsid w:val="74D649F7"/>
    <w:rsid w:val="7649179A"/>
    <w:rsid w:val="764AC12B"/>
    <w:rsid w:val="7726EB99"/>
    <w:rsid w:val="7A9B2425"/>
    <w:rsid w:val="7FA3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9868B"/>
  <w15:chartTrackingRefBased/>
  <w15:docId w15:val="{740345C7-27F6-409F-926E-34A864B1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List Number" w:uiPriority="99"/>
    <w:lsdException w:name="List Bullet 2" w:uiPriority="99"/>
    <w:lsdException w:name="List Number 2"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A25"/>
    <w:rPr>
      <w:rFonts w:ascii="Calibri Light" w:eastAsiaTheme="minorEastAsia" w:hAnsi="Calibri Light"/>
      <w:color w:val="000000"/>
      <w:sz w:val="22"/>
      <w:szCs w:val="24"/>
      <w:lang w:val="en-GB" w:eastAsia="zh-TW"/>
    </w:rPr>
  </w:style>
  <w:style w:type="paragraph" w:styleId="Heading1">
    <w:name w:val="heading 1"/>
    <w:aliases w:val="Heading black"/>
    <w:next w:val="Normal"/>
    <w:link w:val="Heading1Char"/>
    <w:uiPriority w:val="9"/>
    <w:qFormat/>
    <w:rsid w:val="00365A25"/>
    <w:pPr>
      <w:keepNext/>
      <w:keepLines/>
      <w:outlineLvl w:val="0"/>
    </w:pPr>
    <w:rPr>
      <w:rFonts w:ascii="Calibri Light" w:eastAsiaTheme="majorEastAsia" w:hAnsi="Calibri Light" w:cstheme="majorBidi"/>
      <w:bCs/>
      <w:spacing w:val="-2"/>
      <w:kern w:val="28"/>
      <w:sz w:val="36"/>
      <w:szCs w:val="28"/>
      <w:lang w:val="en-GB"/>
    </w:rPr>
  </w:style>
  <w:style w:type="paragraph" w:styleId="Heading2">
    <w:name w:val="heading 2"/>
    <w:aliases w:val="Heading white"/>
    <w:next w:val="Normal"/>
    <w:link w:val="Heading2Char"/>
    <w:uiPriority w:val="9"/>
    <w:qFormat/>
    <w:rsid w:val="00365A25"/>
    <w:pPr>
      <w:keepNext/>
      <w:keepLines/>
      <w:spacing w:before="240" w:after="240" w:line="240" w:lineRule="atLeast"/>
      <w:outlineLvl w:val="1"/>
    </w:pPr>
    <w:rPr>
      <w:rFonts w:ascii="Calibri Light" w:eastAsiaTheme="majorEastAsia" w:hAnsi="Calibri Light" w:cstheme="majorBidi"/>
      <w:bCs/>
      <w:spacing w:val="4"/>
      <w:sz w:val="36"/>
      <w:szCs w:val="36"/>
    </w:rPr>
  </w:style>
  <w:style w:type="paragraph" w:styleId="Heading3">
    <w:name w:val="heading 3"/>
    <w:aliases w:val="Subheading black"/>
    <w:basedOn w:val="Normal"/>
    <w:next w:val="Normal"/>
    <w:link w:val="Heading3Char"/>
    <w:uiPriority w:val="9"/>
    <w:qFormat/>
    <w:rsid w:val="00365A25"/>
    <w:pPr>
      <w:keepNext/>
      <w:keepLines/>
      <w:outlineLvl w:val="2"/>
    </w:pPr>
    <w:rPr>
      <w:rFonts w:eastAsiaTheme="majorEastAsia" w:cstheme="majorBidi"/>
      <w:bCs/>
      <w:sz w:val="42"/>
    </w:rPr>
  </w:style>
  <w:style w:type="paragraph" w:styleId="Heading4">
    <w:name w:val="heading 4"/>
    <w:aliases w:val="Subheading white"/>
    <w:basedOn w:val="Heading3"/>
    <w:next w:val="Normal"/>
    <w:link w:val="Heading4Char"/>
    <w:uiPriority w:val="9"/>
    <w:qFormat/>
    <w:rsid w:val="00365A25"/>
    <w:pPr>
      <w:outlineLvl w:val="3"/>
    </w:pPr>
    <w:rPr>
      <w:color w:val="FFFFFF"/>
      <w:lang w:eastAsia="en-US"/>
    </w:rPr>
  </w:style>
  <w:style w:type="paragraph" w:styleId="Heading5">
    <w:name w:val="heading 5"/>
    <w:aliases w:val="Intro/Highlighted text"/>
    <w:next w:val="Normal"/>
    <w:link w:val="Heading5Char"/>
    <w:uiPriority w:val="9"/>
    <w:qFormat/>
    <w:rsid w:val="00365A25"/>
    <w:pPr>
      <w:spacing w:before="120" w:after="120"/>
      <w:outlineLvl w:val="4"/>
    </w:pPr>
    <w:rPr>
      <w:rFonts w:ascii="Calibri" w:eastAsiaTheme="majorEastAsia" w:hAnsi="Calibri" w:cstheme="majorBidi"/>
      <w:bCs/>
      <w:color w:val="000000"/>
      <w:sz w:val="36"/>
      <w:szCs w:val="24"/>
      <w:lang w:val="en-GB"/>
    </w:rPr>
  </w:style>
  <w:style w:type="paragraph" w:styleId="Heading6">
    <w:name w:val="heading 6"/>
    <w:aliases w:val="Section heading"/>
    <w:next w:val="Normal"/>
    <w:link w:val="Heading6Char"/>
    <w:uiPriority w:val="9"/>
    <w:qFormat/>
    <w:rsid w:val="00365A25"/>
    <w:pPr>
      <w:outlineLvl w:val="5"/>
    </w:pPr>
    <w:rPr>
      <w:rFonts w:ascii="Calibri" w:eastAsiaTheme="majorEastAsia" w:hAnsi="Calibri" w:cstheme="majorBidi"/>
      <w:b/>
      <w:bCs/>
      <w:color w:val="000000"/>
      <w:sz w:val="22"/>
      <w:szCs w:val="24"/>
      <w:lang w:val="en-GB"/>
    </w:rPr>
  </w:style>
  <w:style w:type="paragraph" w:styleId="Heading7">
    <w:name w:val="heading 7"/>
    <w:basedOn w:val="Heading6"/>
    <w:link w:val="Heading7Char"/>
    <w:qFormat/>
    <w:rsid w:val="00365A25"/>
    <w:pPr>
      <w:outlineLvl w:val="6"/>
    </w:pPr>
    <w:rPr>
      <w:sz w:val="20"/>
    </w:rPr>
  </w:style>
  <w:style w:type="paragraph" w:styleId="Heading8">
    <w:name w:val="heading 8"/>
    <w:basedOn w:val="Normal"/>
    <w:next w:val="Normal"/>
    <w:link w:val="Heading8Char"/>
    <w:qFormat/>
    <w:rsid w:val="00365A25"/>
    <w:pPr>
      <w:jc w:val="center"/>
      <w:outlineLvl w:val="7"/>
    </w:pPr>
    <w:rPr>
      <w:rFonts w:ascii="Arial" w:hAnsi="Arial"/>
      <w:b/>
      <w:bCs/>
      <w:iCs/>
      <w:sz w:val="20"/>
    </w:rPr>
  </w:style>
  <w:style w:type="paragraph" w:styleId="Heading9">
    <w:name w:val="heading 9"/>
    <w:basedOn w:val="Normal"/>
    <w:next w:val="Normal"/>
    <w:link w:val="Heading9Char"/>
    <w:qFormat/>
    <w:rsid w:val="00365A25"/>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365A25"/>
    <w:pPr>
      <w:widowControl w:val="0"/>
      <w:spacing w:after="320"/>
    </w:pPr>
    <w:rPr>
      <w:sz w:val="20"/>
      <w:szCs w:val="20"/>
    </w:rPr>
  </w:style>
  <w:style w:type="paragraph" w:styleId="Footer">
    <w:name w:val="footer"/>
    <w:basedOn w:val="Normal"/>
    <w:link w:val="FooterChar"/>
    <w:uiPriority w:val="99"/>
    <w:rsid w:val="00365A25"/>
    <w:pPr>
      <w:tabs>
        <w:tab w:val="right" w:pos="7371"/>
      </w:tabs>
      <w:spacing w:line="200" w:lineRule="atLeast"/>
    </w:pPr>
  </w:style>
  <w:style w:type="paragraph" w:styleId="Header">
    <w:name w:val="header"/>
    <w:basedOn w:val="Normal"/>
    <w:link w:val="HeaderChar"/>
    <w:uiPriority w:val="99"/>
    <w:rsid w:val="00365A25"/>
    <w:pPr>
      <w:tabs>
        <w:tab w:val="center" w:pos="4513"/>
        <w:tab w:val="right" w:pos="9026"/>
      </w:tabs>
    </w:pPr>
  </w:style>
  <w:style w:type="character" w:styleId="FootnoteReference">
    <w:name w:val="footnote reference"/>
    <w:basedOn w:val="DefaultParagraphFont"/>
    <w:uiPriority w:val="99"/>
    <w:semiHidden/>
    <w:rsid w:val="00365A25"/>
    <w:rPr>
      <w:vertAlign w:val="superscript"/>
    </w:rPr>
  </w:style>
  <w:style w:type="paragraph" w:styleId="FootnoteText">
    <w:name w:val="footnote text"/>
    <w:basedOn w:val="Normal"/>
    <w:link w:val="FootnoteTextChar"/>
    <w:uiPriority w:val="99"/>
    <w:rsid w:val="00365A25"/>
    <w:rPr>
      <w:sz w:val="16"/>
      <w:szCs w:val="20"/>
    </w:rPr>
  </w:style>
  <w:style w:type="paragraph" w:styleId="NormalIndent">
    <w:name w:val="Normal Indent"/>
    <w:basedOn w:val="Normal"/>
    <w:rsid w:val="00365A25"/>
    <w:pPr>
      <w:ind w:left="720"/>
    </w:pPr>
  </w:style>
  <w:style w:type="paragraph" w:customStyle="1" w:styleId="standard">
    <w:name w:val="standard"/>
    <w:basedOn w:val="Normal"/>
    <w:link w:val="standardChar"/>
    <w:rsid w:val="0070326D"/>
    <w:pPr>
      <w:tabs>
        <w:tab w:val="left" w:pos="576"/>
        <w:tab w:val="left" w:pos="1152"/>
        <w:tab w:val="left" w:pos="1728"/>
        <w:tab w:val="left" w:pos="2304"/>
        <w:tab w:val="left" w:pos="2880"/>
      </w:tabs>
      <w:spacing w:before="220"/>
    </w:pPr>
    <w:rPr>
      <w:sz w:val="24"/>
    </w:rPr>
  </w:style>
  <w:style w:type="paragraph" w:customStyle="1" w:styleId="Title1">
    <w:name w:val="Title1"/>
    <w:basedOn w:val="Heading1"/>
    <w:rsid w:val="0070326D"/>
    <w:pPr>
      <w:jc w:val="center"/>
      <w:outlineLvl w:val="9"/>
    </w:pPr>
    <w:rPr>
      <w:sz w:val="28"/>
    </w:rPr>
  </w:style>
  <w:style w:type="paragraph" w:customStyle="1" w:styleId="level1">
    <w:name w:val="level 1"/>
    <w:basedOn w:val="standard"/>
    <w:link w:val="level1Char"/>
    <w:rsid w:val="0070326D"/>
    <w:pPr>
      <w:spacing w:before="120"/>
      <w:ind w:left="576" w:hanging="576"/>
    </w:pPr>
  </w:style>
  <w:style w:type="paragraph" w:customStyle="1" w:styleId="level2">
    <w:name w:val="level 2"/>
    <w:basedOn w:val="level1"/>
    <w:link w:val="level2Char"/>
    <w:rsid w:val="0070326D"/>
    <w:pPr>
      <w:ind w:left="1152"/>
    </w:pPr>
  </w:style>
  <w:style w:type="paragraph" w:customStyle="1" w:styleId="level3">
    <w:name w:val="level 3"/>
    <w:basedOn w:val="level2"/>
    <w:rsid w:val="0070326D"/>
    <w:pPr>
      <w:tabs>
        <w:tab w:val="clear" w:pos="1728"/>
        <w:tab w:val="clear" w:pos="2304"/>
      </w:tabs>
      <w:ind w:left="1710" w:hanging="558"/>
    </w:pPr>
  </w:style>
  <w:style w:type="paragraph" w:customStyle="1" w:styleId="level4">
    <w:name w:val="level 4"/>
    <w:basedOn w:val="level2"/>
    <w:rsid w:val="0070326D"/>
    <w:pPr>
      <w:ind w:left="2304"/>
    </w:pPr>
  </w:style>
  <w:style w:type="paragraph" w:customStyle="1" w:styleId="level5">
    <w:name w:val="level 5"/>
    <w:basedOn w:val="level1"/>
    <w:rsid w:val="0070326D"/>
    <w:pPr>
      <w:ind w:left="1728"/>
    </w:pPr>
  </w:style>
  <w:style w:type="paragraph" w:customStyle="1" w:styleId="levela">
    <w:name w:val="level a"/>
    <w:basedOn w:val="standard"/>
    <w:rsid w:val="0070326D"/>
    <w:pPr>
      <w:tabs>
        <w:tab w:val="clear" w:pos="1152"/>
        <w:tab w:val="clear" w:pos="1728"/>
        <w:tab w:val="clear" w:pos="2304"/>
        <w:tab w:val="clear" w:pos="2880"/>
      </w:tabs>
      <w:ind w:left="576" w:hanging="576"/>
    </w:pPr>
  </w:style>
  <w:style w:type="paragraph" w:customStyle="1" w:styleId="BULLETEDLISTFIVE">
    <w:name w:val="BULLETED LIST FIVE"/>
    <w:rsid w:val="0070326D"/>
    <w:pPr>
      <w:tabs>
        <w:tab w:val="left" w:pos="2880"/>
        <w:tab w:val="left" w:pos="3456"/>
        <w:tab w:val="left" w:pos="4032"/>
        <w:tab w:val="right" w:pos="5904"/>
        <w:tab w:val="right" w:pos="7056"/>
        <w:tab w:val="right" w:pos="8208"/>
      </w:tabs>
      <w:spacing w:before="240" w:line="240" w:lineRule="exact"/>
      <w:ind w:left="2880" w:hanging="576"/>
    </w:pPr>
    <w:rPr>
      <w:rFonts w:ascii="Times" w:hAnsi="Times"/>
      <w:sz w:val="22"/>
    </w:rPr>
  </w:style>
  <w:style w:type="paragraph" w:customStyle="1" w:styleId="HEADLEVEL6">
    <w:name w:val="HEAD LEVEL 6"/>
    <w:rsid w:val="0070326D"/>
    <w:pPr>
      <w:keepNext/>
      <w:keepLines/>
      <w:spacing w:before="300" w:line="240" w:lineRule="exact"/>
      <w:ind w:left="576"/>
    </w:pPr>
    <w:rPr>
      <w:rFonts w:ascii="Times" w:hAnsi="Times"/>
      <w:i/>
      <w:sz w:val="22"/>
    </w:rPr>
  </w:style>
  <w:style w:type="paragraph" w:customStyle="1" w:styleId="INDENTEDQUOTE">
    <w:name w:val="INDENTED QUOTE"/>
    <w:rsid w:val="0070326D"/>
    <w:pPr>
      <w:tabs>
        <w:tab w:val="left" w:pos="1152"/>
        <w:tab w:val="left" w:pos="1728"/>
        <w:tab w:val="left" w:pos="2304"/>
        <w:tab w:val="left" w:pos="2880"/>
        <w:tab w:val="left" w:pos="3456"/>
        <w:tab w:val="right" w:pos="5472"/>
        <w:tab w:val="right" w:pos="6624"/>
        <w:tab w:val="right" w:pos="7776"/>
      </w:tabs>
      <w:spacing w:before="240" w:line="240" w:lineRule="exact"/>
      <w:ind w:left="576" w:right="576"/>
    </w:pPr>
    <w:rPr>
      <w:rFonts w:ascii="Times" w:hAnsi="Times"/>
      <w:sz w:val="22"/>
    </w:rPr>
  </w:style>
  <w:style w:type="paragraph" w:customStyle="1" w:styleId="BULLETEDLISTSINGLE">
    <w:name w:val="BULLETED LIST SINGLE"/>
    <w:rsid w:val="0070326D"/>
    <w:pPr>
      <w:tabs>
        <w:tab w:val="left" w:pos="576"/>
        <w:tab w:val="left" w:pos="1152"/>
        <w:tab w:val="left" w:pos="1728"/>
        <w:tab w:val="left" w:pos="2304"/>
        <w:tab w:val="left" w:pos="2880"/>
        <w:tab w:val="left" w:pos="3456"/>
        <w:tab w:val="left" w:pos="4032"/>
        <w:tab w:val="right" w:pos="5904"/>
        <w:tab w:val="right" w:pos="7056"/>
        <w:tab w:val="right" w:pos="8208"/>
      </w:tabs>
      <w:spacing w:before="240" w:line="240" w:lineRule="exact"/>
      <w:ind w:left="576" w:hanging="576"/>
    </w:pPr>
    <w:rPr>
      <w:rFonts w:ascii="Times" w:hAnsi="Times"/>
      <w:sz w:val="22"/>
    </w:rPr>
  </w:style>
  <w:style w:type="paragraph" w:customStyle="1" w:styleId="BULLETEDLISTDOUBLE">
    <w:name w:val="BULLETED LIST DOUBLE"/>
    <w:rsid w:val="0070326D"/>
    <w:pPr>
      <w:tabs>
        <w:tab w:val="left" w:pos="1152"/>
        <w:tab w:val="left" w:pos="1728"/>
        <w:tab w:val="left" w:pos="2304"/>
        <w:tab w:val="left" w:pos="2880"/>
        <w:tab w:val="left" w:pos="3456"/>
        <w:tab w:val="left" w:pos="4032"/>
        <w:tab w:val="right" w:pos="5904"/>
        <w:tab w:val="right" w:pos="7056"/>
        <w:tab w:val="right" w:pos="8208"/>
      </w:tabs>
      <w:spacing w:before="240" w:line="240" w:lineRule="exact"/>
      <w:ind w:left="1152" w:hanging="576"/>
    </w:pPr>
    <w:rPr>
      <w:rFonts w:ascii="Times" w:hAnsi="Times"/>
      <w:sz w:val="22"/>
    </w:rPr>
  </w:style>
  <w:style w:type="paragraph" w:customStyle="1" w:styleId="BULLETEDLISTTRIPLE">
    <w:name w:val="BULLETED LIST TRIPLE"/>
    <w:rsid w:val="0070326D"/>
    <w:pPr>
      <w:tabs>
        <w:tab w:val="left" w:pos="1728"/>
        <w:tab w:val="left" w:pos="2304"/>
        <w:tab w:val="left" w:pos="2880"/>
        <w:tab w:val="left" w:pos="3456"/>
        <w:tab w:val="left" w:pos="4032"/>
        <w:tab w:val="right" w:pos="5904"/>
        <w:tab w:val="right" w:pos="7056"/>
        <w:tab w:val="right" w:pos="8208"/>
      </w:tabs>
      <w:spacing w:before="240" w:line="240" w:lineRule="exact"/>
      <w:ind w:left="1728" w:hanging="576"/>
    </w:pPr>
    <w:rPr>
      <w:rFonts w:ascii="Times" w:hAnsi="Times"/>
      <w:sz w:val="22"/>
    </w:rPr>
  </w:style>
  <w:style w:type="paragraph" w:customStyle="1" w:styleId="BULLETEDLISTSIX">
    <w:name w:val="BULLETED LIST SIX"/>
    <w:rsid w:val="0070326D"/>
    <w:pPr>
      <w:tabs>
        <w:tab w:val="left" w:pos="3456"/>
        <w:tab w:val="left" w:pos="4032"/>
        <w:tab w:val="right" w:pos="5904"/>
        <w:tab w:val="right" w:pos="7056"/>
        <w:tab w:val="right" w:pos="8208"/>
      </w:tabs>
      <w:spacing w:before="240" w:line="240" w:lineRule="exact"/>
      <w:ind w:left="3456" w:hanging="576"/>
    </w:pPr>
    <w:rPr>
      <w:rFonts w:ascii="Times" w:hAnsi="Times"/>
      <w:sz w:val="22"/>
    </w:rPr>
  </w:style>
  <w:style w:type="paragraph" w:customStyle="1" w:styleId="BULLETEDLISTSEVEN">
    <w:name w:val="BULLETED LIST SEVEN"/>
    <w:rsid w:val="0070326D"/>
    <w:pPr>
      <w:tabs>
        <w:tab w:val="left" w:pos="4032"/>
        <w:tab w:val="right" w:pos="5904"/>
        <w:tab w:val="right" w:pos="7056"/>
        <w:tab w:val="right" w:pos="8208"/>
      </w:tabs>
      <w:spacing w:before="240" w:line="240" w:lineRule="exact"/>
      <w:ind w:left="4032" w:hanging="576"/>
    </w:pPr>
    <w:rPr>
      <w:rFonts w:ascii="Times" w:hAnsi="Times"/>
      <w:sz w:val="22"/>
    </w:rPr>
  </w:style>
  <w:style w:type="paragraph" w:customStyle="1" w:styleId="BULLETEDLISTQUAD">
    <w:name w:val="BULLETED LIST QUAD"/>
    <w:rsid w:val="0070326D"/>
    <w:pPr>
      <w:tabs>
        <w:tab w:val="left" w:pos="2304"/>
        <w:tab w:val="left" w:pos="2880"/>
        <w:tab w:val="left" w:pos="3456"/>
        <w:tab w:val="left" w:pos="4032"/>
        <w:tab w:val="right" w:pos="5904"/>
        <w:tab w:val="right" w:pos="7056"/>
        <w:tab w:val="right" w:pos="8208"/>
      </w:tabs>
      <w:spacing w:before="240" w:line="240" w:lineRule="exact"/>
      <w:ind w:left="2304" w:hanging="576"/>
    </w:pPr>
    <w:rPr>
      <w:rFonts w:ascii="Times" w:hAnsi="Times"/>
      <w:sz w:val="22"/>
    </w:rPr>
  </w:style>
  <w:style w:type="paragraph" w:customStyle="1" w:styleId="LEFTOFTWO">
    <w:name w:val="LEFT OF TWO"/>
    <w:rsid w:val="0070326D"/>
    <w:pPr>
      <w:tabs>
        <w:tab w:val="left" w:pos="432"/>
        <w:tab w:val="left" w:pos="864"/>
        <w:tab w:val="left" w:pos="1296"/>
      </w:tabs>
      <w:spacing w:before="240" w:line="240" w:lineRule="exact"/>
      <w:ind w:left="432" w:right="4493" w:hanging="432"/>
    </w:pPr>
    <w:rPr>
      <w:rFonts w:ascii="Times" w:hAnsi="Times"/>
      <w:sz w:val="22"/>
    </w:rPr>
  </w:style>
  <w:style w:type="paragraph" w:customStyle="1" w:styleId="RIGHTOFTWO">
    <w:name w:val="RIGHT OF TWO"/>
    <w:rsid w:val="0070326D"/>
    <w:pPr>
      <w:tabs>
        <w:tab w:val="left" w:pos="4925"/>
        <w:tab w:val="left" w:pos="5357"/>
        <w:tab w:val="left" w:pos="5789"/>
      </w:tabs>
      <w:spacing w:before="240" w:line="240" w:lineRule="exact"/>
      <w:ind w:left="4925" w:hanging="432"/>
    </w:pPr>
    <w:rPr>
      <w:rFonts w:ascii="Times" w:hAnsi="Times"/>
      <w:sz w:val="22"/>
    </w:rPr>
  </w:style>
  <w:style w:type="paragraph" w:customStyle="1" w:styleId="LEFTOFTHREE">
    <w:name w:val="LEFT OF THREE"/>
    <w:rsid w:val="0070326D"/>
    <w:pPr>
      <w:tabs>
        <w:tab w:val="left" w:pos="432"/>
        <w:tab w:val="left" w:pos="864"/>
        <w:tab w:val="left" w:pos="1296"/>
      </w:tabs>
      <w:spacing w:before="240" w:line="240" w:lineRule="exact"/>
      <w:ind w:left="432" w:right="6005" w:hanging="432"/>
    </w:pPr>
    <w:rPr>
      <w:rFonts w:ascii="Times" w:hAnsi="Times"/>
      <w:sz w:val="22"/>
    </w:rPr>
  </w:style>
  <w:style w:type="paragraph" w:customStyle="1" w:styleId="CENTEROFTHREE">
    <w:name w:val="CENTER OF THREE"/>
    <w:rsid w:val="0070326D"/>
    <w:pPr>
      <w:tabs>
        <w:tab w:val="left" w:pos="3427"/>
        <w:tab w:val="left" w:pos="3859"/>
        <w:tab w:val="left" w:pos="4291"/>
      </w:tabs>
      <w:spacing w:before="240" w:line="240" w:lineRule="exact"/>
      <w:ind w:left="3427" w:right="2995" w:hanging="432"/>
    </w:pPr>
    <w:rPr>
      <w:rFonts w:ascii="Times" w:hAnsi="Times"/>
      <w:sz w:val="22"/>
    </w:rPr>
  </w:style>
  <w:style w:type="paragraph" w:customStyle="1" w:styleId="RIGHTOFTHREE">
    <w:name w:val="RIGHT OF THREE"/>
    <w:rsid w:val="0070326D"/>
    <w:pPr>
      <w:tabs>
        <w:tab w:val="left" w:pos="6437"/>
        <w:tab w:val="left" w:pos="6869"/>
        <w:tab w:val="left" w:pos="7301"/>
      </w:tabs>
      <w:spacing w:before="240" w:line="240" w:lineRule="exact"/>
      <w:ind w:left="6437" w:hanging="432"/>
    </w:pPr>
    <w:rPr>
      <w:rFonts w:ascii="Times" w:hAnsi="Times"/>
      <w:sz w:val="22"/>
    </w:rPr>
  </w:style>
  <w:style w:type="paragraph" w:customStyle="1" w:styleId="boldstandard">
    <w:name w:val="bold standard"/>
    <w:basedOn w:val="standard"/>
    <w:rsid w:val="0070326D"/>
    <w:rPr>
      <w:b/>
    </w:rPr>
  </w:style>
  <w:style w:type="paragraph" w:customStyle="1" w:styleId="level6">
    <w:name w:val="level 6"/>
    <w:basedOn w:val="level5"/>
    <w:rsid w:val="0070326D"/>
    <w:pPr>
      <w:ind w:left="2304"/>
    </w:pPr>
  </w:style>
  <w:style w:type="paragraph" w:customStyle="1" w:styleId="levelb">
    <w:name w:val="level b"/>
    <w:basedOn w:val="level4"/>
    <w:rsid w:val="0070326D"/>
    <w:pPr>
      <w:ind w:left="1152"/>
    </w:pPr>
  </w:style>
  <w:style w:type="paragraph" w:customStyle="1" w:styleId="testbox">
    <w:name w:val="test box"/>
    <w:basedOn w:val="standard"/>
    <w:rsid w:val="0070326D"/>
    <w:pPr>
      <w:spacing w:before="48" w:after="48"/>
      <w:jc w:val="center"/>
    </w:pPr>
    <w:rPr>
      <w:b/>
      <w:caps/>
      <w:sz w:val="18"/>
    </w:rPr>
  </w:style>
  <w:style w:type="paragraph" w:customStyle="1" w:styleId="levelc">
    <w:name w:val="level c"/>
    <w:basedOn w:val="level2"/>
    <w:rsid w:val="0070326D"/>
    <w:pPr>
      <w:tabs>
        <w:tab w:val="clear" w:pos="1152"/>
        <w:tab w:val="clear" w:pos="1728"/>
        <w:tab w:val="left" w:pos="1170"/>
      </w:tabs>
      <w:ind w:left="1170" w:hanging="18"/>
    </w:pPr>
  </w:style>
  <w:style w:type="character" w:styleId="PageNumber">
    <w:name w:val="page number"/>
    <w:basedOn w:val="DefaultParagraphFont"/>
    <w:rsid w:val="00365A25"/>
  </w:style>
  <w:style w:type="paragraph" w:styleId="NormalWeb">
    <w:name w:val="Normal (Web)"/>
    <w:basedOn w:val="Normal"/>
    <w:uiPriority w:val="99"/>
    <w:rsid w:val="003367D1"/>
    <w:pPr>
      <w:tabs>
        <w:tab w:val="left" w:pos="540"/>
      </w:tabs>
      <w:spacing w:before="120" w:after="100" w:afterAutospacing="1"/>
      <w:ind w:left="540" w:hanging="540"/>
    </w:pPr>
    <w:rPr>
      <w:rFonts w:eastAsia="Arial Unicode MS"/>
      <w:sz w:val="24"/>
    </w:rPr>
  </w:style>
  <w:style w:type="character" w:styleId="Hyperlink">
    <w:name w:val="Hyperlink"/>
    <w:basedOn w:val="DefaultParagraphFont"/>
    <w:uiPriority w:val="99"/>
    <w:rsid w:val="00365A25"/>
    <w:rPr>
      <w:color w:val="62B5E5"/>
      <w:u w:val="single"/>
    </w:rPr>
  </w:style>
  <w:style w:type="character" w:styleId="FollowedHyperlink">
    <w:name w:val="FollowedHyperlink"/>
    <w:basedOn w:val="DefaultParagraphFont"/>
    <w:rsid w:val="00365A25"/>
    <w:rPr>
      <w:rFonts w:ascii="Verdana" w:hAnsi="Verdana"/>
      <w:color w:val="808080" w:themeColor="background1" w:themeShade="80"/>
      <w:u w:val="none"/>
    </w:rPr>
  </w:style>
  <w:style w:type="paragraph" w:styleId="BalloonText">
    <w:name w:val="Balloon Text"/>
    <w:basedOn w:val="Normal"/>
    <w:link w:val="BalloonTextChar"/>
    <w:uiPriority w:val="99"/>
    <w:rsid w:val="00365A25"/>
    <w:rPr>
      <w:rFonts w:ascii="Tahoma" w:hAnsi="Tahoma" w:cs="Tahoma"/>
      <w:sz w:val="16"/>
      <w:szCs w:val="16"/>
    </w:rPr>
  </w:style>
  <w:style w:type="paragraph" w:customStyle="1" w:styleId="paragraph">
    <w:name w:val="paragraph"/>
    <w:basedOn w:val="Normal"/>
    <w:rsid w:val="0070326D"/>
    <w:pPr>
      <w:spacing w:before="100" w:beforeAutospacing="1" w:after="100" w:afterAutospacing="1"/>
    </w:pPr>
    <w:rPr>
      <w:rFonts w:ascii="Arial Unicode MS" w:eastAsia="Arial Unicode MS" w:hAnsi="Arial Unicode MS" w:cs="Arial Unicode MS"/>
      <w:sz w:val="24"/>
    </w:rPr>
  </w:style>
  <w:style w:type="paragraph" w:customStyle="1" w:styleId="bullet1">
    <w:name w:val="bullet1"/>
    <w:basedOn w:val="Normal"/>
    <w:rsid w:val="0070326D"/>
    <w:pPr>
      <w:spacing w:before="100" w:beforeAutospacing="1" w:after="100" w:afterAutospacing="1"/>
    </w:pPr>
    <w:rPr>
      <w:rFonts w:ascii="Arial Unicode MS" w:eastAsia="Arial Unicode MS" w:hAnsi="Arial Unicode MS" w:cs="Arial Unicode MS"/>
      <w:sz w:val="24"/>
    </w:rPr>
  </w:style>
  <w:style w:type="paragraph" w:customStyle="1" w:styleId="bullet2">
    <w:name w:val="bullet2"/>
    <w:basedOn w:val="Normal"/>
    <w:rsid w:val="0070326D"/>
    <w:pPr>
      <w:spacing w:before="100" w:beforeAutospacing="1" w:after="100" w:afterAutospacing="1"/>
    </w:pPr>
    <w:rPr>
      <w:rFonts w:ascii="Arial Unicode MS" w:eastAsia="Arial Unicode MS" w:hAnsi="Arial Unicode MS" w:cs="Arial Unicode MS"/>
      <w:sz w:val="24"/>
    </w:rPr>
  </w:style>
  <w:style w:type="paragraph" w:customStyle="1" w:styleId="bullet3">
    <w:name w:val="bullet3"/>
    <w:basedOn w:val="Normal"/>
    <w:rsid w:val="0070326D"/>
    <w:pPr>
      <w:spacing w:before="100" w:beforeAutospacing="1" w:after="100" w:afterAutospacing="1"/>
    </w:pPr>
    <w:rPr>
      <w:rFonts w:ascii="Arial Unicode MS" w:eastAsia="Arial Unicode MS" w:hAnsi="Arial Unicode MS" w:cs="Arial Unicode MS"/>
      <w:sz w:val="24"/>
    </w:rPr>
  </w:style>
  <w:style w:type="paragraph" w:customStyle="1" w:styleId="bullet4">
    <w:name w:val="bullet4"/>
    <w:basedOn w:val="Normal"/>
    <w:rsid w:val="0070326D"/>
    <w:pPr>
      <w:spacing w:before="100" w:beforeAutospacing="1" w:after="100" w:afterAutospacing="1"/>
    </w:pPr>
    <w:rPr>
      <w:rFonts w:ascii="Arial Unicode MS" w:eastAsia="Arial Unicode MS" w:hAnsi="Arial Unicode MS" w:cs="Arial Unicode MS"/>
      <w:sz w:val="24"/>
    </w:rPr>
  </w:style>
  <w:style w:type="character" w:customStyle="1" w:styleId="standardChar">
    <w:name w:val="standard Char"/>
    <w:link w:val="standard"/>
    <w:rsid w:val="0070326D"/>
    <w:rPr>
      <w:sz w:val="24"/>
      <w:lang w:val="en-US" w:eastAsia="en-US" w:bidi="ar-SA"/>
    </w:rPr>
  </w:style>
  <w:style w:type="character" w:customStyle="1" w:styleId="level1Char">
    <w:name w:val="level 1 Char"/>
    <w:link w:val="level1"/>
    <w:rsid w:val="0070326D"/>
    <w:rPr>
      <w:sz w:val="24"/>
      <w:lang w:val="en-US" w:eastAsia="en-US" w:bidi="ar-SA"/>
    </w:rPr>
  </w:style>
  <w:style w:type="character" w:customStyle="1" w:styleId="level2Char">
    <w:name w:val="level 2 Char"/>
    <w:link w:val="level2"/>
    <w:rsid w:val="0070326D"/>
    <w:rPr>
      <w:sz w:val="24"/>
      <w:lang w:val="en-US" w:eastAsia="en-US" w:bidi="ar-SA"/>
    </w:rPr>
  </w:style>
  <w:style w:type="paragraph" w:customStyle="1" w:styleId="Bullet20">
    <w:name w:val="Bullet 2"/>
    <w:rsid w:val="0070326D"/>
    <w:pPr>
      <w:spacing w:before="240"/>
      <w:ind w:left="1022" w:hanging="446"/>
    </w:pPr>
    <w:rPr>
      <w:b/>
      <w:sz w:val="24"/>
      <w:szCs w:val="24"/>
    </w:rPr>
  </w:style>
  <w:style w:type="paragraph" w:styleId="HTMLPreformatted">
    <w:name w:val="HTML Preformatted"/>
    <w:basedOn w:val="Normal"/>
    <w:rsid w:val="00E8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lock">
    <w:name w:val="block"/>
    <w:basedOn w:val="standard"/>
    <w:rsid w:val="00374912"/>
    <w:pPr>
      <w:spacing w:before="120"/>
    </w:pPr>
  </w:style>
  <w:style w:type="character" w:styleId="CommentReference">
    <w:name w:val="annotation reference"/>
    <w:rsid w:val="00365A25"/>
    <w:rPr>
      <w:rFonts w:cs="Times New Roman"/>
      <w:sz w:val="16"/>
      <w:szCs w:val="16"/>
    </w:rPr>
  </w:style>
  <w:style w:type="paragraph" w:styleId="CommentSubject">
    <w:name w:val="annotation subject"/>
    <w:basedOn w:val="CommentText"/>
    <w:next w:val="CommentText"/>
    <w:link w:val="CommentSubjectChar"/>
    <w:rsid w:val="00365A25"/>
    <w:pPr>
      <w:widowControl/>
      <w:spacing w:before="120" w:after="120"/>
    </w:pPr>
    <w:rPr>
      <w:b/>
      <w:bCs/>
    </w:rPr>
  </w:style>
  <w:style w:type="character" w:customStyle="1" w:styleId="Heading1Char">
    <w:name w:val="Heading 1 Char"/>
    <w:aliases w:val="Heading black Char"/>
    <w:link w:val="Heading1"/>
    <w:uiPriority w:val="9"/>
    <w:rsid w:val="00365A25"/>
    <w:rPr>
      <w:rFonts w:ascii="Calibri Light" w:eastAsiaTheme="majorEastAsia" w:hAnsi="Calibri Light" w:cstheme="majorBidi"/>
      <w:bCs/>
      <w:spacing w:val="-2"/>
      <w:kern w:val="28"/>
      <w:sz w:val="36"/>
      <w:szCs w:val="28"/>
      <w:lang w:val="en-GB"/>
    </w:rPr>
  </w:style>
  <w:style w:type="paragraph" w:customStyle="1" w:styleId="Default">
    <w:name w:val="Default"/>
    <w:rsid w:val="001C6AB0"/>
    <w:pPr>
      <w:autoSpaceDE w:val="0"/>
      <w:autoSpaceDN w:val="0"/>
      <w:adjustRightInd w:val="0"/>
    </w:pPr>
    <w:rPr>
      <w:color w:val="000000"/>
      <w:sz w:val="24"/>
      <w:szCs w:val="24"/>
    </w:rPr>
  </w:style>
  <w:style w:type="paragraph" w:styleId="Revision">
    <w:name w:val="Revision"/>
    <w:hidden/>
    <w:uiPriority w:val="99"/>
    <w:semiHidden/>
    <w:rsid w:val="006A7AC5"/>
  </w:style>
  <w:style w:type="paragraph" w:styleId="EndnoteText">
    <w:name w:val="endnote text"/>
    <w:aliases w:val="Char"/>
    <w:basedOn w:val="Normal"/>
    <w:link w:val="EndnoteTextChar"/>
    <w:rsid w:val="00365A25"/>
    <w:pPr>
      <w:widowControl w:val="0"/>
      <w:spacing w:after="320"/>
    </w:pPr>
    <w:rPr>
      <w:sz w:val="20"/>
      <w:szCs w:val="20"/>
    </w:rPr>
  </w:style>
  <w:style w:type="character" w:customStyle="1" w:styleId="EndnoteTextChar">
    <w:name w:val="Endnote Text Char"/>
    <w:aliases w:val="Char Char"/>
    <w:basedOn w:val="DefaultParagraphFont"/>
    <w:link w:val="EndnoteText"/>
    <w:rsid w:val="00365A25"/>
    <w:rPr>
      <w:rFonts w:ascii="Calibri Light" w:eastAsiaTheme="minorEastAsia" w:hAnsi="Calibri Light"/>
      <w:color w:val="000000"/>
      <w:lang w:val="en-GB" w:eastAsia="zh-TW"/>
    </w:rPr>
  </w:style>
  <w:style w:type="character" w:styleId="EndnoteReference">
    <w:name w:val="endnote reference"/>
    <w:rsid w:val="00365A25"/>
    <w:rPr>
      <w:rFonts w:cs="Times New Roman"/>
      <w:vertAlign w:val="superscript"/>
    </w:rPr>
  </w:style>
  <w:style w:type="paragraph" w:customStyle="1" w:styleId="CM19">
    <w:name w:val="CM19"/>
    <w:basedOn w:val="Normal"/>
    <w:next w:val="Normal"/>
    <w:uiPriority w:val="99"/>
    <w:rsid w:val="0086275C"/>
    <w:pPr>
      <w:autoSpaceDE w:val="0"/>
      <w:autoSpaceDN w:val="0"/>
      <w:adjustRightInd w:val="0"/>
    </w:pPr>
    <w:rPr>
      <w:sz w:val="24"/>
    </w:rPr>
  </w:style>
  <w:style w:type="paragraph" w:customStyle="1" w:styleId="CM11">
    <w:name w:val="CM11"/>
    <w:basedOn w:val="Default"/>
    <w:next w:val="Default"/>
    <w:uiPriority w:val="99"/>
    <w:rsid w:val="00D81359"/>
    <w:pPr>
      <w:spacing w:line="276" w:lineRule="atLeast"/>
    </w:pPr>
    <w:rPr>
      <w:color w:val="auto"/>
    </w:rPr>
  </w:style>
  <w:style w:type="paragraph" w:customStyle="1" w:styleId="CM22">
    <w:name w:val="CM22"/>
    <w:basedOn w:val="Default"/>
    <w:next w:val="Default"/>
    <w:uiPriority w:val="99"/>
    <w:rsid w:val="00D81359"/>
    <w:rPr>
      <w:color w:val="auto"/>
    </w:rPr>
  </w:style>
  <w:style w:type="character" w:customStyle="1" w:styleId="other">
    <w:name w:val="other"/>
    <w:basedOn w:val="DefaultParagraphFont"/>
    <w:rsid w:val="009E5C19"/>
  </w:style>
  <w:style w:type="character" w:customStyle="1" w:styleId="othergaap">
    <w:name w:val="othergaap"/>
    <w:basedOn w:val="DefaultParagraphFont"/>
    <w:rsid w:val="009E5C19"/>
  </w:style>
  <w:style w:type="paragraph" w:styleId="ListParagraph">
    <w:name w:val="List Paragraph"/>
    <w:basedOn w:val="Normal"/>
    <w:link w:val="ListParagraphChar"/>
    <w:uiPriority w:val="34"/>
    <w:qFormat/>
    <w:rsid w:val="00365A25"/>
    <w:pPr>
      <w:ind w:left="720"/>
      <w:contextualSpacing/>
    </w:pPr>
  </w:style>
  <w:style w:type="paragraph" w:customStyle="1" w:styleId="hp">
    <w:name w:val="hp"/>
    <w:basedOn w:val="Normal"/>
    <w:rsid w:val="008B6E2D"/>
    <w:pPr>
      <w:spacing w:before="100" w:beforeAutospacing="1" w:after="100" w:afterAutospacing="1"/>
    </w:pPr>
    <w:rPr>
      <w:sz w:val="24"/>
    </w:rPr>
  </w:style>
  <w:style w:type="character" w:customStyle="1" w:styleId="Quote1">
    <w:name w:val="Quote1"/>
    <w:basedOn w:val="DefaultParagraphFont"/>
    <w:rsid w:val="008C02DD"/>
  </w:style>
  <w:style w:type="character" w:customStyle="1" w:styleId="paragraph1">
    <w:name w:val="paragraph1"/>
    <w:rsid w:val="00124E8D"/>
    <w:rPr>
      <w:rFonts w:ascii="Arial" w:hAnsi="Arial" w:cs="Arial" w:hint="default"/>
      <w:vanish w:val="0"/>
      <w:webHidden w:val="0"/>
      <w:sz w:val="29"/>
      <w:szCs w:val="29"/>
      <w:specVanish w:val="0"/>
    </w:rPr>
  </w:style>
  <w:style w:type="character" w:customStyle="1" w:styleId="paragraph2">
    <w:name w:val="paragraph2"/>
    <w:rsid w:val="00CC4951"/>
    <w:rPr>
      <w:rFonts w:ascii="Arial" w:hAnsi="Arial" w:cs="Arial" w:hint="default"/>
      <w:vanish w:val="0"/>
      <w:webHidden w:val="0"/>
      <w:sz w:val="29"/>
      <w:szCs w:val="29"/>
      <w:specVanish w:val="0"/>
    </w:rPr>
  </w:style>
  <w:style w:type="character" w:customStyle="1" w:styleId="paragraph3">
    <w:name w:val="paragraph3"/>
    <w:rsid w:val="00CC4951"/>
    <w:rPr>
      <w:rFonts w:ascii="Arial" w:hAnsi="Arial" w:cs="Arial" w:hint="default"/>
      <w:vanish w:val="0"/>
      <w:webHidden w:val="0"/>
      <w:sz w:val="29"/>
      <w:szCs w:val="29"/>
      <w:specVanish w:val="0"/>
    </w:rPr>
  </w:style>
  <w:style w:type="character" w:customStyle="1" w:styleId="paragraph4">
    <w:name w:val="paragraph4"/>
    <w:rsid w:val="00CC4951"/>
    <w:rPr>
      <w:rFonts w:ascii="Arial" w:hAnsi="Arial" w:cs="Arial" w:hint="default"/>
      <w:vanish w:val="0"/>
      <w:webHidden w:val="0"/>
      <w:sz w:val="29"/>
      <w:szCs w:val="29"/>
      <w:specVanish w:val="0"/>
    </w:rPr>
  </w:style>
  <w:style w:type="character" w:customStyle="1" w:styleId="paragraph5">
    <w:name w:val="paragraph5"/>
    <w:rsid w:val="00CC4951"/>
    <w:rPr>
      <w:rFonts w:ascii="Arial" w:hAnsi="Arial" w:cs="Arial" w:hint="default"/>
      <w:vanish w:val="0"/>
      <w:webHidden w:val="0"/>
      <w:sz w:val="29"/>
      <w:szCs w:val="29"/>
      <w:specVanish w:val="0"/>
    </w:rPr>
  </w:style>
  <w:style w:type="paragraph" w:styleId="PlainText">
    <w:name w:val="Plain Text"/>
    <w:basedOn w:val="Normal"/>
    <w:link w:val="PlainTextChar"/>
    <w:uiPriority w:val="99"/>
    <w:unhideWhenUsed/>
    <w:rsid w:val="005F5410"/>
    <w:rPr>
      <w:rFonts w:ascii="Calibri" w:eastAsiaTheme="minorHAnsi" w:hAnsi="Calibri"/>
      <w:szCs w:val="22"/>
    </w:rPr>
  </w:style>
  <w:style w:type="character" w:customStyle="1" w:styleId="PlainTextChar">
    <w:name w:val="Plain Text Char"/>
    <w:basedOn w:val="DefaultParagraphFont"/>
    <w:link w:val="PlainText"/>
    <w:uiPriority w:val="99"/>
    <w:rsid w:val="005F5410"/>
    <w:rPr>
      <w:rFonts w:ascii="Calibri" w:eastAsiaTheme="minorHAnsi" w:hAnsi="Calibri"/>
      <w:sz w:val="22"/>
      <w:szCs w:val="22"/>
    </w:rPr>
  </w:style>
  <w:style w:type="character" w:customStyle="1" w:styleId="body">
    <w:name w:val="body"/>
    <w:basedOn w:val="DefaultParagraphFont"/>
    <w:rsid w:val="00882F69"/>
    <w:rPr>
      <w:rFonts w:ascii="Verdana" w:hAnsi="Verdana" w:hint="default"/>
    </w:rPr>
  </w:style>
  <w:style w:type="character" w:styleId="Emphasis">
    <w:name w:val="Emphasis"/>
    <w:basedOn w:val="DefaultParagraphFont"/>
    <w:qFormat/>
    <w:rsid w:val="005007FC"/>
    <w:rPr>
      <w:i/>
      <w:iCs/>
    </w:rPr>
  </w:style>
  <w:style w:type="character" w:customStyle="1" w:styleId="UnresolvedMention1">
    <w:name w:val="Unresolved Mention1"/>
    <w:basedOn w:val="DefaultParagraphFont"/>
    <w:uiPriority w:val="99"/>
    <w:semiHidden/>
    <w:unhideWhenUsed/>
    <w:rsid w:val="006E27EB"/>
    <w:rPr>
      <w:color w:val="808080"/>
      <w:shd w:val="clear" w:color="auto" w:fill="E6E6E6"/>
    </w:rPr>
  </w:style>
  <w:style w:type="paragraph" w:customStyle="1" w:styleId="Pa2">
    <w:name w:val="Pa2"/>
    <w:basedOn w:val="Default"/>
    <w:next w:val="Default"/>
    <w:uiPriority w:val="99"/>
    <w:rsid w:val="00E250E5"/>
    <w:pPr>
      <w:spacing w:line="201" w:lineRule="atLeast"/>
    </w:pPr>
    <w:rPr>
      <w:rFonts w:ascii="Open Sans Light" w:hAnsi="Open Sans Light"/>
      <w:color w:val="auto"/>
    </w:rPr>
  </w:style>
  <w:style w:type="character" w:customStyle="1" w:styleId="CommentTextChar">
    <w:name w:val="Comment Text Char"/>
    <w:basedOn w:val="DefaultParagraphFont"/>
    <w:link w:val="CommentText"/>
    <w:rsid w:val="00365A25"/>
    <w:rPr>
      <w:rFonts w:ascii="Calibri Light" w:eastAsiaTheme="minorEastAsia" w:hAnsi="Calibri Light"/>
      <w:color w:val="000000"/>
      <w:lang w:val="en-GB" w:eastAsia="zh-TW"/>
    </w:rPr>
  </w:style>
  <w:style w:type="paragraph" w:customStyle="1" w:styleId="Block0">
    <w:name w:val="Block"/>
    <w:basedOn w:val="NormalIndent"/>
    <w:rsid w:val="00365A25"/>
    <w:pPr>
      <w:widowControl w:val="0"/>
      <w:spacing w:before="240"/>
      <w:ind w:left="0"/>
    </w:pPr>
    <w:rPr>
      <w:szCs w:val="20"/>
    </w:rPr>
  </w:style>
  <w:style w:type="character" w:customStyle="1" w:styleId="UnresolvedMention2">
    <w:name w:val="Unresolved Mention2"/>
    <w:basedOn w:val="DefaultParagraphFont"/>
    <w:uiPriority w:val="99"/>
    <w:semiHidden/>
    <w:unhideWhenUsed/>
    <w:rsid w:val="00D2249E"/>
    <w:rPr>
      <w:color w:val="808080"/>
      <w:shd w:val="clear" w:color="auto" w:fill="E6E6E6"/>
    </w:rPr>
  </w:style>
  <w:style w:type="character" w:styleId="UnresolvedMention">
    <w:name w:val="Unresolved Mention"/>
    <w:basedOn w:val="DefaultParagraphFont"/>
    <w:uiPriority w:val="99"/>
    <w:unhideWhenUsed/>
    <w:rsid w:val="009C2187"/>
    <w:rPr>
      <w:color w:val="605E5C"/>
      <w:shd w:val="clear" w:color="auto" w:fill="E1DFDD"/>
    </w:rPr>
  </w:style>
  <w:style w:type="character" w:customStyle="1" w:styleId="footnotelink">
    <w:name w:val="footnote_link"/>
    <w:basedOn w:val="DefaultParagraphFont"/>
    <w:rsid w:val="0034542B"/>
  </w:style>
  <w:style w:type="character" w:customStyle="1" w:styleId="sup">
    <w:name w:val="sup"/>
    <w:basedOn w:val="DefaultParagraphFont"/>
    <w:rsid w:val="009900FA"/>
  </w:style>
  <w:style w:type="paragraph" w:customStyle="1" w:styleId="ulli">
    <w:name w:val="ul_li"/>
    <w:basedOn w:val="Normal"/>
    <w:rsid w:val="009900FA"/>
    <w:pPr>
      <w:spacing w:before="100" w:beforeAutospacing="1" w:after="100" w:afterAutospacing="1"/>
    </w:pPr>
    <w:rPr>
      <w:sz w:val="24"/>
    </w:rPr>
  </w:style>
  <w:style w:type="character" w:styleId="HTMLKeyboard">
    <w:name w:val="HTML Keyboard"/>
    <w:basedOn w:val="DefaultParagraphFont"/>
    <w:rsid w:val="00ED68E3"/>
    <w:rPr>
      <w:rFonts w:ascii="Consolas" w:hAnsi="Consolas"/>
      <w:sz w:val="20"/>
      <w:szCs w:val="20"/>
    </w:rPr>
  </w:style>
  <w:style w:type="character" w:customStyle="1" w:styleId="dart-i">
    <w:name w:val="dart-i"/>
    <w:basedOn w:val="DefaultParagraphFont"/>
    <w:rsid w:val="001B72E5"/>
  </w:style>
  <w:style w:type="character" w:styleId="Strong">
    <w:name w:val="Strong"/>
    <w:basedOn w:val="DefaultParagraphFont"/>
    <w:uiPriority w:val="22"/>
    <w:qFormat/>
    <w:rsid w:val="001B72E5"/>
    <w:rPr>
      <w:b/>
      <w:bCs/>
    </w:rPr>
  </w:style>
  <w:style w:type="paragraph" w:customStyle="1" w:styleId="Pa3">
    <w:name w:val="Pa3"/>
    <w:basedOn w:val="Default"/>
    <w:next w:val="Default"/>
    <w:uiPriority w:val="99"/>
    <w:rsid w:val="0017467A"/>
    <w:pPr>
      <w:spacing w:line="201" w:lineRule="atLeast"/>
    </w:pPr>
    <w:rPr>
      <w:rFonts w:ascii="Open Sans Light" w:hAnsi="Open Sans Light"/>
      <w:color w:val="auto"/>
    </w:rPr>
  </w:style>
  <w:style w:type="character" w:customStyle="1" w:styleId="dart-b">
    <w:name w:val="dart-b"/>
    <w:basedOn w:val="DefaultParagraphFont"/>
    <w:rsid w:val="003763CB"/>
  </w:style>
  <w:style w:type="paragraph" w:customStyle="1" w:styleId="Address">
    <w:name w:val="Address"/>
    <w:basedOn w:val="Normal"/>
    <w:link w:val="AddressChar"/>
    <w:rsid w:val="00365A25"/>
    <w:rPr>
      <w:rFonts w:ascii="Times New Roman" w:eastAsia="Times New Roman" w:hAnsi="Times New Roman"/>
      <w:color w:val="auto"/>
      <w:sz w:val="24"/>
      <w:szCs w:val="20"/>
      <w:lang w:val="en-US" w:eastAsia="en-US"/>
    </w:rPr>
  </w:style>
  <w:style w:type="character" w:customStyle="1" w:styleId="AddressChar">
    <w:name w:val="Address Char"/>
    <w:link w:val="Address"/>
    <w:rsid w:val="00365A25"/>
    <w:rPr>
      <w:sz w:val="24"/>
    </w:rPr>
  </w:style>
  <w:style w:type="paragraph" w:customStyle="1" w:styleId="B1">
    <w:name w:val="B1"/>
    <w:basedOn w:val="Normal"/>
    <w:rsid w:val="00365A25"/>
    <w:pPr>
      <w:widowControl w:val="0"/>
      <w:tabs>
        <w:tab w:val="left" w:pos="450"/>
      </w:tabs>
      <w:spacing w:before="240"/>
      <w:ind w:left="810" w:hanging="360"/>
    </w:pPr>
    <w:rPr>
      <w:szCs w:val="20"/>
    </w:rPr>
  </w:style>
  <w:style w:type="character" w:customStyle="1" w:styleId="BalloonTextChar">
    <w:name w:val="Balloon Text Char"/>
    <w:basedOn w:val="DefaultParagraphFont"/>
    <w:link w:val="BalloonText"/>
    <w:uiPriority w:val="99"/>
    <w:rsid w:val="00365A25"/>
    <w:rPr>
      <w:rFonts w:ascii="Tahoma" w:eastAsiaTheme="minorEastAsia" w:hAnsi="Tahoma" w:cs="Tahoma"/>
      <w:color w:val="000000"/>
      <w:sz w:val="16"/>
      <w:szCs w:val="16"/>
      <w:lang w:val="en-GB" w:eastAsia="zh-TW"/>
    </w:rPr>
  </w:style>
  <w:style w:type="paragraph" w:styleId="BodyText">
    <w:name w:val="Body Text"/>
    <w:basedOn w:val="Normal"/>
    <w:link w:val="BodyTextChar"/>
    <w:rsid w:val="00365A25"/>
  </w:style>
  <w:style w:type="character" w:customStyle="1" w:styleId="BodyTextChar">
    <w:name w:val="Body Text Char"/>
    <w:basedOn w:val="DefaultParagraphFont"/>
    <w:link w:val="BodyText"/>
    <w:rsid w:val="00365A25"/>
    <w:rPr>
      <w:rFonts w:ascii="Calibri Light" w:eastAsiaTheme="minorEastAsia" w:hAnsi="Calibri Light"/>
      <w:color w:val="000000"/>
      <w:sz w:val="22"/>
      <w:szCs w:val="24"/>
      <w:lang w:val="en-GB" w:eastAsia="zh-TW"/>
    </w:rPr>
  </w:style>
  <w:style w:type="paragraph" w:styleId="BodyText2">
    <w:name w:val="Body Text 2"/>
    <w:basedOn w:val="Normal"/>
    <w:link w:val="BodyText2Char"/>
    <w:rsid w:val="00365A25"/>
    <w:pPr>
      <w:widowControl w:val="0"/>
      <w:spacing w:before="60" w:after="180" w:line="360" w:lineRule="auto"/>
      <w:jc w:val="center"/>
    </w:pPr>
    <w:rPr>
      <w:rFonts w:ascii="Arial" w:hAnsi="Arial"/>
      <w:b/>
      <w:sz w:val="28"/>
      <w:szCs w:val="20"/>
    </w:rPr>
  </w:style>
  <w:style w:type="character" w:customStyle="1" w:styleId="BodyText2Char">
    <w:name w:val="Body Text 2 Char"/>
    <w:basedOn w:val="DefaultParagraphFont"/>
    <w:link w:val="BodyText2"/>
    <w:rsid w:val="00365A25"/>
    <w:rPr>
      <w:rFonts w:ascii="Arial" w:eastAsiaTheme="minorEastAsia" w:hAnsi="Arial"/>
      <w:b/>
      <w:color w:val="000000"/>
      <w:sz w:val="28"/>
      <w:lang w:val="en-GB" w:eastAsia="zh-TW"/>
    </w:rPr>
  </w:style>
  <w:style w:type="paragraph" w:styleId="BodyText3">
    <w:name w:val="Body Text 3"/>
    <w:basedOn w:val="Normal"/>
    <w:link w:val="BodyText3Char"/>
    <w:rsid w:val="00365A25"/>
    <w:pPr>
      <w:autoSpaceDE w:val="0"/>
      <w:autoSpaceDN w:val="0"/>
      <w:adjustRightInd w:val="0"/>
      <w:spacing w:after="240"/>
    </w:pPr>
  </w:style>
  <w:style w:type="character" w:customStyle="1" w:styleId="BodyText3Char">
    <w:name w:val="Body Text 3 Char"/>
    <w:basedOn w:val="DefaultParagraphFont"/>
    <w:link w:val="BodyText3"/>
    <w:rsid w:val="00365A25"/>
    <w:rPr>
      <w:rFonts w:ascii="Calibri Light" w:eastAsiaTheme="minorEastAsia" w:hAnsi="Calibri Light"/>
      <w:color w:val="000000"/>
      <w:sz w:val="22"/>
      <w:szCs w:val="24"/>
      <w:lang w:val="en-GB" w:eastAsia="zh-TW"/>
    </w:rPr>
  </w:style>
  <w:style w:type="paragraph" w:styleId="BodyTextIndent">
    <w:name w:val="Body Text Indent"/>
    <w:basedOn w:val="Normal"/>
    <w:link w:val="BodyTextIndentChar"/>
    <w:rsid w:val="00365A25"/>
    <w:pPr>
      <w:autoSpaceDE w:val="0"/>
      <w:autoSpaceDN w:val="0"/>
      <w:adjustRightInd w:val="0"/>
      <w:spacing w:after="240"/>
      <w:ind w:left="360"/>
    </w:pPr>
  </w:style>
  <w:style w:type="character" w:customStyle="1" w:styleId="BodyTextIndentChar">
    <w:name w:val="Body Text Indent Char"/>
    <w:basedOn w:val="DefaultParagraphFont"/>
    <w:link w:val="BodyTextIndent"/>
    <w:rsid w:val="00365A25"/>
    <w:rPr>
      <w:rFonts w:ascii="Calibri Light" w:eastAsiaTheme="minorEastAsia" w:hAnsi="Calibri Light"/>
      <w:color w:val="000000"/>
      <w:sz w:val="22"/>
      <w:szCs w:val="24"/>
      <w:lang w:val="en-GB" w:eastAsia="zh-TW"/>
    </w:rPr>
  </w:style>
  <w:style w:type="paragraph" w:customStyle="1" w:styleId="Bookmark">
    <w:name w:val="Bookmark"/>
    <w:basedOn w:val="Normal"/>
    <w:link w:val="BookmarkChar"/>
    <w:rsid w:val="00365A25"/>
    <w:pPr>
      <w:spacing w:before="120" w:after="120" w:line="280" w:lineRule="exact"/>
    </w:pPr>
    <w:rPr>
      <w:rFonts w:eastAsiaTheme="minorHAnsi"/>
      <w:color w:val="FFFFFF" w:themeColor="background1"/>
      <w:sz w:val="24"/>
      <w:szCs w:val="22"/>
      <w:u w:val="single"/>
      <w:lang w:val="en-US" w:eastAsia="en-US"/>
    </w:rPr>
  </w:style>
  <w:style w:type="character" w:customStyle="1" w:styleId="BookmarkChar">
    <w:name w:val="Bookmark Char"/>
    <w:basedOn w:val="DefaultParagraphFont"/>
    <w:link w:val="Bookmark"/>
    <w:rsid w:val="00365A25"/>
    <w:rPr>
      <w:rFonts w:ascii="Calibri Light" w:eastAsiaTheme="minorHAnsi" w:hAnsi="Calibri Light"/>
      <w:color w:val="FFFFFF" w:themeColor="background1"/>
      <w:sz w:val="24"/>
      <w:szCs w:val="22"/>
      <w:u w:val="single"/>
    </w:rPr>
  </w:style>
  <w:style w:type="character" w:customStyle="1" w:styleId="CommentSubjectChar">
    <w:name w:val="Comment Subject Char"/>
    <w:basedOn w:val="CommentTextChar"/>
    <w:link w:val="CommentSubject"/>
    <w:rsid w:val="00365A25"/>
    <w:rPr>
      <w:rFonts w:ascii="Calibri Light" w:eastAsiaTheme="minorEastAsia" w:hAnsi="Calibri Light"/>
      <w:b/>
      <w:bCs/>
      <w:color w:val="000000"/>
      <w:lang w:val="en-GB" w:eastAsia="zh-TW"/>
    </w:rPr>
  </w:style>
  <w:style w:type="character" w:customStyle="1" w:styleId="ListParagraphChar">
    <w:name w:val="List Paragraph Char"/>
    <w:link w:val="ListParagraph"/>
    <w:uiPriority w:val="34"/>
    <w:rsid w:val="00365A25"/>
    <w:rPr>
      <w:rFonts w:ascii="Calibri Light" w:eastAsiaTheme="minorEastAsia" w:hAnsi="Calibri Light"/>
      <w:color w:val="000000"/>
      <w:sz w:val="22"/>
      <w:szCs w:val="24"/>
      <w:lang w:val="en-GB" w:eastAsia="zh-TW"/>
    </w:rPr>
  </w:style>
  <w:style w:type="paragraph" w:customStyle="1" w:styleId="DFORM2020INDENTEDlowerAlphaLVL3">
    <w:name w:val="D_FORM_2020_INDENTED_lowerAlpha_LVL3"/>
    <w:basedOn w:val="ListParagraph"/>
    <w:qFormat/>
    <w:rsid w:val="00365A25"/>
    <w:pPr>
      <w:numPr>
        <w:ilvl w:val="1"/>
        <w:numId w:val="69"/>
      </w:numPr>
      <w:autoSpaceDE w:val="0"/>
      <w:autoSpaceDN w:val="0"/>
      <w:adjustRightInd w:val="0"/>
      <w:contextualSpacing w:val="0"/>
    </w:pPr>
    <w:rPr>
      <w:i/>
    </w:rPr>
  </w:style>
  <w:style w:type="paragraph" w:customStyle="1" w:styleId="DLIST2020APARAINDENTED">
    <w:name w:val="D_LIST_2020_A_PARA_INDENTED"/>
    <w:basedOn w:val="Normal"/>
    <w:qFormat/>
    <w:rsid w:val="00365A25"/>
    <w:pPr>
      <w:autoSpaceDE w:val="0"/>
      <w:autoSpaceDN w:val="0"/>
      <w:adjustRightInd w:val="0"/>
      <w:ind w:left="1440"/>
    </w:pPr>
    <w:rPr>
      <w:szCs w:val="18"/>
    </w:rPr>
  </w:style>
  <w:style w:type="paragraph" w:customStyle="1" w:styleId="D2020FORMLISTNUMs">
    <w:name w:val="D2020_FORM_LIST_NUMs"/>
    <w:basedOn w:val="ListParagraph"/>
    <w:qFormat/>
    <w:rsid w:val="00365A25"/>
    <w:pPr>
      <w:numPr>
        <w:numId w:val="70"/>
      </w:numPr>
      <w:contextualSpacing w:val="0"/>
    </w:pPr>
  </w:style>
  <w:style w:type="paragraph" w:styleId="Date">
    <w:name w:val="Date"/>
    <w:basedOn w:val="Normal"/>
    <w:next w:val="Normal"/>
    <w:link w:val="DateChar"/>
    <w:rsid w:val="00365A25"/>
    <w:pPr>
      <w:widowControl w:val="0"/>
      <w:autoSpaceDE w:val="0"/>
      <w:autoSpaceDN w:val="0"/>
      <w:adjustRightInd w:val="0"/>
      <w:spacing w:before="40"/>
      <w:ind w:left="1267" w:hanging="1267"/>
    </w:pPr>
    <w:rPr>
      <w:rFonts w:ascii="Times New Roman" w:eastAsia="Times New Roman" w:hAnsi="Times New Roman"/>
      <w:color w:val="auto"/>
      <w:sz w:val="24"/>
      <w:lang w:val="en-US" w:eastAsia="en-US"/>
    </w:rPr>
  </w:style>
  <w:style w:type="character" w:customStyle="1" w:styleId="DateChar">
    <w:name w:val="Date Char"/>
    <w:basedOn w:val="DefaultParagraphFont"/>
    <w:link w:val="Date"/>
    <w:rsid w:val="00365A25"/>
    <w:rPr>
      <w:sz w:val="24"/>
      <w:szCs w:val="24"/>
    </w:rPr>
  </w:style>
  <w:style w:type="paragraph" w:customStyle="1" w:styleId="Date24after">
    <w:name w:val="Date + 24 after"/>
    <w:basedOn w:val="Date"/>
    <w:link w:val="Date24afterChar"/>
    <w:rsid w:val="00365A25"/>
    <w:pPr>
      <w:widowControl/>
      <w:autoSpaceDE/>
      <w:autoSpaceDN/>
      <w:adjustRightInd/>
      <w:spacing w:before="240" w:after="480" w:line="240" w:lineRule="atLeast"/>
      <w:ind w:left="0" w:firstLine="0"/>
    </w:pPr>
    <w:rPr>
      <w:rFonts w:asciiTheme="minorHAnsi" w:hAnsiTheme="minorHAnsi" w:cstheme="minorHAnsi"/>
      <w:b/>
      <w:sz w:val="22"/>
      <w:szCs w:val="22"/>
    </w:rPr>
  </w:style>
  <w:style w:type="character" w:customStyle="1" w:styleId="Date24afterChar">
    <w:name w:val="Date + 24 after Char"/>
    <w:link w:val="Date24after"/>
    <w:rsid w:val="00365A25"/>
    <w:rPr>
      <w:rFonts w:asciiTheme="minorHAnsi" w:hAnsiTheme="minorHAnsi" w:cstheme="minorHAnsi"/>
      <w:b/>
      <w:sz w:val="22"/>
      <w:szCs w:val="22"/>
    </w:rPr>
  </w:style>
  <w:style w:type="paragraph" w:styleId="Subtitle">
    <w:name w:val="Subtitle"/>
    <w:basedOn w:val="Normal"/>
    <w:next w:val="Normal"/>
    <w:link w:val="SubtitleChar"/>
    <w:rsid w:val="00365A25"/>
    <w:pPr>
      <w:numPr>
        <w:ilvl w:val="1"/>
      </w:numPr>
      <w:spacing w:after="160"/>
    </w:pPr>
    <w:rPr>
      <w:color w:val="5A5A5A" w:themeColor="text1" w:themeTint="A5"/>
      <w:spacing w:val="15"/>
    </w:rPr>
  </w:style>
  <w:style w:type="character" w:customStyle="1" w:styleId="SubtitleChar">
    <w:name w:val="Subtitle Char"/>
    <w:basedOn w:val="DefaultParagraphFont"/>
    <w:link w:val="Subtitle"/>
    <w:rsid w:val="00365A25"/>
    <w:rPr>
      <w:rFonts w:ascii="Calibri Light" w:eastAsiaTheme="minorEastAsia" w:hAnsi="Calibri Light"/>
      <w:color w:val="5A5A5A" w:themeColor="text1" w:themeTint="A5"/>
      <w:spacing w:val="15"/>
      <w:sz w:val="22"/>
      <w:szCs w:val="24"/>
      <w:lang w:val="en-GB" w:eastAsia="zh-TW"/>
    </w:rPr>
  </w:style>
  <w:style w:type="paragraph" w:customStyle="1" w:styleId="DeloitteDateSubtitle">
    <w:name w:val="Deloitte Date Subtitle"/>
    <w:basedOn w:val="Subtitle"/>
    <w:autoRedefine/>
    <w:rsid w:val="00365A25"/>
    <w:pPr>
      <w:spacing w:before="240" w:after="120"/>
    </w:pPr>
    <w:rPr>
      <w:rFonts w:ascii="Verdana" w:eastAsiaTheme="majorEastAsia" w:hAnsi="Verdana" w:cstheme="majorBidi"/>
      <w:iCs/>
      <w:color w:val="000000" w:themeColor="text1"/>
      <w:spacing w:val="0"/>
      <w:sz w:val="18"/>
      <w:szCs w:val="18"/>
    </w:rPr>
  </w:style>
  <w:style w:type="table" w:customStyle="1" w:styleId="DeloitteDefaultTable">
    <w:name w:val="Deloitte Default Table"/>
    <w:basedOn w:val="TableNormal"/>
    <w:uiPriority w:val="99"/>
    <w:rsid w:val="00365A25"/>
    <w:rPr>
      <w:rFonts w:ascii="Calibri" w:eastAsia="Calibri" w:hAnsi="Calibri"/>
      <w:sz w:val="17"/>
      <w:lang w:val="en-GB"/>
    </w:rPr>
    <w:tblPr>
      <w:tblInd w:w="0" w:type="nil"/>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62B5E5"/>
        </w:tcBorders>
      </w:tcPr>
    </w:tblStylePr>
  </w:style>
  <w:style w:type="paragraph" w:customStyle="1" w:styleId="DeloitteHeading1">
    <w:name w:val="Deloitte Heading 1"/>
    <w:basedOn w:val="Heading1"/>
    <w:autoRedefine/>
    <w:rsid w:val="00365A25"/>
    <w:pPr>
      <w:keepLines w:val="0"/>
      <w:widowControl w:val="0"/>
      <w:spacing w:before="120" w:after="240"/>
    </w:pPr>
    <w:rPr>
      <w:rFonts w:ascii="Verdana" w:eastAsiaTheme="minorHAnsi" w:hAnsi="Verdana" w:cstheme="minorBidi"/>
      <w:sz w:val="60"/>
      <w:szCs w:val="22"/>
    </w:rPr>
  </w:style>
  <w:style w:type="character" w:customStyle="1" w:styleId="Heading2Char">
    <w:name w:val="Heading 2 Char"/>
    <w:aliases w:val="Heading white Char"/>
    <w:link w:val="Heading2"/>
    <w:uiPriority w:val="9"/>
    <w:rsid w:val="00365A25"/>
    <w:rPr>
      <w:rFonts w:ascii="Calibri Light" w:eastAsiaTheme="majorEastAsia" w:hAnsi="Calibri Light" w:cstheme="majorBidi"/>
      <w:bCs/>
      <w:spacing w:val="4"/>
      <w:sz w:val="36"/>
      <w:szCs w:val="36"/>
    </w:rPr>
  </w:style>
  <w:style w:type="paragraph" w:customStyle="1" w:styleId="DeloitteHeading2">
    <w:name w:val="Deloitte Heading 2"/>
    <w:basedOn w:val="Heading2"/>
    <w:autoRedefine/>
    <w:rsid w:val="00365A25"/>
    <w:pPr>
      <w:keepLines w:val="0"/>
      <w:widowControl w:val="0"/>
      <w:tabs>
        <w:tab w:val="left" w:pos="180"/>
      </w:tabs>
    </w:pPr>
    <w:rPr>
      <w:rFonts w:ascii="Verdana" w:hAnsi="Verdana"/>
      <w:b/>
      <w:bCs w:val="0"/>
      <w:iCs/>
      <w:color w:val="62B5E5"/>
      <w:sz w:val="18"/>
      <w:szCs w:val="28"/>
    </w:rPr>
  </w:style>
  <w:style w:type="character" w:customStyle="1" w:styleId="Heading5Char">
    <w:name w:val="Heading 5 Char"/>
    <w:aliases w:val="Intro/Highlighted text Char"/>
    <w:link w:val="Heading5"/>
    <w:uiPriority w:val="9"/>
    <w:rsid w:val="00365A25"/>
    <w:rPr>
      <w:rFonts w:ascii="Calibri" w:eastAsiaTheme="majorEastAsia" w:hAnsi="Calibri" w:cstheme="majorBidi"/>
      <w:bCs/>
      <w:color w:val="000000"/>
      <w:sz w:val="36"/>
      <w:szCs w:val="24"/>
      <w:lang w:val="en-GB"/>
    </w:rPr>
  </w:style>
  <w:style w:type="paragraph" w:customStyle="1" w:styleId="DeloitteHeading4">
    <w:name w:val="Deloitte Heading 4"/>
    <w:basedOn w:val="Heading5"/>
    <w:autoRedefine/>
    <w:rsid w:val="00365A25"/>
    <w:pPr>
      <w:widowControl w:val="0"/>
      <w:spacing w:before="240"/>
      <w:outlineLvl w:val="3"/>
    </w:pPr>
    <w:rPr>
      <w:rFonts w:ascii="Verdana" w:eastAsia="Times New Roman" w:hAnsi="Verdana" w:cstheme="minorHAnsi"/>
      <w:b/>
      <w:color w:val="75787B"/>
      <w:sz w:val="18"/>
      <w:szCs w:val="28"/>
      <w:lang w:val="la-Latn"/>
    </w:rPr>
  </w:style>
  <w:style w:type="paragraph" w:customStyle="1" w:styleId="DeloitteHeading5">
    <w:name w:val="Deloitte Heading 5"/>
    <w:basedOn w:val="Normal"/>
    <w:link w:val="DeloitteHeading5Char"/>
    <w:autoRedefine/>
    <w:rsid w:val="00365A25"/>
    <w:pPr>
      <w:keepNext/>
      <w:widowControl w:val="0"/>
      <w:spacing w:before="240"/>
      <w:outlineLvl w:val="4"/>
    </w:pPr>
    <w:rPr>
      <w:rFonts w:eastAsiaTheme="minorHAnsi"/>
      <w:b/>
      <w:i/>
    </w:rPr>
  </w:style>
  <w:style w:type="character" w:customStyle="1" w:styleId="DeloitteHeading5Char">
    <w:name w:val="Deloitte Heading 5 Char"/>
    <w:basedOn w:val="DefaultParagraphFont"/>
    <w:link w:val="DeloitteHeading5"/>
    <w:rsid w:val="00365A25"/>
    <w:rPr>
      <w:rFonts w:ascii="Calibri Light" w:eastAsiaTheme="minorHAnsi" w:hAnsi="Calibri Light"/>
      <w:b/>
      <w:i/>
      <w:color w:val="000000"/>
      <w:sz w:val="22"/>
      <w:szCs w:val="24"/>
      <w:lang w:val="en-GB" w:eastAsia="zh-TW"/>
    </w:rPr>
  </w:style>
  <w:style w:type="table" w:customStyle="1" w:styleId="Deloittetable">
    <w:name w:val="Deloitte table"/>
    <w:basedOn w:val="TableNormal"/>
    <w:uiPriority w:val="99"/>
    <w:rsid w:val="00365A25"/>
    <w:rPr>
      <w:sz w:val="17"/>
      <w:lang w:val="en-GB"/>
    </w:rPr>
    <w:tblPr>
      <w:tblBorders>
        <w:insideH w:val="single" w:sz="4" w:space="0" w:color="75787B" w:themeColor="accent6"/>
      </w:tblBorders>
      <w:tblCellMar>
        <w:top w:w="57" w:type="dxa"/>
        <w:left w:w="0" w:type="dxa"/>
        <w:bottom w:w="57" w:type="dxa"/>
        <w:right w:w="0" w:type="dxa"/>
      </w:tblCellMar>
    </w:tblPr>
    <w:tblStylePr w:type="firstRow">
      <w:tblPr/>
      <w:tcPr>
        <w:tcBorders>
          <w:top w:val="single" w:sz="18" w:space="0" w:color="00A3E0" w:themeColor="accent3"/>
          <w:left w:val="nil"/>
          <w:bottom w:val="nil"/>
          <w:right w:val="nil"/>
          <w:insideH w:val="nil"/>
          <w:insideV w:val="nil"/>
          <w:tl2br w:val="nil"/>
          <w:tr2bl w:val="nil"/>
        </w:tcBorders>
      </w:tcPr>
    </w:tblStylePr>
  </w:style>
  <w:style w:type="paragraph" w:customStyle="1" w:styleId="DeloitteTableBullet1">
    <w:name w:val="Deloitte Table Bullet 1"/>
    <w:basedOn w:val="ListParagraph"/>
    <w:link w:val="DeloitteTableBullet1Char"/>
    <w:rsid w:val="00365A25"/>
    <w:pPr>
      <w:framePr w:hSpace="180" w:wrap="around" w:vAnchor="text" w:hAnchor="text" w:y="1"/>
      <w:widowControl w:val="0"/>
      <w:numPr>
        <w:numId w:val="71"/>
      </w:numPr>
      <w:spacing w:line="200" w:lineRule="atLeast"/>
      <w:contextualSpacing w:val="0"/>
      <w:suppressOverlap/>
    </w:pPr>
    <w:rPr>
      <w:rFonts w:eastAsia="Times"/>
      <w:sz w:val="17"/>
      <w:szCs w:val="17"/>
    </w:rPr>
  </w:style>
  <w:style w:type="character" w:customStyle="1" w:styleId="DeloitteTableBullet1Char">
    <w:name w:val="Deloitte Table Bullet 1 Char"/>
    <w:basedOn w:val="ListParagraphChar"/>
    <w:link w:val="DeloitteTableBullet1"/>
    <w:rsid w:val="00365A25"/>
    <w:rPr>
      <w:rFonts w:ascii="Calibri Light" w:eastAsia="Times" w:hAnsi="Calibri Light"/>
      <w:color w:val="000000"/>
      <w:sz w:val="17"/>
      <w:szCs w:val="17"/>
      <w:lang w:val="en-GB" w:eastAsia="zh-TW"/>
    </w:rPr>
  </w:style>
  <w:style w:type="paragraph" w:customStyle="1" w:styleId="DeloitteTableHeaderRow">
    <w:name w:val="Deloitte Table Header Row"/>
    <w:basedOn w:val="Normal"/>
    <w:rsid w:val="00365A25"/>
    <w:pPr>
      <w:framePr w:hSpace="180" w:wrap="around" w:vAnchor="text" w:hAnchor="text" w:y="1"/>
      <w:widowControl w:val="0"/>
      <w:spacing w:line="200" w:lineRule="atLeast"/>
      <w:suppressOverlap/>
    </w:pPr>
    <w:rPr>
      <w:rFonts w:eastAsia="Times"/>
      <w:b/>
      <w:szCs w:val="20"/>
    </w:rPr>
  </w:style>
  <w:style w:type="paragraph" w:customStyle="1" w:styleId="DeloitteTabletext">
    <w:name w:val="Deloitte Table text"/>
    <w:basedOn w:val="Normal"/>
    <w:autoRedefine/>
    <w:rsid w:val="00365A25"/>
    <w:pPr>
      <w:spacing w:line="200" w:lineRule="atLeast"/>
      <w:ind w:left="144"/>
    </w:pPr>
    <w:rPr>
      <w:rFonts w:eastAsiaTheme="minorHAnsi"/>
      <w:sz w:val="17"/>
    </w:rPr>
  </w:style>
  <w:style w:type="paragraph" w:customStyle="1" w:styleId="DeloitteTableText0">
    <w:name w:val="Deloitte Table Text"/>
    <w:basedOn w:val="Normal"/>
    <w:link w:val="DeloitteTableTextChar"/>
    <w:rsid w:val="00365A25"/>
    <w:pPr>
      <w:framePr w:hSpace="180" w:wrap="around" w:vAnchor="text" w:hAnchor="text" w:y="1"/>
      <w:widowControl w:val="0"/>
      <w:spacing w:line="200" w:lineRule="atLeast"/>
      <w:suppressOverlap/>
    </w:pPr>
    <w:rPr>
      <w:rFonts w:eastAsia="Times"/>
      <w:sz w:val="17"/>
      <w:szCs w:val="17"/>
    </w:rPr>
  </w:style>
  <w:style w:type="character" w:customStyle="1" w:styleId="DeloitteTableTextChar">
    <w:name w:val="Deloitte Table Text Char"/>
    <w:basedOn w:val="DefaultParagraphFont"/>
    <w:link w:val="DeloitteTableText0"/>
    <w:rsid w:val="00365A25"/>
    <w:rPr>
      <w:rFonts w:ascii="Calibri Light" w:eastAsia="Times" w:hAnsi="Calibri Light"/>
      <w:color w:val="000000"/>
      <w:sz w:val="17"/>
      <w:szCs w:val="17"/>
      <w:lang w:val="en-GB" w:eastAsia="zh-TW"/>
    </w:rPr>
  </w:style>
  <w:style w:type="table" w:customStyle="1" w:styleId="Deloittetable1">
    <w:name w:val="Deloitte table1"/>
    <w:basedOn w:val="TableNormal"/>
    <w:uiPriority w:val="99"/>
    <w:rsid w:val="00365A25"/>
    <w:rPr>
      <w:rFonts w:ascii="Calibri" w:eastAsia="Calibri" w:hAnsi="Calibri"/>
      <w:sz w:val="17"/>
      <w:lang w:val="en-GB"/>
    </w:rPr>
    <w:tblPr>
      <w:tblInd w:w="0" w:type="nil"/>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62B5E5"/>
        </w:tcBorders>
      </w:tcPr>
    </w:tblStylePr>
  </w:style>
  <w:style w:type="table" w:customStyle="1" w:styleId="Deloittetable2">
    <w:name w:val="Deloitte table2"/>
    <w:basedOn w:val="TableNormal"/>
    <w:uiPriority w:val="99"/>
    <w:rsid w:val="00365A25"/>
    <w:rPr>
      <w:rFonts w:ascii="Calibri" w:eastAsia="Calibri" w:hAnsi="Calibri"/>
      <w:sz w:val="17"/>
      <w:lang w:val="en-GB"/>
    </w:rPr>
    <w:tblPr>
      <w:tblInd w:w="0" w:type="nil"/>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62B5E5"/>
        </w:tcBorders>
      </w:tcPr>
    </w:tblStylePr>
  </w:style>
  <w:style w:type="paragraph" w:customStyle="1" w:styleId="DeloitteTablebulletsLevel1">
    <w:name w:val="Deloitte_Table_bullets_Level_1"/>
    <w:basedOn w:val="DeloitteTabletext"/>
    <w:autoRedefine/>
    <w:rsid w:val="00365A25"/>
    <w:pPr>
      <w:ind w:left="720" w:hanging="360"/>
    </w:pPr>
  </w:style>
  <w:style w:type="paragraph" w:customStyle="1" w:styleId="Documenttitle">
    <w:name w:val="Document title"/>
    <w:next w:val="Normal"/>
    <w:qFormat/>
    <w:rsid w:val="00365A25"/>
    <w:pPr>
      <w:pBdr>
        <w:bottom w:val="single" w:sz="18" w:space="1" w:color="A6A6A6"/>
      </w:pBdr>
      <w:spacing w:after="130" w:line="340" w:lineRule="atLeast"/>
    </w:pPr>
    <w:rPr>
      <w:rFonts w:ascii="Calibri" w:eastAsiaTheme="majorEastAsia" w:hAnsi="Calibri" w:cstheme="majorBidi"/>
      <w:bCs/>
      <w:color w:val="53565A"/>
      <w:sz w:val="38"/>
      <w:szCs w:val="28"/>
      <w:lang w:val="en-GB"/>
    </w:rPr>
  </w:style>
  <w:style w:type="character" w:customStyle="1" w:styleId="documentlip1">
    <w:name w:val="document_li_p1"/>
    <w:rsid w:val="00365A25"/>
    <w:rPr>
      <w:rFonts w:ascii="Arial" w:hAnsi="Arial" w:cs="Arial" w:hint="default"/>
      <w:sz w:val="20"/>
      <w:szCs w:val="20"/>
    </w:rPr>
  </w:style>
  <w:style w:type="character" w:customStyle="1" w:styleId="FooterChar">
    <w:name w:val="Footer Char"/>
    <w:basedOn w:val="DefaultParagraphFont"/>
    <w:link w:val="Footer"/>
    <w:uiPriority w:val="99"/>
    <w:rsid w:val="00365A25"/>
    <w:rPr>
      <w:rFonts w:ascii="Calibri Light" w:eastAsiaTheme="minorEastAsia" w:hAnsi="Calibri Light"/>
      <w:color w:val="000000"/>
      <w:sz w:val="22"/>
      <w:szCs w:val="24"/>
      <w:lang w:val="en-GB" w:eastAsia="zh-TW"/>
    </w:rPr>
  </w:style>
  <w:style w:type="character" w:customStyle="1" w:styleId="FootnoteTextChar">
    <w:name w:val="Footnote Text Char"/>
    <w:basedOn w:val="DefaultParagraphFont"/>
    <w:link w:val="FootnoteText"/>
    <w:uiPriority w:val="99"/>
    <w:rsid w:val="00365A25"/>
    <w:rPr>
      <w:rFonts w:ascii="Calibri Light" w:eastAsiaTheme="minorEastAsia" w:hAnsi="Calibri Light"/>
      <w:color w:val="000000"/>
      <w:sz w:val="16"/>
      <w:lang w:val="en-GB" w:eastAsia="zh-TW"/>
    </w:rPr>
  </w:style>
  <w:style w:type="paragraph" w:customStyle="1" w:styleId="FORM2020LISTLowerAlpha">
    <w:name w:val="FORM 2020 LIST Lower Alpha"/>
    <w:basedOn w:val="ListParagraph"/>
    <w:qFormat/>
    <w:rsid w:val="00365A25"/>
    <w:pPr>
      <w:numPr>
        <w:numId w:val="72"/>
      </w:numPr>
      <w:autoSpaceDE w:val="0"/>
      <w:autoSpaceDN w:val="0"/>
      <w:adjustRightInd w:val="0"/>
      <w:spacing w:after="240"/>
    </w:pPr>
  </w:style>
  <w:style w:type="paragraph" w:customStyle="1" w:styleId="FORM2020StyleListParagraphBlackAfter12pt">
    <w:name w:val="FORM 2020_Style List Paragraph + Black After:  12 pt"/>
    <w:basedOn w:val="ListParagraph"/>
    <w:rsid w:val="00365A25"/>
    <w:pPr>
      <w:spacing w:after="240"/>
    </w:pPr>
    <w:rPr>
      <w:szCs w:val="20"/>
    </w:rPr>
  </w:style>
  <w:style w:type="paragraph" w:customStyle="1" w:styleId="FormBodyText">
    <w:name w:val="Form Body Text"/>
    <w:basedOn w:val="Normal"/>
    <w:link w:val="FormBodyTextChar"/>
    <w:qFormat/>
    <w:rsid w:val="00425921"/>
    <w:pPr>
      <w:spacing w:after="240" w:line="240" w:lineRule="atLeast"/>
    </w:pPr>
  </w:style>
  <w:style w:type="character" w:customStyle="1" w:styleId="FormBodyTextChar">
    <w:name w:val="Form Body Text Char"/>
    <w:link w:val="FormBodyText"/>
    <w:rsid w:val="00425921"/>
    <w:rPr>
      <w:rFonts w:ascii="Calibri Light" w:eastAsiaTheme="minorEastAsia" w:hAnsi="Calibri Light"/>
      <w:color w:val="000000"/>
      <w:sz w:val="22"/>
      <w:szCs w:val="24"/>
      <w:lang w:val="en-GB" w:eastAsia="zh-TW"/>
    </w:rPr>
  </w:style>
  <w:style w:type="paragraph" w:customStyle="1" w:styleId="FormBullet1">
    <w:name w:val="Form Bullet 1"/>
    <w:basedOn w:val="ListParagraph"/>
    <w:link w:val="FormBullet1Char"/>
    <w:qFormat/>
    <w:rsid w:val="00365A25"/>
    <w:pPr>
      <w:numPr>
        <w:numId w:val="75"/>
      </w:numPr>
      <w:spacing w:line="200" w:lineRule="atLeast"/>
      <w:contextualSpacing w:val="0"/>
    </w:pPr>
  </w:style>
  <w:style w:type="character" w:customStyle="1" w:styleId="FormBullet1Char">
    <w:name w:val="Form Bullet 1 Char"/>
    <w:link w:val="FormBullet1"/>
    <w:rsid w:val="00365A25"/>
    <w:rPr>
      <w:rFonts w:ascii="Calibri Light" w:eastAsiaTheme="minorEastAsia" w:hAnsi="Calibri Light"/>
      <w:color w:val="000000"/>
      <w:sz w:val="22"/>
      <w:szCs w:val="24"/>
      <w:lang w:val="en-GB" w:eastAsia="zh-TW"/>
    </w:rPr>
  </w:style>
  <w:style w:type="paragraph" w:customStyle="1" w:styleId="FormBullet2">
    <w:name w:val="Form Bullet 2"/>
    <w:basedOn w:val="ListParagraph"/>
    <w:link w:val="FormBullet2Char"/>
    <w:qFormat/>
    <w:rsid w:val="00365A25"/>
    <w:pPr>
      <w:numPr>
        <w:numId w:val="74"/>
      </w:numPr>
      <w:spacing w:line="200" w:lineRule="atLeast"/>
      <w:contextualSpacing w:val="0"/>
    </w:pPr>
  </w:style>
  <w:style w:type="character" w:customStyle="1" w:styleId="FormBullet2Char">
    <w:name w:val="Form Bullet 2 Char"/>
    <w:link w:val="FormBullet2"/>
    <w:rsid w:val="00365A25"/>
    <w:rPr>
      <w:rFonts w:ascii="Calibri Light" w:eastAsiaTheme="minorEastAsia" w:hAnsi="Calibri Light"/>
      <w:color w:val="000000"/>
      <w:sz w:val="22"/>
      <w:szCs w:val="24"/>
      <w:lang w:val="en-GB" w:eastAsia="zh-TW"/>
    </w:rPr>
  </w:style>
  <w:style w:type="paragraph" w:customStyle="1" w:styleId="FormBullet3">
    <w:name w:val="Form Bullet 3"/>
    <w:basedOn w:val="ListParagraph"/>
    <w:link w:val="FormBullet3Char"/>
    <w:qFormat/>
    <w:rsid w:val="00365A25"/>
    <w:pPr>
      <w:numPr>
        <w:ilvl w:val="1"/>
        <w:numId w:val="75"/>
      </w:numPr>
      <w:spacing w:line="200" w:lineRule="atLeast"/>
      <w:contextualSpacing w:val="0"/>
    </w:pPr>
  </w:style>
  <w:style w:type="character" w:customStyle="1" w:styleId="FormBullet3Char">
    <w:name w:val="Form Bullet 3 Char"/>
    <w:link w:val="FormBullet3"/>
    <w:rsid w:val="00365A25"/>
    <w:rPr>
      <w:rFonts w:ascii="Calibri Light" w:eastAsiaTheme="minorEastAsia" w:hAnsi="Calibri Light"/>
      <w:color w:val="000000"/>
      <w:sz w:val="22"/>
      <w:szCs w:val="24"/>
      <w:lang w:val="en-GB" w:eastAsia="zh-TW"/>
    </w:rPr>
  </w:style>
  <w:style w:type="paragraph" w:customStyle="1" w:styleId="FormEndnote">
    <w:name w:val="Form Endnote"/>
    <w:basedOn w:val="EndnoteText"/>
    <w:link w:val="FormEndnoteChar"/>
    <w:qFormat/>
    <w:rsid w:val="00365A25"/>
    <w:pPr>
      <w:spacing w:before="120" w:after="120" w:line="200" w:lineRule="atLeast"/>
      <w:ind w:left="360" w:hanging="360"/>
    </w:pPr>
    <w:rPr>
      <w:sz w:val="16"/>
    </w:rPr>
  </w:style>
  <w:style w:type="character" w:customStyle="1" w:styleId="FormEndnoteChar">
    <w:name w:val="Form Endnote Char"/>
    <w:link w:val="FormEndnote"/>
    <w:rsid w:val="00365A25"/>
    <w:rPr>
      <w:rFonts w:ascii="Calibri Light" w:eastAsiaTheme="minorEastAsia" w:hAnsi="Calibri Light"/>
      <w:color w:val="000000"/>
      <w:sz w:val="16"/>
      <w:lang w:val="en-GB" w:eastAsia="zh-TW"/>
    </w:rPr>
  </w:style>
  <w:style w:type="character" w:customStyle="1" w:styleId="FormEXAMPLETITLE">
    <w:name w:val="Form EXAMPLE TITLE"/>
    <w:uiPriority w:val="1"/>
    <w:qFormat/>
    <w:rsid w:val="00365A25"/>
    <w:rPr>
      <w:rFonts w:ascii="Verdana" w:eastAsiaTheme="majorEastAsia" w:hAnsi="Verdana" w:cs="Arial"/>
      <w:b/>
      <w:bCs/>
      <w:caps/>
      <w:smallCaps w:val="0"/>
      <w:strike w:val="0"/>
      <w:dstrike w:val="0"/>
      <w:vanish w:val="0"/>
      <w:color w:val="000000"/>
      <w:spacing w:val="-2"/>
      <w:kern w:val="28"/>
      <w:sz w:val="24"/>
      <w:szCs w:val="32"/>
      <w:shd w:val="clear" w:color="auto" w:fill="FFFFFF"/>
      <w:vertAlign w:val="baseline"/>
      <w:lang w:val="en-GB"/>
    </w:rPr>
  </w:style>
  <w:style w:type="character" w:customStyle="1" w:styleId="HeaderChar">
    <w:name w:val="Header Char"/>
    <w:basedOn w:val="DefaultParagraphFont"/>
    <w:link w:val="Header"/>
    <w:uiPriority w:val="99"/>
    <w:rsid w:val="00365A25"/>
    <w:rPr>
      <w:rFonts w:ascii="Calibri Light" w:eastAsiaTheme="minorEastAsia" w:hAnsi="Calibri Light"/>
      <w:color w:val="000000"/>
      <w:sz w:val="22"/>
      <w:szCs w:val="24"/>
      <w:lang w:val="en-GB" w:eastAsia="zh-TW"/>
    </w:rPr>
  </w:style>
  <w:style w:type="paragraph" w:customStyle="1" w:styleId="FormHeader">
    <w:name w:val="Form Header"/>
    <w:basedOn w:val="Header"/>
    <w:link w:val="FormHeaderChar"/>
    <w:qFormat/>
    <w:rsid w:val="00365A25"/>
    <w:pPr>
      <w:spacing w:before="120" w:after="120" w:line="200" w:lineRule="atLeast"/>
      <w:jc w:val="right"/>
    </w:pPr>
    <w:rPr>
      <w:sz w:val="16"/>
    </w:rPr>
  </w:style>
  <w:style w:type="character" w:customStyle="1" w:styleId="FormHeaderChar">
    <w:name w:val="Form Header Char"/>
    <w:link w:val="FormHeader"/>
    <w:rsid w:val="00365A25"/>
    <w:rPr>
      <w:rFonts w:ascii="Calibri Light" w:eastAsiaTheme="minorEastAsia" w:hAnsi="Calibri Light"/>
      <w:color w:val="000000"/>
      <w:sz w:val="16"/>
      <w:szCs w:val="24"/>
      <w:lang w:val="en-GB" w:eastAsia="zh-TW"/>
    </w:rPr>
  </w:style>
  <w:style w:type="paragraph" w:customStyle="1" w:styleId="FormHeading1">
    <w:name w:val="Form Heading 1"/>
    <w:basedOn w:val="ListParagraph"/>
    <w:next w:val="Normal"/>
    <w:link w:val="FormHeading1Char"/>
    <w:autoRedefine/>
    <w:qFormat/>
    <w:rsid w:val="006907C3"/>
    <w:pPr>
      <w:keepNext/>
      <w:spacing w:before="240" w:after="240" w:line="240" w:lineRule="atLeast"/>
      <w:ind w:left="0"/>
      <w:contextualSpacing w:val="0"/>
      <w:outlineLvl w:val="0"/>
    </w:pPr>
    <w:rPr>
      <w:rFonts w:cs="Calibri Light"/>
      <w:b/>
      <w:caps/>
      <w:sz w:val="32"/>
      <w:szCs w:val="36"/>
      <w:lang w:val="en-US"/>
    </w:rPr>
  </w:style>
  <w:style w:type="character" w:customStyle="1" w:styleId="FormHeading1Char">
    <w:name w:val="Form Heading 1 Char"/>
    <w:link w:val="FormHeading1"/>
    <w:rsid w:val="006907C3"/>
    <w:rPr>
      <w:rFonts w:ascii="Calibri Light" w:eastAsiaTheme="minorEastAsia" w:hAnsi="Calibri Light" w:cs="Calibri Light"/>
      <w:b/>
      <w:caps/>
      <w:color w:val="000000"/>
      <w:sz w:val="32"/>
      <w:szCs w:val="36"/>
      <w:lang w:eastAsia="zh-TW"/>
    </w:rPr>
  </w:style>
  <w:style w:type="paragraph" w:customStyle="1" w:styleId="FormHeading2">
    <w:name w:val="Form Heading 2"/>
    <w:basedOn w:val="Heading2"/>
    <w:next w:val="Normal"/>
    <w:link w:val="FormHeading2Char"/>
    <w:autoRedefine/>
    <w:qFormat/>
    <w:rsid w:val="00C44B10"/>
    <w:rPr>
      <w:sz w:val="28"/>
      <w:szCs w:val="32"/>
    </w:rPr>
  </w:style>
  <w:style w:type="character" w:customStyle="1" w:styleId="FormHeading2Char">
    <w:name w:val="Form Heading 2 Char"/>
    <w:link w:val="FormHeading2"/>
    <w:rsid w:val="00C44B10"/>
    <w:rPr>
      <w:rFonts w:ascii="Calibri Light" w:eastAsiaTheme="majorEastAsia" w:hAnsi="Calibri Light" w:cstheme="majorBidi"/>
      <w:bCs/>
      <w:spacing w:val="4"/>
      <w:sz w:val="28"/>
      <w:szCs w:val="32"/>
    </w:rPr>
  </w:style>
  <w:style w:type="paragraph" w:customStyle="1" w:styleId="FormHeading3">
    <w:name w:val="Form Heading 3"/>
    <w:basedOn w:val="Heading2"/>
    <w:next w:val="Normal"/>
    <w:link w:val="FormHeading3Char"/>
    <w:autoRedefine/>
    <w:qFormat/>
    <w:rsid w:val="00365A25"/>
    <w:pPr>
      <w:outlineLvl w:val="2"/>
    </w:pPr>
    <w:rPr>
      <w:b/>
      <w:sz w:val="28"/>
    </w:rPr>
  </w:style>
  <w:style w:type="character" w:customStyle="1" w:styleId="FormHeading3Char">
    <w:name w:val="Form Heading 3 Char"/>
    <w:link w:val="FormHeading3"/>
    <w:rsid w:val="00365A25"/>
    <w:rPr>
      <w:rFonts w:ascii="Calibri Light" w:eastAsiaTheme="majorEastAsia" w:hAnsi="Calibri Light" w:cstheme="majorBidi"/>
      <w:b/>
      <w:bCs/>
      <w:spacing w:val="4"/>
      <w:sz w:val="28"/>
      <w:szCs w:val="36"/>
    </w:rPr>
  </w:style>
  <w:style w:type="paragraph" w:customStyle="1" w:styleId="FormHeading4">
    <w:name w:val="Form Heading 4"/>
    <w:basedOn w:val="FormHeading3"/>
    <w:next w:val="Normal"/>
    <w:link w:val="FormHeading4Char"/>
    <w:rsid w:val="00365A25"/>
    <w:rPr>
      <w:b w:val="0"/>
    </w:rPr>
  </w:style>
  <w:style w:type="character" w:customStyle="1" w:styleId="FormHeading4Char">
    <w:name w:val="Form Heading 4 Char"/>
    <w:basedOn w:val="FormHeading3Char"/>
    <w:link w:val="FormHeading4"/>
    <w:rsid w:val="00365A25"/>
    <w:rPr>
      <w:rFonts w:ascii="Calibri Light" w:eastAsiaTheme="majorEastAsia" w:hAnsi="Calibri Light" w:cstheme="majorBidi"/>
      <w:b w:val="0"/>
      <w:bCs/>
      <w:spacing w:val="4"/>
      <w:sz w:val="28"/>
      <w:szCs w:val="36"/>
    </w:rPr>
  </w:style>
  <w:style w:type="paragraph" w:customStyle="1" w:styleId="FormLetters">
    <w:name w:val="Form Letters"/>
    <w:basedOn w:val="FormBodyText"/>
    <w:link w:val="FormLettersChar"/>
    <w:qFormat/>
    <w:rsid w:val="00365A25"/>
    <w:pPr>
      <w:spacing w:before="240"/>
    </w:pPr>
  </w:style>
  <w:style w:type="character" w:customStyle="1" w:styleId="FormLettersChar">
    <w:name w:val="Form Letters Char"/>
    <w:link w:val="FormLetters"/>
    <w:rsid w:val="00365A25"/>
    <w:rPr>
      <w:rFonts w:ascii="Calibri Light" w:eastAsiaTheme="minorEastAsia" w:hAnsi="Calibri Light"/>
      <w:color w:val="000000"/>
      <w:sz w:val="22"/>
      <w:szCs w:val="24"/>
      <w:lang w:val="en-GB" w:eastAsia="zh-TW"/>
    </w:rPr>
  </w:style>
  <w:style w:type="paragraph" w:customStyle="1" w:styleId="FORMLIST2020ALowerRomanLevel2">
    <w:name w:val="FORM LIST 2020 A Lower Roman Level 2"/>
    <w:basedOn w:val="Normal"/>
    <w:qFormat/>
    <w:rsid w:val="00365A25"/>
    <w:pPr>
      <w:numPr>
        <w:ilvl w:val="1"/>
        <w:numId w:val="76"/>
      </w:numPr>
      <w:autoSpaceDE w:val="0"/>
      <w:autoSpaceDN w:val="0"/>
      <w:adjustRightInd w:val="0"/>
    </w:pPr>
    <w:rPr>
      <w:bCs/>
    </w:rPr>
  </w:style>
  <w:style w:type="paragraph" w:customStyle="1" w:styleId="FormTableBullet1">
    <w:name w:val="Form Table Bullet 1"/>
    <w:basedOn w:val="DeloitteTableBullet1"/>
    <w:link w:val="FormTableBullet1Char"/>
    <w:qFormat/>
    <w:rsid w:val="00365A25"/>
    <w:pPr>
      <w:framePr w:hSpace="0" w:wrap="auto" w:vAnchor="margin" w:yAlign="inline"/>
      <w:numPr>
        <w:numId w:val="0"/>
      </w:numPr>
      <w:tabs>
        <w:tab w:val="num" w:pos="720"/>
      </w:tabs>
      <w:ind w:left="720" w:hanging="720"/>
      <w:suppressOverlap w:val="0"/>
    </w:pPr>
  </w:style>
  <w:style w:type="character" w:customStyle="1" w:styleId="FormTableBullet1Char">
    <w:name w:val="Form Table Bullet 1 Char"/>
    <w:link w:val="FormTableBullet1"/>
    <w:rsid w:val="00365A25"/>
    <w:rPr>
      <w:rFonts w:ascii="Calibri Light" w:eastAsia="Times" w:hAnsi="Calibri Light"/>
      <w:color w:val="000000"/>
      <w:sz w:val="17"/>
      <w:szCs w:val="17"/>
      <w:lang w:val="en-GB" w:eastAsia="zh-TW"/>
    </w:rPr>
  </w:style>
  <w:style w:type="paragraph" w:customStyle="1" w:styleId="FormTableBullet2">
    <w:name w:val="Form Table Bullet 2"/>
    <w:basedOn w:val="DeloitteTableBullet1"/>
    <w:link w:val="FormTableBullet2Char"/>
    <w:qFormat/>
    <w:rsid w:val="00365A25"/>
    <w:pPr>
      <w:framePr w:wrap="around"/>
      <w:numPr>
        <w:numId w:val="0"/>
      </w:numPr>
      <w:ind w:left="720" w:hanging="360"/>
    </w:pPr>
  </w:style>
  <w:style w:type="character" w:customStyle="1" w:styleId="FormTableBullet2Char">
    <w:name w:val="Form Table Bullet 2 Char"/>
    <w:link w:val="FormTableBullet2"/>
    <w:rsid w:val="00365A25"/>
    <w:rPr>
      <w:rFonts w:ascii="Calibri Light" w:eastAsia="Times" w:hAnsi="Calibri Light"/>
      <w:color w:val="000000"/>
      <w:sz w:val="17"/>
      <w:szCs w:val="17"/>
      <w:lang w:val="en-GB" w:eastAsia="zh-TW"/>
    </w:rPr>
  </w:style>
  <w:style w:type="paragraph" w:customStyle="1" w:styleId="FormTableBullet3">
    <w:name w:val="Form Table Bullet 3"/>
    <w:basedOn w:val="FormTableBullet2"/>
    <w:link w:val="FormTableBullet3Char"/>
    <w:qFormat/>
    <w:rsid w:val="00365A25"/>
    <w:pPr>
      <w:framePr w:wrap="around"/>
      <w:ind w:left="1080"/>
    </w:pPr>
  </w:style>
  <w:style w:type="character" w:customStyle="1" w:styleId="FormTableBullet3Char">
    <w:name w:val="Form Table Bullet 3 Char"/>
    <w:link w:val="FormTableBullet3"/>
    <w:rsid w:val="00365A25"/>
    <w:rPr>
      <w:rFonts w:ascii="Calibri Light" w:eastAsia="Times" w:hAnsi="Calibri Light"/>
      <w:color w:val="000000"/>
      <w:sz w:val="17"/>
      <w:szCs w:val="17"/>
      <w:lang w:val="en-GB" w:eastAsia="zh-TW"/>
    </w:rPr>
  </w:style>
  <w:style w:type="paragraph" w:customStyle="1" w:styleId="FormTableHeaderRow">
    <w:name w:val="Form Table Header Row"/>
    <w:basedOn w:val="Normal"/>
    <w:link w:val="FormTableHeaderRowChar"/>
    <w:qFormat/>
    <w:rsid w:val="001016AD"/>
    <w:pPr>
      <w:spacing w:before="120" w:after="120" w:line="240" w:lineRule="atLeast"/>
    </w:pPr>
    <w:rPr>
      <w:rFonts w:eastAsia="Calibri"/>
      <w:b/>
      <w:bCs/>
    </w:rPr>
  </w:style>
  <w:style w:type="character" w:customStyle="1" w:styleId="FormTableHeaderRowChar">
    <w:name w:val="Form Table Header Row Char"/>
    <w:link w:val="FormTableHeaderRow"/>
    <w:rsid w:val="001016AD"/>
    <w:rPr>
      <w:rFonts w:ascii="Calibri Light" w:eastAsia="Calibri" w:hAnsi="Calibri Light"/>
      <w:b/>
      <w:bCs/>
      <w:color w:val="000000"/>
      <w:sz w:val="22"/>
      <w:szCs w:val="24"/>
      <w:lang w:val="en-GB" w:eastAsia="zh-TW"/>
    </w:rPr>
  </w:style>
  <w:style w:type="paragraph" w:customStyle="1" w:styleId="FormTableText">
    <w:name w:val="Form Table Text"/>
    <w:basedOn w:val="DeloitteTableText0"/>
    <w:link w:val="FormTableTextChar"/>
    <w:qFormat/>
    <w:rsid w:val="00365A25"/>
    <w:pPr>
      <w:framePr w:hSpace="0" w:wrap="auto" w:vAnchor="margin" w:yAlign="inline"/>
      <w:suppressOverlap w:val="0"/>
    </w:pPr>
  </w:style>
  <w:style w:type="character" w:customStyle="1" w:styleId="FormTableTextChar">
    <w:name w:val="Form Table Text Char"/>
    <w:link w:val="FormTableText"/>
    <w:rsid w:val="00365A25"/>
    <w:rPr>
      <w:rFonts w:ascii="Calibri Light" w:eastAsia="Times" w:hAnsi="Calibri Light"/>
      <w:color w:val="000000"/>
      <w:sz w:val="17"/>
      <w:szCs w:val="17"/>
      <w:lang w:val="en-GB" w:eastAsia="zh-TW"/>
    </w:rPr>
  </w:style>
  <w:style w:type="paragraph" w:customStyle="1" w:styleId="FormTitle">
    <w:name w:val="Form Title"/>
    <w:basedOn w:val="DeloitteHeading5"/>
    <w:link w:val="FormTitleChar"/>
    <w:qFormat/>
    <w:rsid w:val="001E152E"/>
    <w:pPr>
      <w:spacing w:after="240"/>
      <w:jc w:val="center"/>
      <w:outlineLvl w:val="0"/>
    </w:pPr>
    <w:rPr>
      <w:rFonts w:eastAsia="Calibri Light"/>
      <w:i w:val="0"/>
      <w:caps/>
      <w:sz w:val="36"/>
    </w:rPr>
  </w:style>
  <w:style w:type="character" w:customStyle="1" w:styleId="FormTitleChar">
    <w:name w:val="Form Title Char"/>
    <w:link w:val="FormTitle"/>
    <w:rsid w:val="001E152E"/>
    <w:rPr>
      <w:rFonts w:ascii="Calibri Light" w:eastAsia="Calibri Light" w:hAnsi="Calibri Light"/>
      <w:b/>
      <w:caps/>
      <w:color w:val="000000"/>
      <w:sz w:val="36"/>
      <w:szCs w:val="24"/>
      <w:lang w:val="en-GB" w:eastAsia="zh-TW"/>
    </w:rPr>
  </w:style>
  <w:style w:type="paragraph" w:customStyle="1" w:styleId="FORM2020DBULLETLVL1">
    <w:name w:val="FORM_2020_D_BULLET_LVL_1"/>
    <w:basedOn w:val="ListParagraph"/>
    <w:qFormat/>
    <w:rsid w:val="00365A25"/>
    <w:pPr>
      <w:numPr>
        <w:numId w:val="77"/>
      </w:numPr>
      <w:contextualSpacing w:val="0"/>
    </w:pPr>
    <w:rPr>
      <w:bCs/>
    </w:rPr>
  </w:style>
  <w:style w:type="paragraph" w:customStyle="1" w:styleId="FORMNUMBEREDLIST2020">
    <w:name w:val="FORM_NUMBERED LIST 2020"/>
    <w:basedOn w:val="FormBodyText"/>
    <w:next w:val="ListNumber"/>
    <w:rsid w:val="00365A25"/>
    <w:pPr>
      <w:numPr>
        <w:numId w:val="78"/>
      </w:numPr>
      <w:spacing w:before="120"/>
    </w:pPr>
  </w:style>
  <w:style w:type="paragraph" w:styleId="ListNumber">
    <w:name w:val="List Number"/>
    <w:basedOn w:val="Normal"/>
    <w:uiPriority w:val="99"/>
    <w:rsid w:val="00365A25"/>
    <w:pPr>
      <w:numPr>
        <w:numId w:val="82"/>
      </w:numPr>
      <w:tabs>
        <w:tab w:val="clear" w:pos="360"/>
        <w:tab w:val="left" w:pos="284"/>
      </w:tabs>
      <w:contextualSpacing/>
    </w:pPr>
  </w:style>
  <w:style w:type="character" w:customStyle="1" w:styleId="Heading3Char">
    <w:name w:val="Heading 3 Char"/>
    <w:aliases w:val="Subheading black Char"/>
    <w:link w:val="Heading3"/>
    <w:uiPriority w:val="9"/>
    <w:rsid w:val="00365A25"/>
    <w:rPr>
      <w:rFonts w:ascii="Calibri Light" w:eastAsiaTheme="majorEastAsia" w:hAnsi="Calibri Light" w:cstheme="majorBidi"/>
      <w:bCs/>
      <w:color w:val="000000"/>
      <w:sz w:val="42"/>
      <w:szCs w:val="24"/>
      <w:lang w:val="en-GB" w:eastAsia="zh-TW"/>
    </w:rPr>
  </w:style>
  <w:style w:type="character" w:customStyle="1" w:styleId="Heading4Char">
    <w:name w:val="Heading 4 Char"/>
    <w:aliases w:val="Subheading white Char"/>
    <w:link w:val="Heading4"/>
    <w:uiPriority w:val="9"/>
    <w:rsid w:val="00365A25"/>
    <w:rPr>
      <w:rFonts w:ascii="Calibri Light" w:eastAsiaTheme="majorEastAsia" w:hAnsi="Calibri Light" w:cstheme="majorBidi"/>
      <w:bCs/>
      <w:color w:val="FFFFFF"/>
      <w:sz w:val="42"/>
      <w:szCs w:val="24"/>
      <w:lang w:val="en-GB"/>
    </w:rPr>
  </w:style>
  <w:style w:type="character" w:customStyle="1" w:styleId="Heading6Char">
    <w:name w:val="Heading 6 Char"/>
    <w:aliases w:val="Section heading Char"/>
    <w:link w:val="Heading6"/>
    <w:uiPriority w:val="9"/>
    <w:rsid w:val="00365A25"/>
    <w:rPr>
      <w:rFonts w:ascii="Calibri" w:eastAsiaTheme="majorEastAsia" w:hAnsi="Calibri" w:cstheme="majorBidi"/>
      <w:b/>
      <w:bCs/>
      <w:color w:val="000000"/>
      <w:sz w:val="22"/>
      <w:szCs w:val="24"/>
      <w:lang w:val="en-GB"/>
    </w:rPr>
  </w:style>
  <w:style w:type="character" w:customStyle="1" w:styleId="Heading7Char">
    <w:name w:val="Heading 7 Char"/>
    <w:link w:val="Heading7"/>
    <w:rsid w:val="00365A25"/>
    <w:rPr>
      <w:rFonts w:ascii="Calibri" w:eastAsiaTheme="majorEastAsia" w:hAnsi="Calibri" w:cstheme="majorBidi"/>
      <w:b/>
      <w:bCs/>
      <w:color w:val="000000"/>
      <w:szCs w:val="24"/>
      <w:lang w:val="en-GB"/>
    </w:rPr>
  </w:style>
  <w:style w:type="character" w:customStyle="1" w:styleId="Heading8Char">
    <w:name w:val="Heading 8 Char"/>
    <w:link w:val="Heading8"/>
    <w:rsid w:val="00365A25"/>
    <w:rPr>
      <w:rFonts w:ascii="Arial" w:eastAsiaTheme="minorEastAsia" w:hAnsi="Arial"/>
      <w:b/>
      <w:bCs/>
      <w:iCs/>
      <w:color w:val="000000"/>
      <w:szCs w:val="24"/>
      <w:lang w:val="en-GB" w:eastAsia="zh-TW"/>
    </w:rPr>
  </w:style>
  <w:style w:type="character" w:customStyle="1" w:styleId="Heading9Char">
    <w:name w:val="Heading 9 Char"/>
    <w:link w:val="Heading9"/>
    <w:rsid w:val="00365A25"/>
    <w:rPr>
      <w:rFonts w:ascii="Calibri Light" w:eastAsiaTheme="minorEastAsia" w:hAnsi="Calibri Light"/>
      <w:color w:val="000000"/>
      <w:sz w:val="22"/>
      <w:szCs w:val="24"/>
      <w:lang w:val="en-GB" w:eastAsia="zh-TW"/>
    </w:rPr>
  </w:style>
  <w:style w:type="paragraph" w:customStyle="1" w:styleId="Headinggreen">
    <w:name w:val="Heading green"/>
    <w:basedOn w:val="Heading4"/>
    <w:link w:val="HeadinggreenChar"/>
    <w:qFormat/>
    <w:rsid w:val="00365A25"/>
    <w:rPr>
      <w:color w:val="86BC25"/>
    </w:rPr>
  </w:style>
  <w:style w:type="character" w:customStyle="1" w:styleId="HeadinggreenChar">
    <w:name w:val="Heading green Char"/>
    <w:link w:val="Headinggreen"/>
    <w:rsid w:val="00365A25"/>
    <w:rPr>
      <w:rFonts w:ascii="Calibri Light" w:eastAsiaTheme="majorEastAsia" w:hAnsi="Calibri Light" w:cstheme="majorBidi"/>
      <w:bCs/>
      <w:color w:val="86BC25"/>
      <w:sz w:val="42"/>
      <w:szCs w:val="24"/>
      <w:lang w:val="en-GB"/>
    </w:rPr>
  </w:style>
  <w:style w:type="paragraph" w:customStyle="1" w:styleId="IntroDetails">
    <w:name w:val="Intro Details"/>
    <w:basedOn w:val="Normal"/>
    <w:semiHidden/>
    <w:qFormat/>
    <w:rsid w:val="00365A25"/>
    <w:pPr>
      <w:spacing w:before="240" w:after="240"/>
    </w:pPr>
    <w:rPr>
      <w:rFonts w:eastAsia="Calibri Light"/>
      <w:lang w:eastAsia="en-US"/>
    </w:rPr>
  </w:style>
  <w:style w:type="paragraph" w:styleId="ListBullet">
    <w:name w:val="List Bullet"/>
    <w:basedOn w:val="Normal"/>
    <w:uiPriority w:val="99"/>
    <w:rsid w:val="00365A25"/>
    <w:pPr>
      <w:numPr>
        <w:numId w:val="79"/>
      </w:numPr>
      <w:tabs>
        <w:tab w:val="clear" w:pos="360"/>
        <w:tab w:val="left" w:pos="284"/>
      </w:tabs>
      <w:contextualSpacing/>
    </w:pPr>
  </w:style>
  <w:style w:type="paragraph" w:styleId="ListBullet2">
    <w:name w:val="List Bullet 2"/>
    <w:basedOn w:val="Normal"/>
    <w:uiPriority w:val="99"/>
    <w:rsid w:val="00365A25"/>
    <w:pPr>
      <w:numPr>
        <w:numId w:val="81"/>
      </w:numPr>
      <w:tabs>
        <w:tab w:val="left" w:pos="284"/>
      </w:tabs>
      <w:contextualSpacing/>
    </w:pPr>
  </w:style>
  <w:style w:type="paragraph" w:customStyle="1" w:styleId="ListBullet31">
    <w:name w:val="List Bullet 31"/>
    <w:basedOn w:val="ListBullet2"/>
    <w:autoRedefine/>
    <w:rsid w:val="00365A25"/>
    <w:pPr>
      <w:spacing w:before="45" w:after="45" w:line="200" w:lineRule="atLeast"/>
      <w:ind w:left="990"/>
    </w:pPr>
    <w:rPr>
      <w:rFonts w:cstheme="minorHAnsi"/>
      <w:szCs w:val="20"/>
    </w:rPr>
  </w:style>
  <w:style w:type="paragraph" w:styleId="ListNumber2">
    <w:name w:val="List Number 2"/>
    <w:basedOn w:val="Normal"/>
    <w:uiPriority w:val="99"/>
    <w:rsid w:val="00365A25"/>
    <w:pPr>
      <w:numPr>
        <w:numId w:val="83"/>
      </w:numPr>
      <w:tabs>
        <w:tab w:val="clear" w:pos="643"/>
        <w:tab w:val="left" w:pos="567"/>
      </w:tabs>
      <w:contextualSpacing/>
    </w:pPr>
  </w:style>
  <w:style w:type="paragraph" w:styleId="NoSpacing">
    <w:name w:val="No Spacing"/>
    <w:uiPriority w:val="1"/>
    <w:qFormat/>
    <w:rsid w:val="00365A25"/>
    <w:rPr>
      <w:rFonts w:ascii="Calibri Light" w:eastAsia="Calibri Light" w:hAnsi="Calibri Light"/>
      <w:color w:val="53565A"/>
      <w:spacing w:val="-2"/>
      <w:kern w:val="18"/>
      <w:szCs w:val="24"/>
      <w:lang w:val="en-GB"/>
    </w:rPr>
  </w:style>
  <w:style w:type="paragraph" w:customStyle="1" w:styleId="Normalwhite">
    <w:name w:val="Normal white"/>
    <w:basedOn w:val="Normal"/>
    <w:qFormat/>
    <w:rsid w:val="00365A25"/>
    <w:rPr>
      <w:rFonts w:eastAsia="Calibri Light"/>
      <w:color w:val="FFFFFF"/>
      <w:lang w:eastAsia="en-US"/>
    </w:rPr>
  </w:style>
  <w:style w:type="paragraph" w:customStyle="1" w:styleId="Note">
    <w:name w:val="Note"/>
    <w:basedOn w:val="Normal"/>
    <w:qFormat/>
    <w:rsid w:val="00365A25"/>
    <w:pPr>
      <w:jc w:val="center"/>
    </w:pPr>
    <w:rPr>
      <w:color w:val="FFFFFF"/>
      <w:lang w:val="en-US"/>
    </w:rPr>
  </w:style>
  <w:style w:type="character" w:customStyle="1" w:styleId="pdocumentul1">
    <w:name w:val="p_document_ul1"/>
    <w:rsid w:val="00365A25"/>
  </w:style>
  <w:style w:type="table" w:styleId="TableGrid">
    <w:name w:val="Table Grid"/>
    <w:basedOn w:val="TableNormal"/>
    <w:rsid w:val="00AE24C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515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060">
      <w:bodyDiv w:val="1"/>
      <w:marLeft w:val="0"/>
      <w:marRight w:val="0"/>
      <w:marTop w:val="0"/>
      <w:marBottom w:val="0"/>
      <w:divBdr>
        <w:top w:val="none" w:sz="0" w:space="0" w:color="auto"/>
        <w:left w:val="none" w:sz="0" w:space="0" w:color="auto"/>
        <w:bottom w:val="none" w:sz="0" w:space="0" w:color="auto"/>
        <w:right w:val="none" w:sz="0" w:space="0" w:color="auto"/>
      </w:divBdr>
      <w:divsChild>
        <w:div w:id="183784184">
          <w:marLeft w:val="0"/>
          <w:marRight w:val="0"/>
          <w:marTop w:val="75"/>
          <w:marBottom w:val="75"/>
          <w:divBdr>
            <w:top w:val="none" w:sz="0" w:space="0" w:color="auto"/>
            <w:left w:val="none" w:sz="0" w:space="0" w:color="auto"/>
            <w:bottom w:val="none" w:sz="0" w:space="0" w:color="auto"/>
            <w:right w:val="none" w:sz="0" w:space="0" w:color="auto"/>
          </w:divBdr>
        </w:div>
        <w:div w:id="224606284">
          <w:marLeft w:val="0"/>
          <w:marRight w:val="0"/>
          <w:marTop w:val="75"/>
          <w:marBottom w:val="75"/>
          <w:divBdr>
            <w:top w:val="none" w:sz="0" w:space="0" w:color="auto"/>
            <w:left w:val="none" w:sz="0" w:space="0" w:color="auto"/>
            <w:bottom w:val="none" w:sz="0" w:space="0" w:color="auto"/>
            <w:right w:val="none" w:sz="0" w:space="0" w:color="auto"/>
          </w:divBdr>
        </w:div>
        <w:div w:id="345712928">
          <w:marLeft w:val="0"/>
          <w:marRight w:val="0"/>
          <w:marTop w:val="75"/>
          <w:marBottom w:val="75"/>
          <w:divBdr>
            <w:top w:val="none" w:sz="0" w:space="0" w:color="auto"/>
            <w:left w:val="none" w:sz="0" w:space="0" w:color="auto"/>
            <w:bottom w:val="none" w:sz="0" w:space="0" w:color="auto"/>
            <w:right w:val="none" w:sz="0" w:space="0" w:color="auto"/>
          </w:divBdr>
        </w:div>
        <w:div w:id="1186560359">
          <w:marLeft w:val="0"/>
          <w:marRight w:val="0"/>
          <w:marTop w:val="75"/>
          <w:marBottom w:val="75"/>
          <w:divBdr>
            <w:top w:val="none" w:sz="0" w:space="0" w:color="auto"/>
            <w:left w:val="none" w:sz="0" w:space="0" w:color="auto"/>
            <w:bottom w:val="none" w:sz="0" w:space="0" w:color="auto"/>
            <w:right w:val="none" w:sz="0" w:space="0" w:color="auto"/>
          </w:divBdr>
        </w:div>
        <w:div w:id="1320842815">
          <w:marLeft w:val="0"/>
          <w:marRight w:val="0"/>
          <w:marTop w:val="75"/>
          <w:marBottom w:val="75"/>
          <w:divBdr>
            <w:top w:val="none" w:sz="0" w:space="0" w:color="auto"/>
            <w:left w:val="none" w:sz="0" w:space="0" w:color="auto"/>
            <w:bottom w:val="none" w:sz="0" w:space="0" w:color="auto"/>
            <w:right w:val="none" w:sz="0" w:space="0" w:color="auto"/>
          </w:divBdr>
        </w:div>
        <w:div w:id="1458257916">
          <w:marLeft w:val="0"/>
          <w:marRight w:val="0"/>
          <w:marTop w:val="75"/>
          <w:marBottom w:val="75"/>
          <w:divBdr>
            <w:top w:val="none" w:sz="0" w:space="0" w:color="auto"/>
            <w:left w:val="none" w:sz="0" w:space="0" w:color="auto"/>
            <w:bottom w:val="none" w:sz="0" w:space="0" w:color="auto"/>
            <w:right w:val="none" w:sz="0" w:space="0" w:color="auto"/>
          </w:divBdr>
        </w:div>
        <w:div w:id="1964920242">
          <w:marLeft w:val="0"/>
          <w:marRight w:val="0"/>
          <w:marTop w:val="75"/>
          <w:marBottom w:val="75"/>
          <w:divBdr>
            <w:top w:val="none" w:sz="0" w:space="0" w:color="auto"/>
            <w:left w:val="none" w:sz="0" w:space="0" w:color="auto"/>
            <w:bottom w:val="none" w:sz="0" w:space="0" w:color="auto"/>
            <w:right w:val="none" w:sz="0" w:space="0" w:color="auto"/>
          </w:divBdr>
        </w:div>
      </w:divsChild>
    </w:div>
    <w:div w:id="69697067">
      <w:bodyDiv w:val="1"/>
      <w:marLeft w:val="0"/>
      <w:marRight w:val="0"/>
      <w:marTop w:val="0"/>
      <w:marBottom w:val="0"/>
      <w:divBdr>
        <w:top w:val="none" w:sz="0" w:space="0" w:color="auto"/>
        <w:left w:val="none" w:sz="0" w:space="0" w:color="auto"/>
        <w:bottom w:val="none" w:sz="0" w:space="0" w:color="auto"/>
        <w:right w:val="none" w:sz="0" w:space="0" w:color="auto"/>
      </w:divBdr>
      <w:divsChild>
        <w:div w:id="688798701">
          <w:marLeft w:val="0"/>
          <w:marRight w:val="0"/>
          <w:marTop w:val="75"/>
          <w:marBottom w:val="75"/>
          <w:divBdr>
            <w:top w:val="none" w:sz="0" w:space="0" w:color="auto"/>
            <w:left w:val="none" w:sz="0" w:space="0" w:color="auto"/>
            <w:bottom w:val="none" w:sz="0" w:space="0" w:color="auto"/>
            <w:right w:val="none" w:sz="0" w:space="0" w:color="auto"/>
          </w:divBdr>
        </w:div>
        <w:div w:id="842623178">
          <w:marLeft w:val="0"/>
          <w:marRight w:val="0"/>
          <w:marTop w:val="75"/>
          <w:marBottom w:val="75"/>
          <w:divBdr>
            <w:top w:val="none" w:sz="0" w:space="0" w:color="auto"/>
            <w:left w:val="none" w:sz="0" w:space="0" w:color="auto"/>
            <w:bottom w:val="none" w:sz="0" w:space="0" w:color="auto"/>
            <w:right w:val="none" w:sz="0" w:space="0" w:color="auto"/>
          </w:divBdr>
        </w:div>
      </w:divsChild>
    </w:div>
    <w:div w:id="103119442">
      <w:bodyDiv w:val="1"/>
      <w:marLeft w:val="0"/>
      <w:marRight w:val="0"/>
      <w:marTop w:val="0"/>
      <w:marBottom w:val="0"/>
      <w:divBdr>
        <w:top w:val="none" w:sz="0" w:space="0" w:color="auto"/>
        <w:left w:val="none" w:sz="0" w:space="0" w:color="auto"/>
        <w:bottom w:val="none" w:sz="0" w:space="0" w:color="auto"/>
        <w:right w:val="none" w:sz="0" w:space="0" w:color="auto"/>
      </w:divBdr>
    </w:div>
    <w:div w:id="137504352">
      <w:bodyDiv w:val="1"/>
      <w:marLeft w:val="0"/>
      <w:marRight w:val="0"/>
      <w:marTop w:val="0"/>
      <w:marBottom w:val="0"/>
      <w:divBdr>
        <w:top w:val="none" w:sz="0" w:space="0" w:color="auto"/>
        <w:left w:val="none" w:sz="0" w:space="0" w:color="auto"/>
        <w:bottom w:val="none" w:sz="0" w:space="0" w:color="auto"/>
        <w:right w:val="none" w:sz="0" w:space="0" w:color="auto"/>
      </w:divBdr>
      <w:divsChild>
        <w:div w:id="69889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27913">
      <w:bodyDiv w:val="1"/>
      <w:marLeft w:val="0"/>
      <w:marRight w:val="0"/>
      <w:marTop w:val="0"/>
      <w:marBottom w:val="0"/>
      <w:divBdr>
        <w:top w:val="none" w:sz="0" w:space="0" w:color="auto"/>
        <w:left w:val="none" w:sz="0" w:space="0" w:color="auto"/>
        <w:bottom w:val="none" w:sz="0" w:space="0" w:color="auto"/>
        <w:right w:val="none" w:sz="0" w:space="0" w:color="auto"/>
      </w:divBdr>
      <w:divsChild>
        <w:div w:id="383023997">
          <w:marLeft w:val="0"/>
          <w:marRight w:val="0"/>
          <w:marTop w:val="0"/>
          <w:marBottom w:val="0"/>
          <w:divBdr>
            <w:top w:val="none" w:sz="0" w:space="0" w:color="auto"/>
            <w:left w:val="none" w:sz="0" w:space="0" w:color="auto"/>
            <w:bottom w:val="none" w:sz="0" w:space="0" w:color="auto"/>
            <w:right w:val="none" w:sz="0" w:space="0" w:color="auto"/>
          </w:divBdr>
          <w:divsChild>
            <w:div w:id="798425836">
              <w:marLeft w:val="0"/>
              <w:marRight w:val="0"/>
              <w:marTop w:val="0"/>
              <w:marBottom w:val="0"/>
              <w:divBdr>
                <w:top w:val="none" w:sz="0" w:space="0" w:color="auto"/>
                <w:left w:val="none" w:sz="0" w:space="0" w:color="auto"/>
                <w:bottom w:val="none" w:sz="0" w:space="0" w:color="auto"/>
                <w:right w:val="none" w:sz="0" w:space="0" w:color="auto"/>
              </w:divBdr>
              <w:divsChild>
                <w:div w:id="760836485">
                  <w:marLeft w:val="0"/>
                  <w:marRight w:val="0"/>
                  <w:marTop w:val="0"/>
                  <w:marBottom w:val="0"/>
                  <w:divBdr>
                    <w:top w:val="none" w:sz="0" w:space="0" w:color="auto"/>
                    <w:left w:val="none" w:sz="0" w:space="0" w:color="auto"/>
                    <w:bottom w:val="none" w:sz="0" w:space="0" w:color="auto"/>
                    <w:right w:val="none" w:sz="0" w:space="0" w:color="auto"/>
                  </w:divBdr>
                  <w:divsChild>
                    <w:div w:id="266886865">
                      <w:marLeft w:val="0"/>
                      <w:marRight w:val="0"/>
                      <w:marTop w:val="0"/>
                      <w:marBottom w:val="0"/>
                      <w:divBdr>
                        <w:top w:val="none" w:sz="0" w:space="0" w:color="auto"/>
                        <w:left w:val="none" w:sz="0" w:space="0" w:color="auto"/>
                        <w:bottom w:val="none" w:sz="0" w:space="0" w:color="auto"/>
                        <w:right w:val="none" w:sz="0" w:space="0" w:color="auto"/>
                      </w:divBdr>
                      <w:divsChild>
                        <w:div w:id="508183947">
                          <w:marLeft w:val="0"/>
                          <w:marRight w:val="0"/>
                          <w:marTop w:val="0"/>
                          <w:marBottom w:val="0"/>
                          <w:divBdr>
                            <w:top w:val="none" w:sz="0" w:space="0" w:color="auto"/>
                            <w:left w:val="none" w:sz="0" w:space="0" w:color="auto"/>
                            <w:bottom w:val="none" w:sz="0" w:space="0" w:color="auto"/>
                            <w:right w:val="none" w:sz="0" w:space="0" w:color="auto"/>
                          </w:divBdr>
                          <w:divsChild>
                            <w:div w:id="19355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95614">
      <w:bodyDiv w:val="1"/>
      <w:marLeft w:val="0"/>
      <w:marRight w:val="0"/>
      <w:marTop w:val="0"/>
      <w:marBottom w:val="0"/>
      <w:divBdr>
        <w:top w:val="none" w:sz="0" w:space="0" w:color="auto"/>
        <w:left w:val="none" w:sz="0" w:space="0" w:color="auto"/>
        <w:bottom w:val="none" w:sz="0" w:space="0" w:color="auto"/>
        <w:right w:val="none" w:sz="0" w:space="0" w:color="auto"/>
      </w:divBdr>
    </w:div>
    <w:div w:id="193544428">
      <w:bodyDiv w:val="1"/>
      <w:marLeft w:val="0"/>
      <w:marRight w:val="0"/>
      <w:marTop w:val="0"/>
      <w:marBottom w:val="0"/>
      <w:divBdr>
        <w:top w:val="none" w:sz="0" w:space="0" w:color="auto"/>
        <w:left w:val="none" w:sz="0" w:space="0" w:color="auto"/>
        <w:bottom w:val="none" w:sz="0" w:space="0" w:color="auto"/>
        <w:right w:val="none" w:sz="0" w:space="0" w:color="auto"/>
      </w:divBdr>
    </w:div>
    <w:div w:id="213850767">
      <w:bodyDiv w:val="1"/>
      <w:marLeft w:val="0"/>
      <w:marRight w:val="0"/>
      <w:marTop w:val="0"/>
      <w:marBottom w:val="0"/>
      <w:divBdr>
        <w:top w:val="none" w:sz="0" w:space="0" w:color="auto"/>
        <w:left w:val="none" w:sz="0" w:space="0" w:color="auto"/>
        <w:bottom w:val="none" w:sz="0" w:space="0" w:color="auto"/>
        <w:right w:val="none" w:sz="0" w:space="0" w:color="auto"/>
      </w:divBdr>
      <w:divsChild>
        <w:div w:id="51052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6766753">
      <w:bodyDiv w:val="1"/>
      <w:marLeft w:val="0"/>
      <w:marRight w:val="0"/>
      <w:marTop w:val="0"/>
      <w:marBottom w:val="0"/>
      <w:divBdr>
        <w:top w:val="none" w:sz="0" w:space="0" w:color="auto"/>
        <w:left w:val="none" w:sz="0" w:space="0" w:color="auto"/>
        <w:bottom w:val="none" w:sz="0" w:space="0" w:color="auto"/>
        <w:right w:val="none" w:sz="0" w:space="0" w:color="auto"/>
      </w:divBdr>
    </w:div>
    <w:div w:id="244729659">
      <w:bodyDiv w:val="1"/>
      <w:marLeft w:val="0"/>
      <w:marRight w:val="0"/>
      <w:marTop w:val="0"/>
      <w:marBottom w:val="0"/>
      <w:divBdr>
        <w:top w:val="none" w:sz="0" w:space="0" w:color="auto"/>
        <w:left w:val="none" w:sz="0" w:space="0" w:color="auto"/>
        <w:bottom w:val="none" w:sz="0" w:space="0" w:color="auto"/>
        <w:right w:val="none" w:sz="0" w:space="0" w:color="auto"/>
      </w:divBdr>
      <w:divsChild>
        <w:div w:id="352272325">
          <w:marLeft w:val="0"/>
          <w:marRight w:val="0"/>
          <w:marTop w:val="0"/>
          <w:marBottom w:val="0"/>
          <w:divBdr>
            <w:top w:val="none" w:sz="0" w:space="0" w:color="auto"/>
            <w:left w:val="none" w:sz="0" w:space="0" w:color="auto"/>
            <w:bottom w:val="none" w:sz="0" w:space="0" w:color="auto"/>
            <w:right w:val="none" w:sz="0" w:space="0" w:color="auto"/>
          </w:divBdr>
          <w:divsChild>
            <w:div w:id="947809385">
              <w:marLeft w:val="0"/>
              <w:marRight w:val="0"/>
              <w:marTop w:val="0"/>
              <w:marBottom w:val="0"/>
              <w:divBdr>
                <w:top w:val="none" w:sz="0" w:space="0" w:color="auto"/>
                <w:left w:val="none" w:sz="0" w:space="0" w:color="auto"/>
                <w:bottom w:val="none" w:sz="0" w:space="0" w:color="auto"/>
                <w:right w:val="none" w:sz="0" w:space="0" w:color="auto"/>
              </w:divBdr>
              <w:divsChild>
                <w:div w:id="138033564">
                  <w:marLeft w:val="0"/>
                  <w:marRight w:val="0"/>
                  <w:marTop w:val="0"/>
                  <w:marBottom w:val="0"/>
                  <w:divBdr>
                    <w:top w:val="none" w:sz="0" w:space="0" w:color="auto"/>
                    <w:left w:val="none" w:sz="0" w:space="0" w:color="auto"/>
                    <w:bottom w:val="none" w:sz="0" w:space="0" w:color="auto"/>
                    <w:right w:val="none" w:sz="0" w:space="0" w:color="auto"/>
                  </w:divBdr>
                  <w:divsChild>
                    <w:div w:id="1771968867">
                      <w:marLeft w:val="0"/>
                      <w:marRight w:val="0"/>
                      <w:marTop w:val="0"/>
                      <w:marBottom w:val="0"/>
                      <w:divBdr>
                        <w:top w:val="none" w:sz="0" w:space="0" w:color="auto"/>
                        <w:left w:val="none" w:sz="0" w:space="0" w:color="auto"/>
                        <w:bottom w:val="none" w:sz="0" w:space="0" w:color="auto"/>
                        <w:right w:val="none" w:sz="0" w:space="0" w:color="auto"/>
                      </w:divBdr>
                      <w:divsChild>
                        <w:div w:id="937634954">
                          <w:marLeft w:val="0"/>
                          <w:marRight w:val="0"/>
                          <w:marTop w:val="0"/>
                          <w:marBottom w:val="0"/>
                          <w:divBdr>
                            <w:top w:val="none" w:sz="0" w:space="0" w:color="auto"/>
                            <w:left w:val="none" w:sz="0" w:space="0" w:color="auto"/>
                            <w:bottom w:val="none" w:sz="0" w:space="0" w:color="auto"/>
                            <w:right w:val="none" w:sz="0" w:space="0" w:color="auto"/>
                          </w:divBdr>
                        </w:div>
                        <w:div w:id="1272124270">
                          <w:marLeft w:val="0"/>
                          <w:marRight w:val="0"/>
                          <w:marTop w:val="0"/>
                          <w:marBottom w:val="0"/>
                          <w:divBdr>
                            <w:top w:val="none" w:sz="0" w:space="0" w:color="auto"/>
                            <w:left w:val="none" w:sz="0" w:space="0" w:color="auto"/>
                            <w:bottom w:val="none" w:sz="0" w:space="0" w:color="auto"/>
                            <w:right w:val="none" w:sz="0" w:space="0" w:color="auto"/>
                          </w:divBdr>
                        </w:div>
                        <w:div w:id="18672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555261">
      <w:bodyDiv w:val="1"/>
      <w:marLeft w:val="396"/>
      <w:marRight w:val="396"/>
      <w:marTop w:val="396"/>
      <w:marBottom w:val="396"/>
      <w:divBdr>
        <w:top w:val="none" w:sz="0" w:space="0" w:color="auto"/>
        <w:left w:val="none" w:sz="0" w:space="0" w:color="auto"/>
        <w:bottom w:val="none" w:sz="0" w:space="0" w:color="auto"/>
        <w:right w:val="none" w:sz="0" w:space="0" w:color="auto"/>
      </w:divBdr>
    </w:div>
    <w:div w:id="352536268">
      <w:bodyDiv w:val="1"/>
      <w:marLeft w:val="0"/>
      <w:marRight w:val="0"/>
      <w:marTop w:val="0"/>
      <w:marBottom w:val="0"/>
      <w:divBdr>
        <w:top w:val="none" w:sz="0" w:space="0" w:color="auto"/>
        <w:left w:val="none" w:sz="0" w:space="0" w:color="auto"/>
        <w:bottom w:val="none" w:sz="0" w:space="0" w:color="auto"/>
        <w:right w:val="none" w:sz="0" w:space="0" w:color="auto"/>
      </w:divBdr>
    </w:div>
    <w:div w:id="365063300">
      <w:bodyDiv w:val="1"/>
      <w:marLeft w:val="0"/>
      <w:marRight w:val="0"/>
      <w:marTop w:val="0"/>
      <w:marBottom w:val="0"/>
      <w:divBdr>
        <w:top w:val="none" w:sz="0" w:space="0" w:color="auto"/>
        <w:left w:val="none" w:sz="0" w:space="0" w:color="auto"/>
        <w:bottom w:val="none" w:sz="0" w:space="0" w:color="auto"/>
        <w:right w:val="none" w:sz="0" w:space="0" w:color="auto"/>
      </w:divBdr>
    </w:div>
    <w:div w:id="425659103">
      <w:bodyDiv w:val="1"/>
      <w:marLeft w:val="0"/>
      <w:marRight w:val="0"/>
      <w:marTop w:val="0"/>
      <w:marBottom w:val="0"/>
      <w:divBdr>
        <w:top w:val="none" w:sz="0" w:space="0" w:color="auto"/>
        <w:left w:val="none" w:sz="0" w:space="0" w:color="auto"/>
        <w:bottom w:val="none" w:sz="0" w:space="0" w:color="auto"/>
        <w:right w:val="none" w:sz="0" w:space="0" w:color="auto"/>
      </w:divBdr>
      <w:divsChild>
        <w:div w:id="854420961">
          <w:marLeft w:val="0"/>
          <w:marRight w:val="0"/>
          <w:marTop w:val="150"/>
          <w:marBottom w:val="150"/>
          <w:divBdr>
            <w:top w:val="none" w:sz="0" w:space="0" w:color="auto"/>
            <w:left w:val="none" w:sz="0" w:space="0" w:color="auto"/>
            <w:bottom w:val="none" w:sz="0" w:space="0" w:color="auto"/>
            <w:right w:val="none" w:sz="0" w:space="0" w:color="auto"/>
          </w:divBdr>
        </w:div>
        <w:div w:id="1078019891">
          <w:marLeft w:val="0"/>
          <w:marRight w:val="0"/>
          <w:marTop w:val="150"/>
          <w:marBottom w:val="150"/>
          <w:divBdr>
            <w:top w:val="none" w:sz="0" w:space="0" w:color="auto"/>
            <w:left w:val="none" w:sz="0" w:space="0" w:color="auto"/>
            <w:bottom w:val="none" w:sz="0" w:space="0" w:color="auto"/>
            <w:right w:val="none" w:sz="0" w:space="0" w:color="auto"/>
          </w:divBdr>
        </w:div>
        <w:div w:id="1328090661">
          <w:marLeft w:val="0"/>
          <w:marRight w:val="0"/>
          <w:marTop w:val="150"/>
          <w:marBottom w:val="150"/>
          <w:divBdr>
            <w:top w:val="none" w:sz="0" w:space="0" w:color="auto"/>
            <w:left w:val="none" w:sz="0" w:space="0" w:color="auto"/>
            <w:bottom w:val="none" w:sz="0" w:space="0" w:color="auto"/>
            <w:right w:val="none" w:sz="0" w:space="0" w:color="auto"/>
          </w:divBdr>
        </w:div>
        <w:div w:id="1916233247">
          <w:marLeft w:val="0"/>
          <w:marRight w:val="0"/>
          <w:marTop w:val="150"/>
          <w:marBottom w:val="150"/>
          <w:divBdr>
            <w:top w:val="none" w:sz="0" w:space="0" w:color="auto"/>
            <w:left w:val="none" w:sz="0" w:space="0" w:color="auto"/>
            <w:bottom w:val="none" w:sz="0" w:space="0" w:color="auto"/>
            <w:right w:val="none" w:sz="0" w:space="0" w:color="auto"/>
          </w:divBdr>
        </w:div>
      </w:divsChild>
    </w:div>
    <w:div w:id="431558889">
      <w:bodyDiv w:val="1"/>
      <w:marLeft w:val="0"/>
      <w:marRight w:val="0"/>
      <w:marTop w:val="0"/>
      <w:marBottom w:val="0"/>
      <w:divBdr>
        <w:top w:val="none" w:sz="0" w:space="0" w:color="auto"/>
        <w:left w:val="none" w:sz="0" w:space="0" w:color="auto"/>
        <w:bottom w:val="none" w:sz="0" w:space="0" w:color="auto"/>
        <w:right w:val="none" w:sz="0" w:space="0" w:color="auto"/>
      </w:divBdr>
      <w:divsChild>
        <w:div w:id="1594582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37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94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0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496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145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2207511">
      <w:bodyDiv w:val="1"/>
      <w:marLeft w:val="0"/>
      <w:marRight w:val="0"/>
      <w:marTop w:val="0"/>
      <w:marBottom w:val="0"/>
      <w:divBdr>
        <w:top w:val="none" w:sz="0" w:space="0" w:color="auto"/>
        <w:left w:val="none" w:sz="0" w:space="0" w:color="auto"/>
        <w:bottom w:val="none" w:sz="0" w:space="0" w:color="auto"/>
        <w:right w:val="none" w:sz="0" w:space="0" w:color="auto"/>
      </w:divBdr>
      <w:divsChild>
        <w:div w:id="361974623">
          <w:marLeft w:val="0"/>
          <w:marRight w:val="0"/>
          <w:marTop w:val="150"/>
          <w:marBottom w:val="150"/>
          <w:divBdr>
            <w:top w:val="none" w:sz="0" w:space="0" w:color="auto"/>
            <w:left w:val="none" w:sz="0" w:space="0" w:color="auto"/>
            <w:bottom w:val="none" w:sz="0" w:space="0" w:color="auto"/>
            <w:right w:val="none" w:sz="0" w:space="0" w:color="auto"/>
          </w:divBdr>
        </w:div>
      </w:divsChild>
    </w:div>
    <w:div w:id="582573563">
      <w:bodyDiv w:val="1"/>
      <w:marLeft w:val="0"/>
      <w:marRight w:val="0"/>
      <w:marTop w:val="0"/>
      <w:marBottom w:val="0"/>
      <w:divBdr>
        <w:top w:val="none" w:sz="0" w:space="0" w:color="auto"/>
        <w:left w:val="none" w:sz="0" w:space="0" w:color="auto"/>
        <w:bottom w:val="none" w:sz="0" w:space="0" w:color="auto"/>
        <w:right w:val="none" w:sz="0" w:space="0" w:color="auto"/>
      </w:divBdr>
    </w:div>
    <w:div w:id="596250835">
      <w:bodyDiv w:val="1"/>
      <w:marLeft w:val="0"/>
      <w:marRight w:val="0"/>
      <w:marTop w:val="0"/>
      <w:marBottom w:val="0"/>
      <w:divBdr>
        <w:top w:val="none" w:sz="0" w:space="0" w:color="auto"/>
        <w:left w:val="none" w:sz="0" w:space="0" w:color="auto"/>
        <w:bottom w:val="none" w:sz="0" w:space="0" w:color="auto"/>
        <w:right w:val="none" w:sz="0" w:space="0" w:color="auto"/>
      </w:divBdr>
      <w:divsChild>
        <w:div w:id="494759544">
          <w:marLeft w:val="0"/>
          <w:marRight w:val="0"/>
          <w:marTop w:val="150"/>
          <w:marBottom w:val="150"/>
          <w:divBdr>
            <w:top w:val="none" w:sz="0" w:space="0" w:color="auto"/>
            <w:left w:val="none" w:sz="0" w:space="0" w:color="auto"/>
            <w:bottom w:val="none" w:sz="0" w:space="0" w:color="auto"/>
            <w:right w:val="none" w:sz="0" w:space="0" w:color="auto"/>
          </w:divBdr>
        </w:div>
      </w:divsChild>
    </w:div>
    <w:div w:id="601686585">
      <w:bodyDiv w:val="1"/>
      <w:marLeft w:val="0"/>
      <w:marRight w:val="0"/>
      <w:marTop w:val="0"/>
      <w:marBottom w:val="0"/>
      <w:divBdr>
        <w:top w:val="none" w:sz="0" w:space="0" w:color="auto"/>
        <w:left w:val="none" w:sz="0" w:space="0" w:color="auto"/>
        <w:bottom w:val="none" w:sz="0" w:space="0" w:color="auto"/>
        <w:right w:val="none" w:sz="0" w:space="0" w:color="auto"/>
      </w:divBdr>
      <w:divsChild>
        <w:div w:id="535581029">
          <w:marLeft w:val="0"/>
          <w:marRight w:val="0"/>
          <w:marTop w:val="0"/>
          <w:marBottom w:val="0"/>
          <w:divBdr>
            <w:top w:val="none" w:sz="0" w:space="0" w:color="auto"/>
            <w:left w:val="none" w:sz="0" w:space="0" w:color="auto"/>
            <w:bottom w:val="none" w:sz="0" w:space="0" w:color="auto"/>
            <w:right w:val="none" w:sz="0" w:space="0" w:color="auto"/>
          </w:divBdr>
          <w:divsChild>
            <w:div w:id="194002032">
              <w:marLeft w:val="0"/>
              <w:marRight w:val="0"/>
              <w:marTop w:val="0"/>
              <w:marBottom w:val="0"/>
              <w:divBdr>
                <w:top w:val="none" w:sz="0" w:space="0" w:color="auto"/>
                <w:left w:val="none" w:sz="0" w:space="0" w:color="auto"/>
                <w:bottom w:val="none" w:sz="0" w:space="0" w:color="auto"/>
                <w:right w:val="none" w:sz="0" w:space="0" w:color="auto"/>
              </w:divBdr>
              <w:divsChild>
                <w:div w:id="1592816141">
                  <w:marLeft w:val="0"/>
                  <w:marRight w:val="0"/>
                  <w:marTop w:val="0"/>
                  <w:marBottom w:val="0"/>
                  <w:divBdr>
                    <w:top w:val="none" w:sz="0" w:space="0" w:color="auto"/>
                    <w:left w:val="none" w:sz="0" w:space="0" w:color="auto"/>
                    <w:bottom w:val="none" w:sz="0" w:space="0" w:color="auto"/>
                    <w:right w:val="none" w:sz="0" w:space="0" w:color="auto"/>
                  </w:divBdr>
                  <w:divsChild>
                    <w:div w:id="1133135175">
                      <w:marLeft w:val="0"/>
                      <w:marRight w:val="0"/>
                      <w:marTop w:val="0"/>
                      <w:marBottom w:val="0"/>
                      <w:divBdr>
                        <w:top w:val="none" w:sz="0" w:space="0" w:color="auto"/>
                        <w:left w:val="none" w:sz="0" w:space="0" w:color="auto"/>
                        <w:bottom w:val="none" w:sz="0" w:space="0" w:color="auto"/>
                        <w:right w:val="none" w:sz="0" w:space="0" w:color="auto"/>
                      </w:divBdr>
                      <w:divsChild>
                        <w:div w:id="1014574952">
                          <w:marLeft w:val="0"/>
                          <w:marRight w:val="0"/>
                          <w:marTop w:val="0"/>
                          <w:marBottom w:val="0"/>
                          <w:divBdr>
                            <w:top w:val="none" w:sz="0" w:space="0" w:color="auto"/>
                            <w:left w:val="none" w:sz="0" w:space="0" w:color="auto"/>
                            <w:bottom w:val="none" w:sz="0" w:space="0" w:color="auto"/>
                            <w:right w:val="none" w:sz="0" w:space="0" w:color="auto"/>
                          </w:divBdr>
                          <w:divsChild>
                            <w:div w:id="17726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595083">
      <w:bodyDiv w:val="1"/>
      <w:marLeft w:val="0"/>
      <w:marRight w:val="0"/>
      <w:marTop w:val="0"/>
      <w:marBottom w:val="0"/>
      <w:divBdr>
        <w:top w:val="none" w:sz="0" w:space="0" w:color="auto"/>
        <w:left w:val="none" w:sz="0" w:space="0" w:color="auto"/>
        <w:bottom w:val="none" w:sz="0" w:space="0" w:color="auto"/>
        <w:right w:val="none" w:sz="0" w:space="0" w:color="auto"/>
      </w:divBdr>
    </w:div>
    <w:div w:id="635839221">
      <w:bodyDiv w:val="1"/>
      <w:marLeft w:val="0"/>
      <w:marRight w:val="0"/>
      <w:marTop w:val="0"/>
      <w:marBottom w:val="0"/>
      <w:divBdr>
        <w:top w:val="none" w:sz="0" w:space="0" w:color="auto"/>
        <w:left w:val="none" w:sz="0" w:space="0" w:color="auto"/>
        <w:bottom w:val="none" w:sz="0" w:space="0" w:color="auto"/>
        <w:right w:val="none" w:sz="0" w:space="0" w:color="auto"/>
      </w:divBdr>
      <w:divsChild>
        <w:div w:id="369381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681642">
      <w:bodyDiv w:val="1"/>
      <w:marLeft w:val="0"/>
      <w:marRight w:val="0"/>
      <w:marTop w:val="0"/>
      <w:marBottom w:val="0"/>
      <w:divBdr>
        <w:top w:val="none" w:sz="0" w:space="0" w:color="auto"/>
        <w:left w:val="none" w:sz="0" w:space="0" w:color="auto"/>
        <w:bottom w:val="none" w:sz="0" w:space="0" w:color="auto"/>
        <w:right w:val="none" w:sz="0" w:space="0" w:color="auto"/>
      </w:divBdr>
      <w:divsChild>
        <w:div w:id="1759867046">
          <w:marLeft w:val="0"/>
          <w:marRight w:val="0"/>
          <w:marTop w:val="75"/>
          <w:marBottom w:val="75"/>
          <w:divBdr>
            <w:top w:val="none" w:sz="0" w:space="0" w:color="auto"/>
            <w:left w:val="none" w:sz="0" w:space="0" w:color="auto"/>
            <w:bottom w:val="none" w:sz="0" w:space="0" w:color="auto"/>
            <w:right w:val="none" w:sz="0" w:space="0" w:color="auto"/>
          </w:divBdr>
        </w:div>
        <w:div w:id="1931113242">
          <w:marLeft w:val="0"/>
          <w:marRight w:val="0"/>
          <w:marTop w:val="75"/>
          <w:marBottom w:val="75"/>
          <w:divBdr>
            <w:top w:val="none" w:sz="0" w:space="0" w:color="auto"/>
            <w:left w:val="none" w:sz="0" w:space="0" w:color="auto"/>
            <w:bottom w:val="none" w:sz="0" w:space="0" w:color="auto"/>
            <w:right w:val="none" w:sz="0" w:space="0" w:color="auto"/>
          </w:divBdr>
        </w:div>
      </w:divsChild>
    </w:div>
    <w:div w:id="696005171">
      <w:bodyDiv w:val="1"/>
      <w:marLeft w:val="0"/>
      <w:marRight w:val="0"/>
      <w:marTop w:val="0"/>
      <w:marBottom w:val="0"/>
      <w:divBdr>
        <w:top w:val="none" w:sz="0" w:space="0" w:color="auto"/>
        <w:left w:val="none" w:sz="0" w:space="0" w:color="auto"/>
        <w:bottom w:val="none" w:sz="0" w:space="0" w:color="auto"/>
        <w:right w:val="none" w:sz="0" w:space="0" w:color="auto"/>
      </w:divBdr>
    </w:div>
    <w:div w:id="708645397">
      <w:bodyDiv w:val="1"/>
      <w:marLeft w:val="0"/>
      <w:marRight w:val="0"/>
      <w:marTop w:val="0"/>
      <w:marBottom w:val="0"/>
      <w:divBdr>
        <w:top w:val="none" w:sz="0" w:space="0" w:color="auto"/>
        <w:left w:val="none" w:sz="0" w:space="0" w:color="auto"/>
        <w:bottom w:val="none" w:sz="0" w:space="0" w:color="auto"/>
        <w:right w:val="none" w:sz="0" w:space="0" w:color="auto"/>
      </w:divBdr>
      <w:divsChild>
        <w:div w:id="208566506">
          <w:marLeft w:val="0"/>
          <w:marRight w:val="0"/>
          <w:marTop w:val="240"/>
          <w:marBottom w:val="240"/>
          <w:divBdr>
            <w:top w:val="none" w:sz="0" w:space="0" w:color="auto"/>
            <w:left w:val="none" w:sz="0" w:space="0" w:color="auto"/>
            <w:bottom w:val="none" w:sz="0" w:space="0" w:color="auto"/>
            <w:right w:val="none" w:sz="0" w:space="0" w:color="auto"/>
          </w:divBdr>
        </w:div>
        <w:div w:id="232130981">
          <w:marLeft w:val="0"/>
          <w:marRight w:val="0"/>
          <w:marTop w:val="240"/>
          <w:marBottom w:val="240"/>
          <w:divBdr>
            <w:top w:val="none" w:sz="0" w:space="0" w:color="auto"/>
            <w:left w:val="none" w:sz="0" w:space="0" w:color="auto"/>
            <w:bottom w:val="none" w:sz="0" w:space="0" w:color="auto"/>
            <w:right w:val="none" w:sz="0" w:space="0" w:color="auto"/>
          </w:divBdr>
        </w:div>
        <w:div w:id="396052911">
          <w:marLeft w:val="0"/>
          <w:marRight w:val="0"/>
          <w:marTop w:val="240"/>
          <w:marBottom w:val="240"/>
          <w:divBdr>
            <w:top w:val="none" w:sz="0" w:space="0" w:color="auto"/>
            <w:left w:val="none" w:sz="0" w:space="0" w:color="auto"/>
            <w:bottom w:val="none" w:sz="0" w:space="0" w:color="auto"/>
            <w:right w:val="none" w:sz="0" w:space="0" w:color="auto"/>
          </w:divBdr>
        </w:div>
        <w:div w:id="469788637">
          <w:marLeft w:val="0"/>
          <w:marRight w:val="0"/>
          <w:marTop w:val="240"/>
          <w:marBottom w:val="240"/>
          <w:divBdr>
            <w:top w:val="none" w:sz="0" w:space="0" w:color="auto"/>
            <w:left w:val="none" w:sz="0" w:space="0" w:color="auto"/>
            <w:bottom w:val="none" w:sz="0" w:space="0" w:color="auto"/>
            <w:right w:val="none" w:sz="0" w:space="0" w:color="auto"/>
          </w:divBdr>
        </w:div>
        <w:div w:id="716203768">
          <w:marLeft w:val="0"/>
          <w:marRight w:val="0"/>
          <w:marTop w:val="240"/>
          <w:marBottom w:val="240"/>
          <w:divBdr>
            <w:top w:val="none" w:sz="0" w:space="0" w:color="auto"/>
            <w:left w:val="none" w:sz="0" w:space="0" w:color="auto"/>
            <w:bottom w:val="none" w:sz="0" w:space="0" w:color="auto"/>
            <w:right w:val="none" w:sz="0" w:space="0" w:color="auto"/>
          </w:divBdr>
        </w:div>
        <w:div w:id="794637987">
          <w:marLeft w:val="0"/>
          <w:marRight w:val="0"/>
          <w:marTop w:val="240"/>
          <w:marBottom w:val="240"/>
          <w:divBdr>
            <w:top w:val="none" w:sz="0" w:space="0" w:color="auto"/>
            <w:left w:val="none" w:sz="0" w:space="0" w:color="auto"/>
            <w:bottom w:val="none" w:sz="0" w:space="0" w:color="auto"/>
            <w:right w:val="none" w:sz="0" w:space="0" w:color="auto"/>
          </w:divBdr>
        </w:div>
        <w:div w:id="804155325">
          <w:marLeft w:val="0"/>
          <w:marRight w:val="0"/>
          <w:marTop w:val="240"/>
          <w:marBottom w:val="240"/>
          <w:divBdr>
            <w:top w:val="none" w:sz="0" w:space="0" w:color="auto"/>
            <w:left w:val="none" w:sz="0" w:space="0" w:color="auto"/>
            <w:bottom w:val="none" w:sz="0" w:space="0" w:color="auto"/>
            <w:right w:val="none" w:sz="0" w:space="0" w:color="auto"/>
          </w:divBdr>
        </w:div>
        <w:div w:id="819073678">
          <w:marLeft w:val="0"/>
          <w:marRight w:val="0"/>
          <w:marTop w:val="240"/>
          <w:marBottom w:val="240"/>
          <w:divBdr>
            <w:top w:val="none" w:sz="0" w:space="0" w:color="auto"/>
            <w:left w:val="none" w:sz="0" w:space="0" w:color="auto"/>
            <w:bottom w:val="none" w:sz="0" w:space="0" w:color="auto"/>
            <w:right w:val="none" w:sz="0" w:space="0" w:color="auto"/>
          </w:divBdr>
        </w:div>
        <w:div w:id="1077092959">
          <w:marLeft w:val="0"/>
          <w:marRight w:val="0"/>
          <w:marTop w:val="240"/>
          <w:marBottom w:val="240"/>
          <w:divBdr>
            <w:top w:val="none" w:sz="0" w:space="0" w:color="auto"/>
            <w:left w:val="none" w:sz="0" w:space="0" w:color="auto"/>
            <w:bottom w:val="none" w:sz="0" w:space="0" w:color="auto"/>
            <w:right w:val="none" w:sz="0" w:space="0" w:color="auto"/>
          </w:divBdr>
        </w:div>
        <w:div w:id="1105734239">
          <w:marLeft w:val="0"/>
          <w:marRight w:val="0"/>
          <w:marTop w:val="240"/>
          <w:marBottom w:val="240"/>
          <w:divBdr>
            <w:top w:val="none" w:sz="0" w:space="0" w:color="auto"/>
            <w:left w:val="none" w:sz="0" w:space="0" w:color="auto"/>
            <w:bottom w:val="none" w:sz="0" w:space="0" w:color="auto"/>
            <w:right w:val="none" w:sz="0" w:space="0" w:color="auto"/>
          </w:divBdr>
        </w:div>
        <w:div w:id="1180121655">
          <w:marLeft w:val="0"/>
          <w:marRight w:val="0"/>
          <w:marTop w:val="240"/>
          <w:marBottom w:val="240"/>
          <w:divBdr>
            <w:top w:val="none" w:sz="0" w:space="0" w:color="auto"/>
            <w:left w:val="none" w:sz="0" w:space="0" w:color="auto"/>
            <w:bottom w:val="none" w:sz="0" w:space="0" w:color="auto"/>
            <w:right w:val="none" w:sz="0" w:space="0" w:color="auto"/>
          </w:divBdr>
        </w:div>
        <w:div w:id="1430155279">
          <w:marLeft w:val="0"/>
          <w:marRight w:val="0"/>
          <w:marTop w:val="240"/>
          <w:marBottom w:val="240"/>
          <w:divBdr>
            <w:top w:val="none" w:sz="0" w:space="0" w:color="auto"/>
            <w:left w:val="none" w:sz="0" w:space="0" w:color="auto"/>
            <w:bottom w:val="none" w:sz="0" w:space="0" w:color="auto"/>
            <w:right w:val="none" w:sz="0" w:space="0" w:color="auto"/>
          </w:divBdr>
        </w:div>
        <w:div w:id="1490293986">
          <w:marLeft w:val="0"/>
          <w:marRight w:val="0"/>
          <w:marTop w:val="240"/>
          <w:marBottom w:val="240"/>
          <w:divBdr>
            <w:top w:val="none" w:sz="0" w:space="0" w:color="auto"/>
            <w:left w:val="none" w:sz="0" w:space="0" w:color="auto"/>
            <w:bottom w:val="none" w:sz="0" w:space="0" w:color="auto"/>
            <w:right w:val="none" w:sz="0" w:space="0" w:color="auto"/>
          </w:divBdr>
        </w:div>
        <w:div w:id="1609311400">
          <w:marLeft w:val="0"/>
          <w:marRight w:val="0"/>
          <w:marTop w:val="240"/>
          <w:marBottom w:val="240"/>
          <w:divBdr>
            <w:top w:val="none" w:sz="0" w:space="0" w:color="auto"/>
            <w:left w:val="none" w:sz="0" w:space="0" w:color="auto"/>
            <w:bottom w:val="none" w:sz="0" w:space="0" w:color="auto"/>
            <w:right w:val="none" w:sz="0" w:space="0" w:color="auto"/>
          </w:divBdr>
        </w:div>
        <w:div w:id="1674915240">
          <w:marLeft w:val="0"/>
          <w:marRight w:val="0"/>
          <w:marTop w:val="240"/>
          <w:marBottom w:val="240"/>
          <w:divBdr>
            <w:top w:val="none" w:sz="0" w:space="0" w:color="auto"/>
            <w:left w:val="none" w:sz="0" w:space="0" w:color="auto"/>
            <w:bottom w:val="none" w:sz="0" w:space="0" w:color="auto"/>
            <w:right w:val="none" w:sz="0" w:space="0" w:color="auto"/>
          </w:divBdr>
        </w:div>
        <w:div w:id="1700933303">
          <w:marLeft w:val="0"/>
          <w:marRight w:val="0"/>
          <w:marTop w:val="240"/>
          <w:marBottom w:val="240"/>
          <w:divBdr>
            <w:top w:val="none" w:sz="0" w:space="0" w:color="auto"/>
            <w:left w:val="none" w:sz="0" w:space="0" w:color="auto"/>
            <w:bottom w:val="none" w:sz="0" w:space="0" w:color="auto"/>
            <w:right w:val="none" w:sz="0" w:space="0" w:color="auto"/>
          </w:divBdr>
        </w:div>
        <w:div w:id="1781103458">
          <w:marLeft w:val="0"/>
          <w:marRight w:val="0"/>
          <w:marTop w:val="240"/>
          <w:marBottom w:val="240"/>
          <w:divBdr>
            <w:top w:val="none" w:sz="0" w:space="0" w:color="auto"/>
            <w:left w:val="none" w:sz="0" w:space="0" w:color="auto"/>
            <w:bottom w:val="none" w:sz="0" w:space="0" w:color="auto"/>
            <w:right w:val="none" w:sz="0" w:space="0" w:color="auto"/>
          </w:divBdr>
        </w:div>
      </w:divsChild>
    </w:div>
    <w:div w:id="716903331">
      <w:bodyDiv w:val="1"/>
      <w:marLeft w:val="0"/>
      <w:marRight w:val="0"/>
      <w:marTop w:val="0"/>
      <w:marBottom w:val="0"/>
      <w:divBdr>
        <w:top w:val="none" w:sz="0" w:space="0" w:color="auto"/>
        <w:left w:val="none" w:sz="0" w:space="0" w:color="auto"/>
        <w:bottom w:val="none" w:sz="0" w:space="0" w:color="auto"/>
        <w:right w:val="none" w:sz="0" w:space="0" w:color="auto"/>
      </w:divBdr>
    </w:div>
    <w:div w:id="725224636">
      <w:bodyDiv w:val="1"/>
      <w:marLeft w:val="0"/>
      <w:marRight w:val="0"/>
      <w:marTop w:val="0"/>
      <w:marBottom w:val="0"/>
      <w:divBdr>
        <w:top w:val="none" w:sz="0" w:space="0" w:color="auto"/>
        <w:left w:val="none" w:sz="0" w:space="0" w:color="auto"/>
        <w:bottom w:val="none" w:sz="0" w:space="0" w:color="auto"/>
        <w:right w:val="none" w:sz="0" w:space="0" w:color="auto"/>
      </w:divBdr>
      <w:divsChild>
        <w:div w:id="402915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956323">
      <w:bodyDiv w:val="1"/>
      <w:marLeft w:val="0"/>
      <w:marRight w:val="0"/>
      <w:marTop w:val="0"/>
      <w:marBottom w:val="0"/>
      <w:divBdr>
        <w:top w:val="none" w:sz="0" w:space="0" w:color="auto"/>
        <w:left w:val="none" w:sz="0" w:space="0" w:color="auto"/>
        <w:bottom w:val="none" w:sz="0" w:space="0" w:color="auto"/>
        <w:right w:val="none" w:sz="0" w:space="0" w:color="auto"/>
      </w:divBdr>
      <w:divsChild>
        <w:div w:id="447311377">
          <w:marLeft w:val="0"/>
          <w:marRight w:val="0"/>
          <w:marTop w:val="0"/>
          <w:marBottom w:val="0"/>
          <w:divBdr>
            <w:top w:val="none" w:sz="0" w:space="0" w:color="auto"/>
            <w:left w:val="none" w:sz="0" w:space="0" w:color="auto"/>
            <w:bottom w:val="none" w:sz="0" w:space="0" w:color="auto"/>
            <w:right w:val="none" w:sz="0" w:space="0" w:color="auto"/>
          </w:divBdr>
          <w:divsChild>
            <w:div w:id="1884444579">
              <w:marLeft w:val="0"/>
              <w:marRight w:val="0"/>
              <w:marTop w:val="0"/>
              <w:marBottom w:val="0"/>
              <w:divBdr>
                <w:top w:val="none" w:sz="0" w:space="0" w:color="auto"/>
                <w:left w:val="none" w:sz="0" w:space="0" w:color="auto"/>
                <w:bottom w:val="none" w:sz="0" w:space="0" w:color="auto"/>
                <w:right w:val="none" w:sz="0" w:space="0" w:color="auto"/>
              </w:divBdr>
              <w:divsChild>
                <w:div w:id="1467896317">
                  <w:marLeft w:val="0"/>
                  <w:marRight w:val="0"/>
                  <w:marTop w:val="0"/>
                  <w:marBottom w:val="0"/>
                  <w:divBdr>
                    <w:top w:val="none" w:sz="0" w:space="0" w:color="auto"/>
                    <w:left w:val="none" w:sz="0" w:space="0" w:color="auto"/>
                    <w:bottom w:val="none" w:sz="0" w:space="0" w:color="auto"/>
                    <w:right w:val="none" w:sz="0" w:space="0" w:color="auto"/>
                  </w:divBdr>
                  <w:divsChild>
                    <w:div w:id="1696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09181">
      <w:bodyDiv w:val="1"/>
      <w:marLeft w:val="0"/>
      <w:marRight w:val="0"/>
      <w:marTop w:val="0"/>
      <w:marBottom w:val="0"/>
      <w:divBdr>
        <w:top w:val="none" w:sz="0" w:space="0" w:color="auto"/>
        <w:left w:val="none" w:sz="0" w:space="0" w:color="auto"/>
        <w:bottom w:val="none" w:sz="0" w:space="0" w:color="auto"/>
        <w:right w:val="none" w:sz="0" w:space="0" w:color="auto"/>
      </w:divBdr>
      <w:divsChild>
        <w:div w:id="793602447">
          <w:marLeft w:val="0"/>
          <w:marRight w:val="0"/>
          <w:marTop w:val="0"/>
          <w:marBottom w:val="0"/>
          <w:divBdr>
            <w:top w:val="none" w:sz="0" w:space="0" w:color="auto"/>
            <w:left w:val="none" w:sz="0" w:space="0" w:color="auto"/>
            <w:bottom w:val="none" w:sz="0" w:space="0" w:color="auto"/>
            <w:right w:val="none" w:sz="0" w:space="0" w:color="auto"/>
          </w:divBdr>
          <w:divsChild>
            <w:div w:id="1523275323">
              <w:marLeft w:val="0"/>
              <w:marRight w:val="0"/>
              <w:marTop w:val="0"/>
              <w:marBottom w:val="0"/>
              <w:divBdr>
                <w:top w:val="none" w:sz="0" w:space="0" w:color="auto"/>
                <w:left w:val="none" w:sz="0" w:space="0" w:color="auto"/>
                <w:bottom w:val="none" w:sz="0" w:space="0" w:color="auto"/>
                <w:right w:val="none" w:sz="0" w:space="0" w:color="auto"/>
              </w:divBdr>
              <w:divsChild>
                <w:div w:id="1455908944">
                  <w:marLeft w:val="0"/>
                  <w:marRight w:val="0"/>
                  <w:marTop w:val="0"/>
                  <w:marBottom w:val="0"/>
                  <w:divBdr>
                    <w:top w:val="none" w:sz="0" w:space="0" w:color="auto"/>
                    <w:left w:val="none" w:sz="0" w:space="0" w:color="auto"/>
                    <w:bottom w:val="none" w:sz="0" w:space="0" w:color="auto"/>
                    <w:right w:val="none" w:sz="0" w:space="0" w:color="auto"/>
                  </w:divBdr>
                  <w:divsChild>
                    <w:div w:id="307442720">
                      <w:marLeft w:val="0"/>
                      <w:marRight w:val="0"/>
                      <w:marTop w:val="0"/>
                      <w:marBottom w:val="0"/>
                      <w:divBdr>
                        <w:top w:val="none" w:sz="0" w:space="0" w:color="auto"/>
                        <w:left w:val="none" w:sz="0" w:space="0" w:color="auto"/>
                        <w:bottom w:val="none" w:sz="0" w:space="0" w:color="auto"/>
                        <w:right w:val="none" w:sz="0" w:space="0" w:color="auto"/>
                      </w:divBdr>
                      <w:divsChild>
                        <w:div w:id="118768996">
                          <w:marLeft w:val="0"/>
                          <w:marRight w:val="0"/>
                          <w:marTop w:val="0"/>
                          <w:marBottom w:val="0"/>
                          <w:divBdr>
                            <w:top w:val="none" w:sz="0" w:space="0" w:color="auto"/>
                            <w:left w:val="none" w:sz="0" w:space="0" w:color="auto"/>
                            <w:bottom w:val="none" w:sz="0" w:space="0" w:color="auto"/>
                            <w:right w:val="none" w:sz="0" w:space="0" w:color="auto"/>
                          </w:divBdr>
                          <w:divsChild>
                            <w:div w:id="1656642323">
                              <w:marLeft w:val="0"/>
                              <w:marRight w:val="0"/>
                              <w:marTop w:val="0"/>
                              <w:marBottom w:val="0"/>
                              <w:divBdr>
                                <w:top w:val="none" w:sz="0" w:space="0" w:color="auto"/>
                                <w:left w:val="none" w:sz="0" w:space="0" w:color="auto"/>
                                <w:bottom w:val="none" w:sz="0" w:space="0" w:color="auto"/>
                                <w:right w:val="none" w:sz="0" w:space="0" w:color="auto"/>
                              </w:divBdr>
                              <w:divsChild>
                                <w:div w:id="1274093866">
                                  <w:marLeft w:val="0"/>
                                  <w:marRight w:val="0"/>
                                  <w:marTop w:val="0"/>
                                  <w:marBottom w:val="0"/>
                                  <w:divBdr>
                                    <w:top w:val="none" w:sz="0" w:space="0" w:color="auto"/>
                                    <w:left w:val="none" w:sz="0" w:space="0" w:color="auto"/>
                                    <w:bottom w:val="none" w:sz="0" w:space="0" w:color="auto"/>
                                    <w:right w:val="none" w:sz="0" w:space="0" w:color="auto"/>
                                  </w:divBdr>
                                  <w:divsChild>
                                    <w:div w:id="82843411">
                                      <w:marLeft w:val="0"/>
                                      <w:marRight w:val="0"/>
                                      <w:marTop w:val="0"/>
                                      <w:marBottom w:val="0"/>
                                      <w:divBdr>
                                        <w:top w:val="none" w:sz="0" w:space="0" w:color="auto"/>
                                        <w:left w:val="none" w:sz="0" w:space="0" w:color="auto"/>
                                        <w:bottom w:val="none" w:sz="0" w:space="0" w:color="auto"/>
                                        <w:right w:val="none" w:sz="0" w:space="0" w:color="auto"/>
                                      </w:divBdr>
                                      <w:divsChild>
                                        <w:div w:id="1551845268">
                                          <w:marLeft w:val="0"/>
                                          <w:marRight w:val="0"/>
                                          <w:marTop w:val="0"/>
                                          <w:marBottom w:val="0"/>
                                          <w:divBdr>
                                            <w:top w:val="none" w:sz="0" w:space="0" w:color="auto"/>
                                            <w:left w:val="none" w:sz="0" w:space="0" w:color="auto"/>
                                            <w:bottom w:val="none" w:sz="0" w:space="0" w:color="auto"/>
                                            <w:right w:val="none" w:sz="0" w:space="0" w:color="auto"/>
                                          </w:divBdr>
                                          <w:divsChild>
                                            <w:div w:id="656811293">
                                              <w:marLeft w:val="0"/>
                                              <w:marRight w:val="0"/>
                                              <w:marTop w:val="0"/>
                                              <w:marBottom w:val="0"/>
                                              <w:divBdr>
                                                <w:top w:val="none" w:sz="0" w:space="0" w:color="auto"/>
                                                <w:left w:val="none" w:sz="0" w:space="0" w:color="auto"/>
                                                <w:bottom w:val="none" w:sz="0" w:space="0" w:color="auto"/>
                                                <w:right w:val="none" w:sz="0" w:space="0" w:color="auto"/>
                                              </w:divBdr>
                                              <w:divsChild>
                                                <w:div w:id="608585227">
                                                  <w:marLeft w:val="0"/>
                                                  <w:marRight w:val="0"/>
                                                  <w:marTop w:val="0"/>
                                                  <w:marBottom w:val="0"/>
                                                  <w:divBdr>
                                                    <w:top w:val="none" w:sz="0" w:space="0" w:color="auto"/>
                                                    <w:left w:val="none" w:sz="0" w:space="0" w:color="auto"/>
                                                    <w:bottom w:val="none" w:sz="0" w:space="0" w:color="auto"/>
                                                    <w:right w:val="none" w:sz="0" w:space="0" w:color="auto"/>
                                                  </w:divBdr>
                                                  <w:divsChild>
                                                    <w:div w:id="1410542802">
                                                      <w:marLeft w:val="0"/>
                                                      <w:marRight w:val="0"/>
                                                      <w:marTop w:val="0"/>
                                                      <w:marBottom w:val="0"/>
                                                      <w:divBdr>
                                                        <w:top w:val="none" w:sz="0" w:space="0" w:color="auto"/>
                                                        <w:left w:val="none" w:sz="0" w:space="0" w:color="auto"/>
                                                        <w:bottom w:val="none" w:sz="0" w:space="0" w:color="auto"/>
                                                        <w:right w:val="none" w:sz="0" w:space="0" w:color="auto"/>
                                                      </w:divBdr>
                                                      <w:divsChild>
                                                        <w:div w:id="1735396739">
                                                          <w:marLeft w:val="480"/>
                                                          <w:marRight w:val="0"/>
                                                          <w:marTop w:val="24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603190">
      <w:bodyDiv w:val="1"/>
      <w:marLeft w:val="0"/>
      <w:marRight w:val="0"/>
      <w:marTop w:val="0"/>
      <w:marBottom w:val="0"/>
      <w:divBdr>
        <w:top w:val="none" w:sz="0" w:space="0" w:color="auto"/>
        <w:left w:val="none" w:sz="0" w:space="0" w:color="auto"/>
        <w:bottom w:val="none" w:sz="0" w:space="0" w:color="auto"/>
        <w:right w:val="none" w:sz="0" w:space="0" w:color="auto"/>
      </w:divBdr>
      <w:divsChild>
        <w:div w:id="907544166">
          <w:marLeft w:val="0"/>
          <w:marRight w:val="0"/>
          <w:marTop w:val="75"/>
          <w:marBottom w:val="75"/>
          <w:divBdr>
            <w:top w:val="none" w:sz="0" w:space="0" w:color="auto"/>
            <w:left w:val="none" w:sz="0" w:space="0" w:color="auto"/>
            <w:bottom w:val="none" w:sz="0" w:space="0" w:color="auto"/>
            <w:right w:val="none" w:sz="0" w:space="0" w:color="auto"/>
          </w:divBdr>
        </w:div>
      </w:divsChild>
    </w:div>
    <w:div w:id="829948174">
      <w:bodyDiv w:val="1"/>
      <w:marLeft w:val="0"/>
      <w:marRight w:val="0"/>
      <w:marTop w:val="0"/>
      <w:marBottom w:val="0"/>
      <w:divBdr>
        <w:top w:val="none" w:sz="0" w:space="0" w:color="auto"/>
        <w:left w:val="none" w:sz="0" w:space="0" w:color="auto"/>
        <w:bottom w:val="none" w:sz="0" w:space="0" w:color="auto"/>
        <w:right w:val="none" w:sz="0" w:space="0" w:color="auto"/>
      </w:divBdr>
    </w:div>
    <w:div w:id="830370031">
      <w:bodyDiv w:val="1"/>
      <w:marLeft w:val="0"/>
      <w:marRight w:val="0"/>
      <w:marTop w:val="0"/>
      <w:marBottom w:val="0"/>
      <w:divBdr>
        <w:top w:val="none" w:sz="0" w:space="0" w:color="auto"/>
        <w:left w:val="none" w:sz="0" w:space="0" w:color="auto"/>
        <w:bottom w:val="none" w:sz="0" w:space="0" w:color="auto"/>
        <w:right w:val="none" w:sz="0" w:space="0" w:color="auto"/>
      </w:divBdr>
      <w:divsChild>
        <w:div w:id="9629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961158">
      <w:bodyDiv w:val="1"/>
      <w:marLeft w:val="0"/>
      <w:marRight w:val="0"/>
      <w:marTop w:val="0"/>
      <w:marBottom w:val="0"/>
      <w:divBdr>
        <w:top w:val="none" w:sz="0" w:space="0" w:color="auto"/>
        <w:left w:val="none" w:sz="0" w:space="0" w:color="auto"/>
        <w:bottom w:val="none" w:sz="0" w:space="0" w:color="auto"/>
        <w:right w:val="none" w:sz="0" w:space="0" w:color="auto"/>
      </w:divBdr>
      <w:divsChild>
        <w:div w:id="1888487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336252">
      <w:bodyDiv w:val="1"/>
      <w:marLeft w:val="0"/>
      <w:marRight w:val="0"/>
      <w:marTop w:val="0"/>
      <w:marBottom w:val="0"/>
      <w:divBdr>
        <w:top w:val="none" w:sz="0" w:space="0" w:color="auto"/>
        <w:left w:val="none" w:sz="0" w:space="0" w:color="auto"/>
        <w:bottom w:val="none" w:sz="0" w:space="0" w:color="auto"/>
        <w:right w:val="none" w:sz="0" w:space="0" w:color="auto"/>
      </w:divBdr>
    </w:div>
    <w:div w:id="967272581">
      <w:bodyDiv w:val="1"/>
      <w:marLeft w:val="0"/>
      <w:marRight w:val="0"/>
      <w:marTop w:val="0"/>
      <w:marBottom w:val="0"/>
      <w:divBdr>
        <w:top w:val="none" w:sz="0" w:space="0" w:color="auto"/>
        <w:left w:val="none" w:sz="0" w:space="0" w:color="auto"/>
        <w:bottom w:val="none" w:sz="0" w:space="0" w:color="auto"/>
        <w:right w:val="none" w:sz="0" w:space="0" w:color="auto"/>
      </w:divBdr>
      <w:divsChild>
        <w:div w:id="1170368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273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6640403">
      <w:bodyDiv w:val="1"/>
      <w:marLeft w:val="0"/>
      <w:marRight w:val="0"/>
      <w:marTop w:val="0"/>
      <w:marBottom w:val="0"/>
      <w:divBdr>
        <w:top w:val="none" w:sz="0" w:space="0" w:color="auto"/>
        <w:left w:val="none" w:sz="0" w:space="0" w:color="auto"/>
        <w:bottom w:val="none" w:sz="0" w:space="0" w:color="auto"/>
        <w:right w:val="none" w:sz="0" w:space="0" w:color="auto"/>
      </w:divBdr>
      <w:divsChild>
        <w:div w:id="1288075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0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3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867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1641902">
      <w:bodyDiv w:val="1"/>
      <w:marLeft w:val="0"/>
      <w:marRight w:val="0"/>
      <w:marTop w:val="0"/>
      <w:marBottom w:val="0"/>
      <w:divBdr>
        <w:top w:val="none" w:sz="0" w:space="0" w:color="auto"/>
        <w:left w:val="none" w:sz="0" w:space="0" w:color="auto"/>
        <w:bottom w:val="none" w:sz="0" w:space="0" w:color="auto"/>
        <w:right w:val="none" w:sz="0" w:space="0" w:color="auto"/>
      </w:divBdr>
      <w:divsChild>
        <w:div w:id="166025280">
          <w:marLeft w:val="0"/>
          <w:marRight w:val="0"/>
          <w:marTop w:val="75"/>
          <w:marBottom w:val="75"/>
          <w:divBdr>
            <w:top w:val="none" w:sz="0" w:space="0" w:color="auto"/>
            <w:left w:val="none" w:sz="0" w:space="0" w:color="auto"/>
            <w:bottom w:val="none" w:sz="0" w:space="0" w:color="auto"/>
            <w:right w:val="none" w:sz="0" w:space="0" w:color="auto"/>
          </w:divBdr>
        </w:div>
        <w:div w:id="756705962">
          <w:marLeft w:val="0"/>
          <w:marRight w:val="0"/>
          <w:marTop w:val="75"/>
          <w:marBottom w:val="75"/>
          <w:divBdr>
            <w:top w:val="none" w:sz="0" w:space="0" w:color="auto"/>
            <w:left w:val="none" w:sz="0" w:space="0" w:color="auto"/>
            <w:bottom w:val="none" w:sz="0" w:space="0" w:color="auto"/>
            <w:right w:val="none" w:sz="0" w:space="0" w:color="auto"/>
          </w:divBdr>
        </w:div>
        <w:div w:id="818157598">
          <w:marLeft w:val="0"/>
          <w:marRight w:val="0"/>
          <w:marTop w:val="75"/>
          <w:marBottom w:val="75"/>
          <w:divBdr>
            <w:top w:val="none" w:sz="0" w:space="0" w:color="auto"/>
            <w:left w:val="none" w:sz="0" w:space="0" w:color="auto"/>
            <w:bottom w:val="none" w:sz="0" w:space="0" w:color="auto"/>
            <w:right w:val="none" w:sz="0" w:space="0" w:color="auto"/>
          </w:divBdr>
        </w:div>
      </w:divsChild>
    </w:div>
    <w:div w:id="1034816588">
      <w:bodyDiv w:val="1"/>
      <w:marLeft w:val="0"/>
      <w:marRight w:val="0"/>
      <w:marTop w:val="0"/>
      <w:marBottom w:val="0"/>
      <w:divBdr>
        <w:top w:val="none" w:sz="0" w:space="0" w:color="auto"/>
        <w:left w:val="none" w:sz="0" w:space="0" w:color="auto"/>
        <w:bottom w:val="none" w:sz="0" w:space="0" w:color="auto"/>
        <w:right w:val="none" w:sz="0" w:space="0" w:color="auto"/>
      </w:divBdr>
      <w:divsChild>
        <w:div w:id="465246575">
          <w:marLeft w:val="0"/>
          <w:marRight w:val="0"/>
          <w:marTop w:val="0"/>
          <w:marBottom w:val="0"/>
          <w:divBdr>
            <w:top w:val="none" w:sz="0" w:space="0" w:color="auto"/>
            <w:left w:val="none" w:sz="0" w:space="0" w:color="auto"/>
            <w:bottom w:val="none" w:sz="0" w:space="0" w:color="auto"/>
            <w:right w:val="none" w:sz="0" w:space="0" w:color="auto"/>
          </w:divBdr>
          <w:divsChild>
            <w:div w:id="1204709617">
              <w:marLeft w:val="0"/>
              <w:marRight w:val="0"/>
              <w:marTop w:val="0"/>
              <w:marBottom w:val="0"/>
              <w:divBdr>
                <w:top w:val="none" w:sz="0" w:space="0" w:color="auto"/>
                <w:left w:val="none" w:sz="0" w:space="0" w:color="auto"/>
                <w:bottom w:val="none" w:sz="0" w:space="0" w:color="auto"/>
                <w:right w:val="none" w:sz="0" w:space="0" w:color="auto"/>
              </w:divBdr>
              <w:divsChild>
                <w:div w:id="127363692">
                  <w:marLeft w:val="0"/>
                  <w:marRight w:val="0"/>
                  <w:marTop w:val="0"/>
                  <w:marBottom w:val="0"/>
                  <w:divBdr>
                    <w:top w:val="none" w:sz="0" w:space="0" w:color="auto"/>
                    <w:left w:val="none" w:sz="0" w:space="0" w:color="auto"/>
                    <w:bottom w:val="none" w:sz="0" w:space="0" w:color="auto"/>
                    <w:right w:val="none" w:sz="0" w:space="0" w:color="auto"/>
                  </w:divBdr>
                  <w:divsChild>
                    <w:div w:id="1254320639">
                      <w:marLeft w:val="0"/>
                      <w:marRight w:val="0"/>
                      <w:marTop w:val="0"/>
                      <w:marBottom w:val="0"/>
                      <w:divBdr>
                        <w:top w:val="none" w:sz="0" w:space="0" w:color="auto"/>
                        <w:left w:val="none" w:sz="0" w:space="0" w:color="auto"/>
                        <w:bottom w:val="none" w:sz="0" w:space="0" w:color="auto"/>
                        <w:right w:val="none" w:sz="0" w:space="0" w:color="auto"/>
                      </w:divBdr>
                      <w:divsChild>
                        <w:div w:id="903495066">
                          <w:marLeft w:val="0"/>
                          <w:marRight w:val="0"/>
                          <w:marTop w:val="0"/>
                          <w:marBottom w:val="0"/>
                          <w:divBdr>
                            <w:top w:val="none" w:sz="0" w:space="0" w:color="auto"/>
                            <w:left w:val="none" w:sz="0" w:space="0" w:color="auto"/>
                            <w:bottom w:val="none" w:sz="0" w:space="0" w:color="auto"/>
                            <w:right w:val="none" w:sz="0" w:space="0" w:color="auto"/>
                          </w:divBdr>
                          <w:divsChild>
                            <w:div w:id="867379257">
                              <w:marLeft w:val="0"/>
                              <w:marRight w:val="0"/>
                              <w:marTop w:val="0"/>
                              <w:marBottom w:val="0"/>
                              <w:divBdr>
                                <w:top w:val="none" w:sz="0" w:space="0" w:color="auto"/>
                                <w:left w:val="none" w:sz="0" w:space="0" w:color="auto"/>
                                <w:bottom w:val="none" w:sz="0" w:space="0" w:color="auto"/>
                                <w:right w:val="none" w:sz="0" w:space="0" w:color="auto"/>
                              </w:divBdr>
                              <w:divsChild>
                                <w:div w:id="1095130153">
                                  <w:marLeft w:val="0"/>
                                  <w:marRight w:val="0"/>
                                  <w:marTop w:val="0"/>
                                  <w:marBottom w:val="0"/>
                                  <w:divBdr>
                                    <w:top w:val="none" w:sz="0" w:space="0" w:color="auto"/>
                                    <w:left w:val="none" w:sz="0" w:space="0" w:color="auto"/>
                                    <w:bottom w:val="none" w:sz="0" w:space="0" w:color="auto"/>
                                    <w:right w:val="none" w:sz="0" w:space="0" w:color="auto"/>
                                  </w:divBdr>
                                  <w:divsChild>
                                    <w:div w:id="792674800">
                                      <w:marLeft w:val="0"/>
                                      <w:marRight w:val="0"/>
                                      <w:marTop w:val="0"/>
                                      <w:marBottom w:val="0"/>
                                      <w:divBdr>
                                        <w:top w:val="none" w:sz="0" w:space="0" w:color="auto"/>
                                        <w:left w:val="none" w:sz="0" w:space="0" w:color="auto"/>
                                        <w:bottom w:val="none" w:sz="0" w:space="0" w:color="auto"/>
                                        <w:right w:val="none" w:sz="0" w:space="0" w:color="auto"/>
                                      </w:divBdr>
                                    </w:div>
                                    <w:div w:id="1305282156">
                                      <w:marLeft w:val="0"/>
                                      <w:marRight w:val="0"/>
                                      <w:marTop w:val="0"/>
                                      <w:marBottom w:val="0"/>
                                      <w:divBdr>
                                        <w:top w:val="none" w:sz="0" w:space="0" w:color="auto"/>
                                        <w:left w:val="none" w:sz="0" w:space="0" w:color="auto"/>
                                        <w:bottom w:val="none" w:sz="0" w:space="0" w:color="auto"/>
                                        <w:right w:val="none" w:sz="0" w:space="0" w:color="auto"/>
                                      </w:divBdr>
                                    </w:div>
                                    <w:div w:id="1890992444">
                                      <w:marLeft w:val="0"/>
                                      <w:marRight w:val="0"/>
                                      <w:marTop w:val="0"/>
                                      <w:marBottom w:val="0"/>
                                      <w:divBdr>
                                        <w:top w:val="none" w:sz="0" w:space="0" w:color="auto"/>
                                        <w:left w:val="none" w:sz="0" w:space="0" w:color="auto"/>
                                        <w:bottom w:val="none" w:sz="0" w:space="0" w:color="auto"/>
                                        <w:right w:val="none" w:sz="0" w:space="0" w:color="auto"/>
                                      </w:divBdr>
                                      <w:divsChild>
                                        <w:div w:id="19554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824492">
      <w:bodyDiv w:val="1"/>
      <w:marLeft w:val="0"/>
      <w:marRight w:val="0"/>
      <w:marTop w:val="0"/>
      <w:marBottom w:val="0"/>
      <w:divBdr>
        <w:top w:val="none" w:sz="0" w:space="0" w:color="auto"/>
        <w:left w:val="none" w:sz="0" w:space="0" w:color="auto"/>
        <w:bottom w:val="none" w:sz="0" w:space="0" w:color="auto"/>
        <w:right w:val="none" w:sz="0" w:space="0" w:color="auto"/>
      </w:divBdr>
    </w:div>
    <w:div w:id="1066882707">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sChild>
        <w:div w:id="432018071">
          <w:marLeft w:val="0"/>
          <w:marRight w:val="0"/>
          <w:marTop w:val="75"/>
          <w:marBottom w:val="75"/>
          <w:divBdr>
            <w:top w:val="none" w:sz="0" w:space="0" w:color="auto"/>
            <w:left w:val="none" w:sz="0" w:space="0" w:color="auto"/>
            <w:bottom w:val="none" w:sz="0" w:space="0" w:color="auto"/>
            <w:right w:val="none" w:sz="0" w:space="0" w:color="auto"/>
          </w:divBdr>
        </w:div>
        <w:div w:id="1594120289">
          <w:marLeft w:val="0"/>
          <w:marRight w:val="0"/>
          <w:marTop w:val="75"/>
          <w:marBottom w:val="75"/>
          <w:divBdr>
            <w:top w:val="none" w:sz="0" w:space="0" w:color="auto"/>
            <w:left w:val="none" w:sz="0" w:space="0" w:color="auto"/>
            <w:bottom w:val="none" w:sz="0" w:space="0" w:color="auto"/>
            <w:right w:val="none" w:sz="0" w:space="0" w:color="auto"/>
          </w:divBdr>
        </w:div>
      </w:divsChild>
    </w:div>
    <w:div w:id="1079520374">
      <w:bodyDiv w:val="1"/>
      <w:marLeft w:val="0"/>
      <w:marRight w:val="0"/>
      <w:marTop w:val="0"/>
      <w:marBottom w:val="0"/>
      <w:divBdr>
        <w:top w:val="none" w:sz="0" w:space="0" w:color="auto"/>
        <w:left w:val="none" w:sz="0" w:space="0" w:color="auto"/>
        <w:bottom w:val="none" w:sz="0" w:space="0" w:color="auto"/>
        <w:right w:val="none" w:sz="0" w:space="0" w:color="auto"/>
      </w:divBdr>
    </w:div>
    <w:div w:id="1166164494">
      <w:bodyDiv w:val="1"/>
      <w:marLeft w:val="0"/>
      <w:marRight w:val="0"/>
      <w:marTop w:val="0"/>
      <w:marBottom w:val="0"/>
      <w:divBdr>
        <w:top w:val="none" w:sz="0" w:space="0" w:color="auto"/>
        <w:left w:val="none" w:sz="0" w:space="0" w:color="auto"/>
        <w:bottom w:val="none" w:sz="0" w:space="0" w:color="auto"/>
        <w:right w:val="none" w:sz="0" w:space="0" w:color="auto"/>
      </w:divBdr>
    </w:div>
    <w:div w:id="1230766416">
      <w:bodyDiv w:val="1"/>
      <w:marLeft w:val="0"/>
      <w:marRight w:val="0"/>
      <w:marTop w:val="0"/>
      <w:marBottom w:val="0"/>
      <w:divBdr>
        <w:top w:val="none" w:sz="0" w:space="0" w:color="auto"/>
        <w:left w:val="none" w:sz="0" w:space="0" w:color="auto"/>
        <w:bottom w:val="none" w:sz="0" w:space="0" w:color="auto"/>
        <w:right w:val="none" w:sz="0" w:space="0" w:color="auto"/>
      </w:divBdr>
      <w:divsChild>
        <w:div w:id="1748186257">
          <w:marLeft w:val="0"/>
          <w:marRight w:val="0"/>
          <w:marTop w:val="0"/>
          <w:marBottom w:val="0"/>
          <w:divBdr>
            <w:top w:val="none" w:sz="0" w:space="0" w:color="auto"/>
            <w:left w:val="none" w:sz="0" w:space="0" w:color="auto"/>
            <w:bottom w:val="none" w:sz="0" w:space="0" w:color="auto"/>
            <w:right w:val="none" w:sz="0" w:space="0" w:color="auto"/>
          </w:divBdr>
          <w:divsChild>
            <w:div w:id="806580852">
              <w:marLeft w:val="0"/>
              <w:marRight w:val="0"/>
              <w:marTop w:val="0"/>
              <w:marBottom w:val="0"/>
              <w:divBdr>
                <w:top w:val="none" w:sz="0" w:space="0" w:color="auto"/>
                <w:left w:val="none" w:sz="0" w:space="0" w:color="auto"/>
                <w:bottom w:val="none" w:sz="0" w:space="0" w:color="auto"/>
                <w:right w:val="none" w:sz="0" w:space="0" w:color="auto"/>
              </w:divBdr>
              <w:divsChild>
                <w:div w:id="1502815209">
                  <w:marLeft w:val="0"/>
                  <w:marRight w:val="0"/>
                  <w:marTop w:val="0"/>
                  <w:marBottom w:val="0"/>
                  <w:divBdr>
                    <w:top w:val="none" w:sz="0" w:space="0" w:color="auto"/>
                    <w:left w:val="none" w:sz="0" w:space="0" w:color="auto"/>
                    <w:bottom w:val="none" w:sz="0" w:space="0" w:color="auto"/>
                    <w:right w:val="none" w:sz="0" w:space="0" w:color="auto"/>
                  </w:divBdr>
                  <w:divsChild>
                    <w:div w:id="1037970771">
                      <w:marLeft w:val="0"/>
                      <w:marRight w:val="0"/>
                      <w:marTop w:val="0"/>
                      <w:marBottom w:val="0"/>
                      <w:divBdr>
                        <w:top w:val="none" w:sz="0" w:space="0" w:color="auto"/>
                        <w:left w:val="none" w:sz="0" w:space="0" w:color="auto"/>
                        <w:bottom w:val="none" w:sz="0" w:space="0" w:color="auto"/>
                        <w:right w:val="none" w:sz="0" w:space="0" w:color="auto"/>
                      </w:divBdr>
                      <w:divsChild>
                        <w:div w:id="7832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334377">
      <w:bodyDiv w:val="1"/>
      <w:marLeft w:val="396"/>
      <w:marRight w:val="396"/>
      <w:marTop w:val="396"/>
      <w:marBottom w:val="396"/>
      <w:divBdr>
        <w:top w:val="none" w:sz="0" w:space="0" w:color="auto"/>
        <w:left w:val="none" w:sz="0" w:space="0" w:color="auto"/>
        <w:bottom w:val="none" w:sz="0" w:space="0" w:color="auto"/>
        <w:right w:val="none" w:sz="0" w:space="0" w:color="auto"/>
      </w:divBdr>
    </w:div>
    <w:div w:id="1249466366">
      <w:bodyDiv w:val="1"/>
      <w:marLeft w:val="0"/>
      <w:marRight w:val="0"/>
      <w:marTop w:val="0"/>
      <w:marBottom w:val="0"/>
      <w:divBdr>
        <w:top w:val="none" w:sz="0" w:space="0" w:color="auto"/>
        <w:left w:val="none" w:sz="0" w:space="0" w:color="auto"/>
        <w:bottom w:val="none" w:sz="0" w:space="0" w:color="auto"/>
        <w:right w:val="none" w:sz="0" w:space="0" w:color="auto"/>
      </w:divBdr>
      <w:divsChild>
        <w:div w:id="92630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839687">
      <w:bodyDiv w:val="1"/>
      <w:marLeft w:val="0"/>
      <w:marRight w:val="0"/>
      <w:marTop w:val="0"/>
      <w:marBottom w:val="0"/>
      <w:divBdr>
        <w:top w:val="none" w:sz="0" w:space="0" w:color="auto"/>
        <w:left w:val="none" w:sz="0" w:space="0" w:color="auto"/>
        <w:bottom w:val="none" w:sz="0" w:space="0" w:color="auto"/>
        <w:right w:val="none" w:sz="0" w:space="0" w:color="auto"/>
      </w:divBdr>
      <w:divsChild>
        <w:div w:id="1686323043">
          <w:marLeft w:val="0"/>
          <w:marRight w:val="0"/>
          <w:marTop w:val="150"/>
          <w:marBottom w:val="150"/>
          <w:divBdr>
            <w:top w:val="none" w:sz="0" w:space="0" w:color="auto"/>
            <w:left w:val="none" w:sz="0" w:space="0" w:color="auto"/>
            <w:bottom w:val="none" w:sz="0" w:space="0" w:color="auto"/>
            <w:right w:val="none" w:sz="0" w:space="0" w:color="auto"/>
          </w:divBdr>
        </w:div>
      </w:divsChild>
    </w:div>
    <w:div w:id="1313875991">
      <w:bodyDiv w:val="1"/>
      <w:marLeft w:val="0"/>
      <w:marRight w:val="0"/>
      <w:marTop w:val="0"/>
      <w:marBottom w:val="0"/>
      <w:divBdr>
        <w:top w:val="none" w:sz="0" w:space="0" w:color="auto"/>
        <w:left w:val="none" w:sz="0" w:space="0" w:color="auto"/>
        <w:bottom w:val="none" w:sz="0" w:space="0" w:color="auto"/>
        <w:right w:val="none" w:sz="0" w:space="0" w:color="auto"/>
      </w:divBdr>
      <w:divsChild>
        <w:div w:id="393161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121608">
      <w:bodyDiv w:val="1"/>
      <w:marLeft w:val="0"/>
      <w:marRight w:val="0"/>
      <w:marTop w:val="0"/>
      <w:marBottom w:val="0"/>
      <w:divBdr>
        <w:top w:val="none" w:sz="0" w:space="0" w:color="auto"/>
        <w:left w:val="none" w:sz="0" w:space="0" w:color="auto"/>
        <w:bottom w:val="none" w:sz="0" w:space="0" w:color="auto"/>
        <w:right w:val="none" w:sz="0" w:space="0" w:color="auto"/>
      </w:divBdr>
      <w:divsChild>
        <w:div w:id="1420713279">
          <w:marLeft w:val="0"/>
          <w:marRight w:val="0"/>
          <w:marTop w:val="0"/>
          <w:marBottom w:val="0"/>
          <w:divBdr>
            <w:top w:val="none" w:sz="0" w:space="0" w:color="auto"/>
            <w:left w:val="none" w:sz="0" w:space="0" w:color="auto"/>
            <w:bottom w:val="none" w:sz="0" w:space="0" w:color="auto"/>
            <w:right w:val="none" w:sz="0" w:space="0" w:color="auto"/>
          </w:divBdr>
          <w:divsChild>
            <w:div w:id="2103599560">
              <w:marLeft w:val="0"/>
              <w:marRight w:val="0"/>
              <w:marTop w:val="0"/>
              <w:marBottom w:val="0"/>
              <w:divBdr>
                <w:top w:val="none" w:sz="0" w:space="0" w:color="auto"/>
                <w:left w:val="none" w:sz="0" w:space="0" w:color="auto"/>
                <w:bottom w:val="none" w:sz="0" w:space="0" w:color="auto"/>
                <w:right w:val="none" w:sz="0" w:space="0" w:color="auto"/>
              </w:divBdr>
              <w:divsChild>
                <w:div w:id="917176783">
                  <w:marLeft w:val="0"/>
                  <w:marRight w:val="0"/>
                  <w:marTop w:val="0"/>
                  <w:marBottom w:val="0"/>
                  <w:divBdr>
                    <w:top w:val="none" w:sz="0" w:space="0" w:color="auto"/>
                    <w:left w:val="none" w:sz="0" w:space="0" w:color="auto"/>
                    <w:bottom w:val="none" w:sz="0" w:space="0" w:color="auto"/>
                    <w:right w:val="none" w:sz="0" w:space="0" w:color="auto"/>
                  </w:divBdr>
                  <w:divsChild>
                    <w:div w:id="2037926505">
                      <w:marLeft w:val="0"/>
                      <w:marRight w:val="0"/>
                      <w:marTop w:val="0"/>
                      <w:marBottom w:val="0"/>
                      <w:divBdr>
                        <w:top w:val="none" w:sz="0" w:space="0" w:color="auto"/>
                        <w:left w:val="none" w:sz="0" w:space="0" w:color="auto"/>
                        <w:bottom w:val="none" w:sz="0" w:space="0" w:color="auto"/>
                        <w:right w:val="none" w:sz="0" w:space="0" w:color="auto"/>
                      </w:divBdr>
                      <w:divsChild>
                        <w:div w:id="5764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00862">
      <w:bodyDiv w:val="1"/>
      <w:marLeft w:val="0"/>
      <w:marRight w:val="0"/>
      <w:marTop w:val="0"/>
      <w:marBottom w:val="0"/>
      <w:divBdr>
        <w:top w:val="none" w:sz="0" w:space="0" w:color="auto"/>
        <w:left w:val="none" w:sz="0" w:space="0" w:color="auto"/>
        <w:bottom w:val="none" w:sz="0" w:space="0" w:color="auto"/>
        <w:right w:val="none" w:sz="0" w:space="0" w:color="auto"/>
      </w:divBdr>
    </w:div>
    <w:div w:id="1349406957">
      <w:bodyDiv w:val="1"/>
      <w:marLeft w:val="0"/>
      <w:marRight w:val="0"/>
      <w:marTop w:val="0"/>
      <w:marBottom w:val="0"/>
      <w:divBdr>
        <w:top w:val="none" w:sz="0" w:space="0" w:color="auto"/>
        <w:left w:val="none" w:sz="0" w:space="0" w:color="auto"/>
        <w:bottom w:val="none" w:sz="0" w:space="0" w:color="auto"/>
        <w:right w:val="none" w:sz="0" w:space="0" w:color="auto"/>
      </w:divBdr>
      <w:divsChild>
        <w:div w:id="199402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920597">
      <w:bodyDiv w:val="1"/>
      <w:marLeft w:val="0"/>
      <w:marRight w:val="0"/>
      <w:marTop w:val="0"/>
      <w:marBottom w:val="0"/>
      <w:divBdr>
        <w:top w:val="none" w:sz="0" w:space="0" w:color="auto"/>
        <w:left w:val="none" w:sz="0" w:space="0" w:color="auto"/>
        <w:bottom w:val="none" w:sz="0" w:space="0" w:color="auto"/>
        <w:right w:val="none" w:sz="0" w:space="0" w:color="auto"/>
      </w:divBdr>
      <w:divsChild>
        <w:div w:id="523791677">
          <w:marLeft w:val="0"/>
          <w:marRight w:val="0"/>
          <w:marTop w:val="0"/>
          <w:marBottom w:val="0"/>
          <w:divBdr>
            <w:top w:val="none" w:sz="0" w:space="0" w:color="auto"/>
            <w:left w:val="none" w:sz="0" w:space="0" w:color="auto"/>
            <w:bottom w:val="none" w:sz="0" w:space="0" w:color="auto"/>
            <w:right w:val="none" w:sz="0" w:space="0" w:color="auto"/>
          </w:divBdr>
          <w:divsChild>
            <w:div w:id="1689791205">
              <w:marLeft w:val="0"/>
              <w:marRight w:val="0"/>
              <w:marTop w:val="0"/>
              <w:marBottom w:val="0"/>
              <w:divBdr>
                <w:top w:val="none" w:sz="0" w:space="0" w:color="auto"/>
                <w:left w:val="none" w:sz="0" w:space="0" w:color="auto"/>
                <w:bottom w:val="none" w:sz="0" w:space="0" w:color="auto"/>
                <w:right w:val="none" w:sz="0" w:space="0" w:color="auto"/>
              </w:divBdr>
              <w:divsChild>
                <w:div w:id="1798836097">
                  <w:marLeft w:val="0"/>
                  <w:marRight w:val="0"/>
                  <w:marTop w:val="0"/>
                  <w:marBottom w:val="0"/>
                  <w:divBdr>
                    <w:top w:val="none" w:sz="0" w:space="0" w:color="auto"/>
                    <w:left w:val="none" w:sz="0" w:space="0" w:color="auto"/>
                    <w:bottom w:val="none" w:sz="0" w:space="0" w:color="auto"/>
                    <w:right w:val="none" w:sz="0" w:space="0" w:color="auto"/>
                  </w:divBdr>
                  <w:divsChild>
                    <w:div w:id="14383976">
                      <w:marLeft w:val="0"/>
                      <w:marRight w:val="0"/>
                      <w:marTop w:val="0"/>
                      <w:marBottom w:val="0"/>
                      <w:divBdr>
                        <w:top w:val="none" w:sz="0" w:space="0" w:color="auto"/>
                        <w:left w:val="none" w:sz="0" w:space="0" w:color="auto"/>
                        <w:bottom w:val="none" w:sz="0" w:space="0" w:color="auto"/>
                        <w:right w:val="none" w:sz="0" w:space="0" w:color="auto"/>
                      </w:divBdr>
                      <w:divsChild>
                        <w:div w:id="806706636">
                          <w:marLeft w:val="0"/>
                          <w:marRight w:val="0"/>
                          <w:marTop w:val="0"/>
                          <w:marBottom w:val="0"/>
                          <w:divBdr>
                            <w:top w:val="none" w:sz="0" w:space="0" w:color="auto"/>
                            <w:left w:val="none" w:sz="0" w:space="0" w:color="auto"/>
                            <w:bottom w:val="none" w:sz="0" w:space="0" w:color="auto"/>
                            <w:right w:val="none" w:sz="0" w:space="0" w:color="auto"/>
                          </w:divBdr>
                          <w:divsChild>
                            <w:div w:id="3408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919412">
      <w:bodyDiv w:val="1"/>
      <w:marLeft w:val="0"/>
      <w:marRight w:val="0"/>
      <w:marTop w:val="0"/>
      <w:marBottom w:val="0"/>
      <w:divBdr>
        <w:top w:val="none" w:sz="0" w:space="0" w:color="auto"/>
        <w:left w:val="none" w:sz="0" w:space="0" w:color="auto"/>
        <w:bottom w:val="none" w:sz="0" w:space="0" w:color="auto"/>
        <w:right w:val="none" w:sz="0" w:space="0" w:color="auto"/>
      </w:divBdr>
      <w:divsChild>
        <w:div w:id="1028332975">
          <w:marLeft w:val="0"/>
          <w:marRight w:val="0"/>
          <w:marTop w:val="0"/>
          <w:marBottom w:val="0"/>
          <w:divBdr>
            <w:top w:val="none" w:sz="0" w:space="0" w:color="auto"/>
            <w:left w:val="none" w:sz="0" w:space="0" w:color="auto"/>
            <w:bottom w:val="none" w:sz="0" w:space="0" w:color="auto"/>
            <w:right w:val="none" w:sz="0" w:space="0" w:color="auto"/>
          </w:divBdr>
          <w:divsChild>
            <w:div w:id="742333100">
              <w:marLeft w:val="0"/>
              <w:marRight w:val="0"/>
              <w:marTop w:val="0"/>
              <w:marBottom w:val="0"/>
              <w:divBdr>
                <w:top w:val="none" w:sz="0" w:space="0" w:color="auto"/>
                <w:left w:val="none" w:sz="0" w:space="0" w:color="auto"/>
                <w:bottom w:val="none" w:sz="0" w:space="0" w:color="auto"/>
                <w:right w:val="none" w:sz="0" w:space="0" w:color="auto"/>
              </w:divBdr>
              <w:divsChild>
                <w:div w:id="815295787">
                  <w:marLeft w:val="0"/>
                  <w:marRight w:val="0"/>
                  <w:marTop w:val="0"/>
                  <w:marBottom w:val="0"/>
                  <w:divBdr>
                    <w:top w:val="none" w:sz="0" w:space="0" w:color="auto"/>
                    <w:left w:val="none" w:sz="0" w:space="0" w:color="auto"/>
                    <w:bottom w:val="none" w:sz="0" w:space="0" w:color="auto"/>
                    <w:right w:val="none" w:sz="0" w:space="0" w:color="auto"/>
                  </w:divBdr>
                  <w:divsChild>
                    <w:div w:id="1943486606">
                      <w:marLeft w:val="0"/>
                      <w:marRight w:val="0"/>
                      <w:marTop w:val="0"/>
                      <w:marBottom w:val="0"/>
                      <w:divBdr>
                        <w:top w:val="none" w:sz="0" w:space="0" w:color="auto"/>
                        <w:left w:val="none" w:sz="0" w:space="0" w:color="auto"/>
                        <w:bottom w:val="none" w:sz="0" w:space="0" w:color="auto"/>
                        <w:right w:val="none" w:sz="0" w:space="0" w:color="auto"/>
                      </w:divBdr>
                      <w:divsChild>
                        <w:div w:id="580065061">
                          <w:marLeft w:val="0"/>
                          <w:marRight w:val="0"/>
                          <w:marTop w:val="0"/>
                          <w:marBottom w:val="0"/>
                          <w:divBdr>
                            <w:top w:val="none" w:sz="0" w:space="0" w:color="auto"/>
                            <w:left w:val="none" w:sz="0" w:space="0" w:color="auto"/>
                            <w:bottom w:val="none" w:sz="0" w:space="0" w:color="auto"/>
                            <w:right w:val="none" w:sz="0" w:space="0" w:color="auto"/>
                          </w:divBdr>
                          <w:divsChild>
                            <w:div w:id="1134064018">
                              <w:marLeft w:val="0"/>
                              <w:marRight w:val="0"/>
                              <w:marTop w:val="0"/>
                              <w:marBottom w:val="0"/>
                              <w:divBdr>
                                <w:top w:val="none" w:sz="0" w:space="0" w:color="auto"/>
                                <w:left w:val="none" w:sz="0" w:space="0" w:color="auto"/>
                                <w:bottom w:val="none" w:sz="0" w:space="0" w:color="auto"/>
                                <w:right w:val="none" w:sz="0" w:space="0" w:color="auto"/>
                              </w:divBdr>
                              <w:divsChild>
                                <w:div w:id="1374504633">
                                  <w:marLeft w:val="0"/>
                                  <w:marRight w:val="0"/>
                                  <w:marTop w:val="0"/>
                                  <w:marBottom w:val="0"/>
                                  <w:divBdr>
                                    <w:top w:val="none" w:sz="0" w:space="0" w:color="auto"/>
                                    <w:left w:val="none" w:sz="0" w:space="0" w:color="auto"/>
                                    <w:bottom w:val="none" w:sz="0" w:space="0" w:color="auto"/>
                                    <w:right w:val="none" w:sz="0" w:space="0" w:color="auto"/>
                                  </w:divBdr>
                                </w:div>
                                <w:div w:id="19372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262933">
      <w:bodyDiv w:val="1"/>
      <w:marLeft w:val="0"/>
      <w:marRight w:val="0"/>
      <w:marTop w:val="0"/>
      <w:marBottom w:val="0"/>
      <w:divBdr>
        <w:top w:val="none" w:sz="0" w:space="0" w:color="auto"/>
        <w:left w:val="none" w:sz="0" w:space="0" w:color="auto"/>
        <w:bottom w:val="none" w:sz="0" w:space="0" w:color="auto"/>
        <w:right w:val="none" w:sz="0" w:space="0" w:color="auto"/>
      </w:divBdr>
      <w:divsChild>
        <w:div w:id="2045278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05803">
      <w:bodyDiv w:val="1"/>
      <w:marLeft w:val="0"/>
      <w:marRight w:val="0"/>
      <w:marTop w:val="0"/>
      <w:marBottom w:val="0"/>
      <w:divBdr>
        <w:top w:val="none" w:sz="0" w:space="0" w:color="auto"/>
        <w:left w:val="none" w:sz="0" w:space="0" w:color="auto"/>
        <w:bottom w:val="none" w:sz="0" w:space="0" w:color="auto"/>
        <w:right w:val="none" w:sz="0" w:space="0" w:color="auto"/>
      </w:divBdr>
    </w:div>
    <w:div w:id="1574660129">
      <w:bodyDiv w:val="1"/>
      <w:marLeft w:val="0"/>
      <w:marRight w:val="0"/>
      <w:marTop w:val="0"/>
      <w:marBottom w:val="0"/>
      <w:divBdr>
        <w:top w:val="none" w:sz="0" w:space="0" w:color="auto"/>
        <w:left w:val="none" w:sz="0" w:space="0" w:color="auto"/>
        <w:bottom w:val="none" w:sz="0" w:space="0" w:color="auto"/>
        <w:right w:val="none" w:sz="0" w:space="0" w:color="auto"/>
      </w:divBdr>
    </w:div>
    <w:div w:id="1607812455">
      <w:bodyDiv w:val="1"/>
      <w:marLeft w:val="0"/>
      <w:marRight w:val="0"/>
      <w:marTop w:val="0"/>
      <w:marBottom w:val="0"/>
      <w:divBdr>
        <w:top w:val="none" w:sz="0" w:space="0" w:color="auto"/>
        <w:left w:val="none" w:sz="0" w:space="0" w:color="auto"/>
        <w:bottom w:val="none" w:sz="0" w:space="0" w:color="auto"/>
        <w:right w:val="none" w:sz="0" w:space="0" w:color="auto"/>
      </w:divBdr>
      <w:divsChild>
        <w:div w:id="2069760744">
          <w:marLeft w:val="0"/>
          <w:marRight w:val="0"/>
          <w:marTop w:val="0"/>
          <w:marBottom w:val="0"/>
          <w:divBdr>
            <w:top w:val="none" w:sz="0" w:space="0" w:color="auto"/>
            <w:left w:val="none" w:sz="0" w:space="0" w:color="auto"/>
            <w:bottom w:val="none" w:sz="0" w:space="0" w:color="auto"/>
            <w:right w:val="none" w:sz="0" w:space="0" w:color="auto"/>
          </w:divBdr>
          <w:divsChild>
            <w:div w:id="1368027040">
              <w:marLeft w:val="0"/>
              <w:marRight w:val="0"/>
              <w:marTop w:val="0"/>
              <w:marBottom w:val="0"/>
              <w:divBdr>
                <w:top w:val="none" w:sz="0" w:space="0" w:color="auto"/>
                <w:left w:val="none" w:sz="0" w:space="0" w:color="auto"/>
                <w:bottom w:val="none" w:sz="0" w:space="0" w:color="auto"/>
                <w:right w:val="none" w:sz="0" w:space="0" w:color="auto"/>
              </w:divBdr>
              <w:divsChild>
                <w:div w:id="1858347439">
                  <w:marLeft w:val="0"/>
                  <w:marRight w:val="0"/>
                  <w:marTop w:val="0"/>
                  <w:marBottom w:val="0"/>
                  <w:divBdr>
                    <w:top w:val="none" w:sz="0" w:space="0" w:color="auto"/>
                    <w:left w:val="none" w:sz="0" w:space="0" w:color="auto"/>
                    <w:bottom w:val="none" w:sz="0" w:space="0" w:color="auto"/>
                    <w:right w:val="none" w:sz="0" w:space="0" w:color="auto"/>
                  </w:divBdr>
                  <w:divsChild>
                    <w:div w:id="1906990746">
                      <w:marLeft w:val="0"/>
                      <w:marRight w:val="0"/>
                      <w:marTop w:val="0"/>
                      <w:marBottom w:val="0"/>
                      <w:divBdr>
                        <w:top w:val="none" w:sz="0" w:space="0" w:color="auto"/>
                        <w:left w:val="none" w:sz="0" w:space="0" w:color="auto"/>
                        <w:bottom w:val="none" w:sz="0" w:space="0" w:color="auto"/>
                        <w:right w:val="none" w:sz="0" w:space="0" w:color="auto"/>
                      </w:divBdr>
                      <w:divsChild>
                        <w:div w:id="62144833">
                          <w:marLeft w:val="0"/>
                          <w:marRight w:val="0"/>
                          <w:marTop w:val="0"/>
                          <w:marBottom w:val="0"/>
                          <w:divBdr>
                            <w:top w:val="none" w:sz="0" w:space="0" w:color="auto"/>
                            <w:left w:val="none" w:sz="0" w:space="0" w:color="auto"/>
                            <w:bottom w:val="none" w:sz="0" w:space="0" w:color="auto"/>
                            <w:right w:val="none" w:sz="0" w:space="0" w:color="auto"/>
                          </w:divBdr>
                          <w:divsChild>
                            <w:div w:id="397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6012">
      <w:bodyDiv w:val="1"/>
      <w:marLeft w:val="0"/>
      <w:marRight w:val="0"/>
      <w:marTop w:val="0"/>
      <w:marBottom w:val="0"/>
      <w:divBdr>
        <w:top w:val="none" w:sz="0" w:space="0" w:color="auto"/>
        <w:left w:val="none" w:sz="0" w:space="0" w:color="auto"/>
        <w:bottom w:val="none" w:sz="0" w:space="0" w:color="auto"/>
        <w:right w:val="none" w:sz="0" w:space="0" w:color="auto"/>
      </w:divBdr>
      <w:divsChild>
        <w:div w:id="1194463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45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771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81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8898106">
      <w:bodyDiv w:val="1"/>
      <w:marLeft w:val="0"/>
      <w:marRight w:val="0"/>
      <w:marTop w:val="0"/>
      <w:marBottom w:val="0"/>
      <w:divBdr>
        <w:top w:val="none" w:sz="0" w:space="0" w:color="auto"/>
        <w:left w:val="none" w:sz="0" w:space="0" w:color="auto"/>
        <w:bottom w:val="none" w:sz="0" w:space="0" w:color="auto"/>
        <w:right w:val="none" w:sz="0" w:space="0" w:color="auto"/>
      </w:divBdr>
      <w:divsChild>
        <w:div w:id="2019233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502879">
      <w:bodyDiv w:val="1"/>
      <w:marLeft w:val="0"/>
      <w:marRight w:val="0"/>
      <w:marTop w:val="0"/>
      <w:marBottom w:val="0"/>
      <w:divBdr>
        <w:top w:val="none" w:sz="0" w:space="0" w:color="auto"/>
        <w:left w:val="none" w:sz="0" w:space="0" w:color="auto"/>
        <w:bottom w:val="none" w:sz="0" w:space="0" w:color="auto"/>
        <w:right w:val="none" w:sz="0" w:space="0" w:color="auto"/>
      </w:divBdr>
    </w:div>
    <w:div w:id="1687292282">
      <w:bodyDiv w:val="1"/>
      <w:marLeft w:val="0"/>
      <w:marRight w:val="0"/>
      <w:marTop w:val="0"/>
      <w:marBottom w:val="0"/>
      <w:divBdr>
        <w:top w:val="none" w:sz="0" w:space="0" w:color="auto"/>
        <w:left w:val="none" w:sz="0" w:space="0" w:color="auto"/>
        <w:bottom w:val="none" w:sz="0" w:space="0" w:color="auto"/>
        <w:right w:val="none" w:sz="0" w:space="0" w:color="auto"/>
      </w:divBdr>
      <w:divsChild>
        <w:div w:id="1756173026">
          <w:marLeft w:val="0"/>
          <w:marRight w:val="0"/>
          <w:marTop w:val="0"/>
          <w:marBottom w:val="0"/>
          <w:divBdr>
            <w:top w:val="none" w:sz="0" w:space="0" w:color="auto"/>
            <w:left w:val="none" w:sz="0" w:space="0" w:color="auto"/>
            <w:bottom w:val="none" w:sz="0" w:space="0" w:color="auto"/>
            <w:right w:val="none" w:sz="0" w:space="0" w:color="auto"/>
          </w:divBdr>
          <w:divsChild>
            <w:div w:id="70200196">
              <w:marLeft w:val="0"/>
              <w:marRight w:val="0"/>
              <w:marTop w:val="0"/>
              <w:marBottom w:val="0"/>
              <w:divBdr>
                <w:top w:val="none" w:sz="0" w:space="0" w:color="auto"/>
                <w:left w:val="none" w:sz="0" w:space="0" w:color="auto"/>
                <w:bottom w:val="none" w:sz="0" w:space="0" w:color="auto"/>
                <w:right w:val="none" w:sz="0" w:space="0" w:color="auto"/>
              </w:divBdr>
              <w:divsChild>
                <w:div w:id="1959333599">
                  <w:marLeft w:val="0"/>
                  <w:marRight w:val="0"/>
                  <w:marTop w:val="0"/>
                  <w:marBottom w:val="0"/>
                  <w:divBdr>
                    <w:top w:val="none" w:sz="0" w:space="0" w:color="auto"/>
                    <w:left w:val="none" w:sz="0" w:space="0" w:color="auto"/>
                    <w:bottom w:val="none" w:sz="0" w:space="0" w:color="auto"/>
                    <w:right w:val="none" w:sz="0" w:space="0" w:color="auto"/>
                  </w:divBdr>
                  <w:divsChild>
                    <w:div w:id="909315926">
                      <w:marLeft w:val="0"/>
                      <w:marRight w:val="0"/>
                      <w:marTop w:val="0"/>
                      <w:marBottom w:val="0"/>
                      <w:divBdr>
                        <w:top w:val="none" w:sz="0" w:space="0" w:color="auto"/>
                        <w:left w:val="none" w:sz="0" w:space="0" w:color="auto"/>
                        <w:bottom w:val="none" w:sz="0" w:space="0" w:color="auto"/>
                        <w:right w:val="none" w:sz="0" w:space="0" w:color="auto"/>
                      </w:divBdr>
                      <w:divsChild>
                        <w:div w:id="902562067">
                          <w:marLeft w:val="0"/>
                          <w:marRight w:val="0"/>
                          <w:marTop w:val="0"/>
                          <w:marBottom w:val="0"/>
                          <w:divBdr>
                            <w:top w:val="none" w:sz="0" w:space="0" w:color="auto"/>
                            <w:left w:val="none" w:sz="0" w:space="0" w:color="auto"/>
                            <w:bottom w:val="none" w:sz="0" w:space="0" w:color="auto"/>
                            <w:right w:val="none" w:sz="0" w:space="0" w:color="auto"/>
                          </w:divBdr>
                          <w:divsChild>
                            <w:div w:id="10975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060807">
      <w:bodyDiv w:val="1"/>
      <w:marLeft w:val="0"/>
      <w:marRight w:val="0"/>
      <w:marTop w:val="0"/>
      <w:marBottom w:val="0"/>
      <w:divBdr>
        <w:top w:val="none" w:sz="0" w:space="0" w:color="auto"/>
        <w:left w:val="none" w:sz="0" w:space="0" w:color="auto"/>
        <w:bottom w:val="none" w:sz="0" w:space="0" w:color="auto"/>
        <w:right w:val="none" w:sz="0" w:space="0" w:color="auto"/>
      </w:divBdr>
      <w:divsChild>
        <w:div w:id="21581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367112">
      <w:bodyDiv w:val="1"/>
      <w:marLeft w:val="0"/>
      <w:marRight w:val="0"/>
      <w:marTop w:val="0"/>
      <w:marBottom w:val="0"/>
      <w:divBdr>
        <w:top w:val="none" w:sz="0" w:space="0" w:color="auto"/>
        <w:left w:val="none" w:sz="0" w:space="0" w:color="auto"/>
        <w:bottom w:val="none" w:sz="0" w:space="0" w:color="auto"/>
        <w:right w:val="none" w:sz="0" w:space="0" w:color="auto"/>
      </w:divBdr>
      <w:divsChild>
        <w:div w:id="1530024428">
          <w:marLeft w:val="0"/>
          <w:marRight w:val="0"/>
          <w:marTop w:val="0"/>
          <w:marBottom w:val="0"/>
          <w:divBdr>
            <w:top w:val="none" w:sz="0" w:space="0" w:color="auto"/>
            <w:left w:val="none" w:sz="0" w:space="0" w:color="auto"/>
            <w:bottom w:val="none" w:sz="0" w:space="0" w:color="auto"/>
            <w:right w:val="none" w:sz="0" w:space="0" w:color="auto"/>
          </w:divBdr>
          <w:divsChild>
            <w:div w:id="48962220">
              <w:marLeft w:val="0"/>
              <w:marRight w:val="0"/>
              <w:marTop w:val="0"/>
              <w:marBottom w:val="0"/>
              <w:divBdr>
                <w:top w:val="none" w:sz="0" w:space="0" w:color="auto"/>
                <w:left w:val="none" w:sz="0" w:space="0" w:color="auto"/>
                <w:bottom w:val="none" w:sz="0" w:space="0" w:color="auto"/>
                <w:right w:val="none" w:sz="0" w:space="0" w:color="auto"/>
              </w:divBdr>
              <w:divsChild>
                <w:div w:id="919564413">
                  <w:marLeft w:val="0"/>
                  <w:marRight w:val="0"/>
                  <w:marTop w:val="0"/>
                  <w:marBottom w:val="0"/>
                  <w:divBdr>
                    <w:top w:val="none" w:sz="0" w:space="0" w:color="auto"/>
                    <w:left w:val="none" w:sz="0" w:space="0" w:color="auto"/>
                    <w:bottom w:val="none" w:sz="0" w:space="0" w:color="auto"/>
                    <w:right w:val="none" w:sz="0" w:space="0" w:color="auto"/>
                  </w:divBdr>
                  <w:divsChild>
                    <w:div w:id="2132478461">
                      <w:marLeft w:val="0"/>
                      <w:marRight w:val="0"/>
                      <w:marTop w:val="0"/>
                      <w:marBottom w:val="0"/>
                      <w:divBdr>
                        <w:top w:val="none" w:sz="0" w:space="0" w:color="auto"/>
                        <w:left w:val="none" w:sz="0" w:space="0" w:color="auto"/>
                        <w:bottom w:val="none" w:sz="0" w:space="0" w:color="auto"/>
                        <w:right w:val="none" w:sz="0" w:space="0" w:color="auto"/>
                      </w:divBdr>
                      <w:divsChild>
                        <w:div w:id="9297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629384">
      <w:bodyDiv w:val="1"/>
      <w:marLeft w:val="0"/>
      <w:marRight w:val="0"/>
      <w:marTop w:val="0"/>
      <w:marBottom w:val="0"/>
      <w:divBdr>
        <w:top w:val="none" w:sz="0" w:space="0" w:color="auto"/>
        <w:left w:val="none" w:sz="0" w:space="0" w:color="auto"/>
        <w:bottom w:val="none" w:sz="0" w:space="0" w:color="auto"/>
        <w:right w:val="none" w:sz="0" w:space="0" w:color="auto"/>
      </w:divBdr>
      <w:divsChild>
        <w:div w:id="812329419">
          <w:marLeft w:val="0"/>
          <w:marRight w:val="0"/>
          <w:marTop w:val="0"/>
          <w:marBottom w:val="0"/>
          <w:divBdr>
            <w:top w:val="none" w:sz="0" w:space="0" w:color="auto"/>
            <w:left w:val="none" w:sz="0" w:space="0" w:color="auto"/>
            <w:bottom w:val="none" w:sz="0" w:space="0" w:color="auto"/>
            <w:right w:val="none" w:sz="0" w:space="0" w:color="auto"/>
          </w:divBdr>
          <w:divsChild>
            <w:div w:id="881481809">
              <w:marLeft w:val="0"/>
              <w:marRight w:val="0"/>
              <w:marTop w:val="0"/>
              <w:marBottom w:val="0"/>
              <w:divBdr>
                <w:top w:val="none" w:sz="0" w:space="0" w:color="auto"/>
                <w:left w:val="none" w:sz="0" w:space="0" w:color="auto"/>
                <w:bottom w:val="none" w:sz="0" w:space="0" w:color="auto"/>
                <w:right w:val="none" w:sz="0" w:space="0" w:color="auto"/>
              </w:divBdr>
              <w:divsChild>
                <w:div w:id="1670060555">
                  <w:marLeft w:val="0"/>
                  <w:marRight w:val="0"/>
                  <w:marTop w:val="0"/>
                  <w:marBottom w:val="0"/>
                  <w:divBdr>
                    <w:top w:val="none" w:sz="0" w:space="0" w:color="auto"/>
                    <w:left w:val="none" w:sz="0" w:space="0" w:color="auto"/>
                    <w:bottom w:val="none" w:sz="0" w:space="0" w:color="auto"/>
                    <w:right w:val="none" w:sz="0" w:space="0" w:color="auto"/>
                  </w:divBdr>
                  <w:divsChild>
                    <w:div w:id="5895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851700">
      <w:bodyDiv w:val="1"/>
      <w:marLeft w:val="0"/>
      <w:marRight w:val="0"/>
      <w:marTop w:val="0"/>
      <w:marBottom w:val="0"/>
      <w:divBdr>
        <w:top w:val="none" w:sz="0" w:space="0" w:color="auto"/>
        <w:left w:val="none" w:sz="0" w:space="0" w:color="auto"/>
        <w:bottom w:val="none" w:sz="0" w:space="0" w:color="auto"/>
        <w:right w:val="none" w:sz="0" w:space="0" w:color="auto"/>
      </w:divBdr>
    </w:div>
    <w:div w:id="1778408117">
      <w:bodyDiv w:val="1"/>
      <w:marLeft w:val="0"/>
      <w:marRight w:val="0"/>
      <w:marTop w:val="0"/>
      <w:marBottom w:val="0"/>
      <w:divBdr>
        <w:top w:val="none" w:sz="0" w:space="0" w:color="auto"/>
        <w:left w:val="none" w:sz="0" w:space="0" w:color="auto"/>
        <w:bottom w:val="none" w:sz="0" w:space="0" w:color="auto"/>
        <w:right w:val="none" w:sz="0" w:space="0" w:color="auto"/>
      </w:divBdr>
      <w:divsChild>
        <w:div w:id="197742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559707">
      <w:bodyDiv w:val="1"/>
      <w:marLeft w:val="0"/>
      <w:marRight w:val="0"/>
      <w:marTop w:val="0"/>
      <w:marBottom w:val="0"/>
      <w:divBdr>
        <w:top w:val="none" w:sz="0" w:space="0" w:color="auto"/>
        <w:left w:val="none" w:sz="0" w:space="0" w:color="auto"/>
        <w:bottom w:val="none" w:sz="0" w:space="0" w:color="auto"/>
        <w:right w:val="none" w:sz="0" w:space="0" w:color="auto"/>
      </w:divBdr>
    </w:div>
    <w:div w:id="1862820917">
      <w:bodyDiv w:val="1"/>
      <w:marLeft w:val="0"/>
      <w:marRight w:val="0"/>
      <w:marTop w:val="0"/>
      <w:marBottom w:val="0"/>
      <w:divBdr>
        <w:top w:val="none" w:sz="0" w:space="0" w:color="auto"/>
        <w:left w:val="none" w:sz="0" w:space="0" w:color="auto"/>
        <w:bottom w:val="none" w:sz="0" w:space="0" w:color="auto"/>
        <w:right w:val="none" w:sz="0" w:space="0" w:color="auto"/>
      </w:divBdr>
      <w:divsChild>
        <w:div w:id="98139965">
          <w:marLeft w:val="0"/>
          <w:marRight w:val="0"/>
          <w:marTop w:val="0"/>
          <w:marBottom w:val="0"/>
          <w:divBdr>
            <w:top w:val="none" w:sz="0" w:space="0" w:color="auto"/>
            <w:left w:val="none" w:sz="0" w:space="0" w:color="auto"/>
            <w:bottom w:val="none" w:sz="0" w:space="0" w:color="auto"/>
            <w:right w:val="none" w:sz="0" w:space="0" w:color="auto"/>
          </w:divBdr>
          <w:divsChild>
            <w:div w:id="1304041477">
              <w:marLeft w:val="0"/>
              <w:marRight w:val="0"/>
              <w:marTop w:val="0"/>
              <w:marBottom w:val="0"/>
              <w:divBdr>
                <w:top w:val="none" w:sz="0" w:space="0" w:color="auto"/>
                <w:left w:val="none" w:sz="0" w:space="0" w:color="auto"/>
                <w:bottom w:val="none" w:sz="0" w:space="0" w:color="auto"/>
                <w:right w:val="none" w:sz="0" w:space="0" w:color="auto"/>
              </w:divBdr>
              <w:divsChild>
                <w:div w:id="1706952830">
                  <w:marLeft w:val="0"/>
                  <w:marRight w:val="0"/>
                  <w:marTop w:val="0"/>
                  <w:marBottom w:val="0"/>
                  <w:divBdr>
                    <w:top w:val="none" w:sz="0" w:space="0" w:color="auto"/>
                    <w:left w:val="none" w:sz="0" w:space="0" w:color="auto"/>
                    <w:bottom w:val="none" w:sz="0" w:space="0" w:color="auto"/>
                    <w:right w:val="none" w:sz="0" w:space="0" w:color="auto"/>
                  </w:divBdr>
                  <w:divsChild>
                    <w:div w:id="15971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2161">
      <w:bodyDiv w:val="1"/>
      <w:marLeft w:val="0"/>
      <w:marRight w:val="0"/>
      <w:marTop w:val="0"/>
      <w:marBottom w:val="0"/>
      <w:divBdr>
        <w:top w:val="none" w:sz="0" w:space="0" w:color="auto"/>
        <w:left w:val="none" w:sz="0" w:space="0" w:color="auto"/>
        <w:bottom w:val="none" w:sz="0" w:space="0" w:color="auto"/>
        <w:right w:val="none" w:sz="0" w:space="0" w:color="auto"/>
      </w:divBdr>
      <w:divsChild>
        <w:div w:id="1812861502">
          <w:marLeft w:val="0"/>
          <w:marRight w:val="0"/>
          <w:marTop w:val="0"/>
          <w:marBottom w:val="0"/>
          <w:divBdr>
            <w:top w:val="none" w:sz="0" w:space="0" w:color="auto"/>
            <w:left w:val="none" w:sz="0" w:space="0" w:color="auto"/>
            <w:bottom w:val="none" w:sz="0" w:space="0" w:color="auto"/>
            <w:right w:val="none" w:sz="0" w:space="0" w:color="auto"/>
          </w:divBdr>
          <w:divsChild>
            <w:div w:id="136724270">
              <w:marLeft w:val="0"/>
              <w:marRight w:val="0"/>
              <w:marTop w:val="0"/>
              <w:marBottom w:val="0"/>
              <w:divBdr>
                <w:top w:val="none" w:sz="0" w:space="0" w:color="auto"/>
                <w:left w:val="none" w:sz="0" w:space="0" w:color="auto"/>
                <w:bottom w:val="none" w:sz="0" w:space="0" w:color="auto"/>
                <w:right w:val="none" w:sz="0" w:space="0" w:color="auto"/>
              </w:divBdr>
              <w:divsChild>
                <w:div w:id="1126506662">
                  <w:marLeft w:val="0"/>
                  <w:marRight w:val="0"/>
                  <w:marTop w:val="0"/>
                  <w:marBottom w:val="0"/>
                  <w:divBdr>
                    <w:top w:val="none" w:sz="0" w:space="0" w:color="auto"/>
                    <w:left w:val="none" w:sz="0" w:space="0" w:color="auto"/>
                    <w:bottom w:val="none" w:sz="0" w:space="0" w:color="auto"/>
                    <w:right w:val="none" w:sz="0" w:space="0" w:color="auto"/>
                  </w:divBdr>
                  <w:divsChild>
                    <w:div w:id="4021343">
                      <w:marLeft w:val="0"/>
                      <w:marRight w:val="0"/>
                      <w:marTop w:val="0"/>
                      <w:marBottom w:val="0"/>
                      <w:divBdr>
                        <w:top w:val="none" w:sz="0" w:space="0" w:color="auto"/>
                        <w:left w:val="none" w:sz="0" w:space="0" w:color="auto"/>
                        <w:bottom w:val="none" w:sz="0" w:space="0" w:color="auto"/>
                        <w:right w:val="none" w:sz="0" w:space="0" w:color="auto"/>
                      </w:divBdr>
                    </w:div>
                    <w:div w:id="16011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264732">
      <w:bodyDiv w:val="1"/>
      <w:marLeft w:val="0"/>
      <w:marRight w:val="0"/>
      <w:marTop w:val="0"/>
      <w:marBottom w:val="0"/>
      <w:divBdr>
        <w:top w:val="none" w:sz="0" w:space="0" w:color="auto"/>
        <w:left w:val="none" w:sz="0" w:space="0" w:color="auto"/>
        <w:bottom w:val="none" w:sz="0" w:space="0" w:color="auto"/>
        <w:right w:val="none" w:sz="0" w:space="0" w:color="auto"/>
      </w:divBdr>
    </w:div>
    <w:div w:id="1997150088">
      <w:bodyDiv w:val="1"/>
      <w:marLeft w:val="0"/>
      <w:marRight w:val="0"/>
      <w:marTop w:val="0"/>
      <w:marBottom w:val="0"/>
      <w:divBdr>
        <w:top w:val="none" w:sz="0" w:space="0" w:color="auto"/>
        <w:left w:val="none" w:sz="0" w:space="0" w:color="auto"/>
        <w:bottom w:val="none" w:sz="0" w:space="0" w:color="auto"/>
        <w:right w:val="none" w:sz="0" w:space="0" w:color="auto"/>
      </w:divBdr>
      <w:divsChild>
        <w:div w:id="1045566041">
          <w:marLeft w:val="0"/>
          <w:marRight w:val="0"/>
          <w:marTop w:val="240"/>
          <w:marBottom w:val="240"/>
          <w:divBdr>
            <w:top w:val="none" w:sz="0" w:space="0" w:color="auto"/>
            <w:left w:val="none" w:sz="0" w:space="0" w:color="auto"/>
            <w:bottom w:val="none" w:sz="0" w:space="0" w:color="auto"/>
            <w:right w:val="none" w:sz="0" w:space="0" w:color="auto"/>
          </w:divBdr>
        </w:div>
      </w:divsChild>
    </w:div>
    <w:div w:id="2021274684">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sChild>
            <w:div w:id="835606035">
              <w:marLeft w:val="0"/>
              <w:marRight w:val="0"/>
              <w:marTop w:val="0"/>
              <w:marBottom w:val="0"/>
              <w:divBdr>
                <w:top w:val="none" w:sz="0" w:space="0" w:color="auto"/>
                <w:left w:val="none" w:sz="0" w:space="0" w:color="auto"/>
                <w:bottom w:val="none" w:sz="0" w:space="0" w:color="auto"/>
                <w:right w:val="none" w:sz="0" w:space="0" w:color="auto"/>
              </w:divBdr>
              <w:divsChild>
                <w:div w:id="1048991244">
                  <w:marLeft w:val="0"/>
                  <w:marRight w:val="0"/>
                  <w:marTop w:val="0"/>
                  <w:marBottom w:val="0"/>
                  <w:divBdr>
                    <w:top w:val="none" w:sz="0" w:space="0" w:color="auto"/>
                    <w:left w:val="none" w:sz="0" w:space="0" w:color="auto"/>
                    <w:bottom w:val="none" w:sz="0" w:space="0" w:color="auto"/>
                    <w:right w:val="none" w:sz="0" w:space="0" w:color="auto"/>
                  </w:divBdr>
                  <w:divsChild>
                    <w:div w:id="1264067388">
                      <w:marLeft w:val="0"/>
                      <w:marRight w:val="0"/>
                      <w:marTop w:val="0"/>
                      <w:marBottom w:val="0"/>
                      <w:divBdr>
                        <w:top w:val="none" w:sz="0" w:space="0" w:color="auto"/>
                        <w:left w:val="none" w:sz="0" w:space="0" w:color="auto"/>
                        <w:bottom w:val="none" w:sz="0" w:space="0" w:color="auto"/>
                        <w:right w:val="none" w:sz="0" w:space="0" w:color="auto"/>
                      </w:divBdr>
                      <w:divsChild>
                        <w:div w:id="1872958729">
                          <w:marLeft w:val="0"/>
                          <w:marRight w:val="0"/>
                          <w:marTop w:val="0"/>
                          <w:marBottom w:val="0"/>
                          <w:divBdr>
                            <w:top w:val="none" w:sz="0" w:space="0" w:color="auto"/>
                            <w:left w:val="none" w:sz="0" w:space="0" w:color="auto"/>
                            <w:bottom w:val="none" w:sz="0" w:space="0" w:color="auto"/>
                            <w:right w:val="none" w:sz="0" w:space="0" w:color="auto"/>
                          </w:divBdr>
                          <w:divsChild>
                            <w:div w:id="262031211">
                              <w:marLeft w:val="0"/>
                              <w:marRight w:val="0"/>
                              <w:marTop w:val="0"/>
                              <w:marBottom w:val="0"/>
                              <w:divBdr>
                                <w:top w:val="none" w:sz="0" w:space="0" w:color="auto"/>
                                <w:left w:val="none" w:sz="0" w:space="0" w:color="auto"/>
                                <w:bottom w:val="none" w:sz="0" w:space="0" w:color="auto"/>
                                <w:right w:val="none" w:sz="0" w:space="0" w:color="auto"/>
                              </w:divBdr>
                              <w:divsChild>
                                <w:div w:id="378745686">
                                  <w:marLeft w:val="0"/>
                                  <w:marRight w:val="0"/>
                                  <w:marTop w:val="0"/>
                                  <w:marBottom w:val="0"/>
                                  <w:divBdr>
                                    <w:top w:val="none" w:sz="0" w:space="0" w:color="auto"/>
                                    <w:left w:val="none" w:sz="0" w:space="0" w:color="auto"/>
                                    <w:bottom w:val="none" w:sz="0" w:space="0" w:color="auto"/>
                                    <w:right w:val="none" w:sz="0" w:space="0" w:color="auto"/>
                                  </w:divBdr>
                                  <w:divsChild>
                                    <w:div w:id="583145828">
                                      <w:marLeft w:val="0"/>
                                      <w:marRight w:val="0"/>
                                      <w:marTop w:val="0"/>
                                      <w:marBottom w:val="0"/>
                                      <w:divBdr>
                                        <w:top w:val="none" w:sz="0" w:space="0" w:color="auto"/>
                                        <w:left w:val="none" w:sz="0" w:space="0" w:color="auto"/>
                                        <w:bottom w:val="none" w:sz="0" w:space="0" w:color="auto"/>
                                        <w:right w:val="none" w:sz="0" w:space="0" w:color="auto"/>
                                      </w:divBdr>
                                      <w:divsChild>
                                        <w:div w:id="1988430773">
                                          <w:marLeft w:val="0"/>
                                          <w:marRight w:val="0"/>
                                          <w:marTop w:val="0"/>
                                          <w:marBottom w:val="0"/>
                                          <w:divBdr>
                                            <w:top w:val="none" w:sz="0" w:space="0" w:color="auto"/>
                                            <w:left w:val="none" w:sz="0" w:space="0" w:color="auto"/>
                                            <w:bottom w:val="none" w:sz="0" w:space="0" w:color="auto"/>
                                            <w:right w:val="none" w:sz="0" w:space="0" w:color="auto"/>
                                          </w:divBdr>
                                          <w:divsChild>
                                            <w:div w:id="1289431349">
                                              <w:marLeft w:val="0"/>
                                              <w:marRight w:val="0"/>
                                              <w:marTop w:val="0"/>
                                              <w:marBottom w:val="0"/>
                                              <w:divBdr>
                                                <w:top w:val="none" w:sz="0" w:space="0" w:color="auto"/>
                                                <w:left w:val="none" w:sz="0" w:space="0" w:color="auto"/>
                                                <w:bottom w:val="none" w:sz="0" w:space="0" w:color="auto"/>
                                                <w:right w:val="none" w:sz="0" w:space="0" w:color="auto"/>
                                              </w:divBdr>
                                              <w:divsChild>
                                                <w:div w:id="1122305253">
                                                  <w:marLeft w:val="0"/>
                                                  <w:marRight w:val="0"/>
                                                  <w:marTop w:val="0"/>
                                                  <w:marBottom w:val="0"/>
                                                  <w:divBdr>
                                                    <w:top w:val="none" w:sz="0" w:space="0" w:color="auto"/>
                                                    <w:left w:val="none" w:sz="0" w:space="0" w:color="auto"/>
                                                    <w:bottom w:val="none" w:sz="0" w:space="0" w:color="auto"/>
                                                    <w:right w:val="none" w:sz="0" w:space="0" w:color="auto"/>
                                                  </w:divBdr>
                                                  <w:divsChild>
                                                    <w:div w:id="1834443705">
                                                      <w:marLeft w:val="0"/>
                                                      <w:marRight w:val="0"/>
                                                      <w:marTop w:val="0"/>
                                                      <w:marBottom w:val="0"/>
                                                      <w:divBdr>
                                                        <w:top w:val="none" w:sz="0" w:space="0" w:color="auto"/>
                                                        <w:left w:val="none" w:sz="0" w:space="0" w:color="auto"/>
                                                        <w:bottom w:val="none" w:sz="0" w:space="0" w:color="auto"/>
                                                        <w:right w:val="none" w:sz="0" w:space="0" w:color="auto"/>
                                                      </w:divBdr>
                                                      <w:divsChild>
                                                        <w:div w:id="1497845264">
                                                          <w:marLeft w:val="0"/>
                                                          <w:marRight w:val="0"/>
                                                          <w:marTop w:val="0"/>
                                                          <w:marBottom w:val="0"/>
                                                          <w:divBdr>
                                                            <w:top w:val="none" w:sz="0" w:space="0" w:color="auto"/>
                                                            <w:left w:val="none" w:sz="0" w:space="0" w:color="auto"/>
                                                            <w:bottom w:val="none" w:sz="0" w:space="0" w:color="auto"/>
                                                            <w:right w:val="none" w:sz="0" w:space="0" w:color="auto"/>
                                                          </w:divBdr>
                                                          <w:divsChild>
                                                            <w:div w:id="1943997656">
                                                              <w:marLeft w:val="0"/>
                                                              <w:marRight w:val="0"/>
                                                              <w:marTop w:val="0"/>
                                                              <w:marBottom w:val="0"/>
                                                              <w:divBdr>
                                                                <w:top w:val="none" w:sz="0" w:space="0" w:color="auto"/>
                                                                <w:left w:val="none" w:sz="0" w:space="0" w:color="auto"/>
                                                                <w:bottom w:val="none" w:sz="0" w:space="0" w:color="auto"/>
                                                                <w:right w:val="none" w:sz="0" w:space="0" w:color="auto"/>
                                                              </w:divBdr>
                                                              <w:divsChild>
                                                                <w:div w:id="721178811">
                                                                  <w:marLeft w:val="0"/>
                                                                  <w:marRight w:val="0"/>
                                                                  <w:marTop w:val="0"/>
                                                                  <w:marBottom w:val="0"/>
                                                                  <w:divBdr>
                                                                    <w:top w:val="none" w:sz="0" w:space="0" w:color="auto"/>
                                                                    <w:left w:val="none" w:sz="0" w:space="0" w:color="auto"/>
                                                                    <w:bottom w:val="none" w:sz="0" w:space="0" w:color="auto"/>
                                                                    <w:right w:val="none" w:sz="0" w:space="0" w:color="auto"/>
                                                                  </w:divBdr>
                                                                  <w:divsChild>
                                                                    <w:div w:id="1231236080">
                                                                      <w:marLeft w:val="240"/>
                                                                      <w:marRight w:val="0"/>
                                                                      <w:marTop w:val="240"/>
                                                                      <w:marBottom w:val="240"/>
                                                                      <w:divBdr>
                                                                        <w:top w:val="none" w:sz="0" w:space="0" w:color="auto"/>
                                                                        <w:left w:val="none" w:sz="0" w:space="0" w:color="auto"/>
                                                                        <w:bottom w:val="none" w:sz="0" w:space="0" w:color="auto"/>
                                                                        <w:right w:val="none" w:sz="0" w:space="0" w:color="auto"/>
                                                                      </w:divBdr>
                                                                      <w:divsChild>
                                                                        <w:div w:id="334262117">
                                                                          <w:marLeft w:val="240"/>
                                                                          <w:marRight w:val="0"/>
                                                                          <w:marTop w:val="240"/>
                                                                          <w:marBottom w:val="240"/>
                                                                          <w:divBdr>
                                                                            <w:top w:val="none" w:sz="0" w:space="0" w:color="auto"/>
                                                                            <w:left w:val="none" w:sz="0" w:space="0" w:color="auto"/>
                                                                            <w:bottom w:val="none" w:sz="0" w:space="0" w:color="auto"/>
                                                                            <w:right w:val="none" w:sz="0" w:space="0" w:color="auto"/>
                                                                          </w:divBdr>
                                                                        </w:div>
                                                                        <w:div w:id="588007824">
                                                                          <w:marLeft w:val="240"/>
                                                                          <w:marRight w:val="0"/>
                                                                          <w:marTop w:val="240"/>
                                                                          <w:marBottom w:val="240"/>
                                                                          <w:divBdr>
                                                                            <w:top w:val="none" w:sz="0" w:space="0" w:color="auto"/>
                                                                            <w:left w:val="none" w:sz="0" w:space="0" w:color="auto"/>
                                                                            <w:bottom w:val="none" w:sz="0" w:space="0" w:color="auto"/>
                                                                            <w:right w:val="none" w:sz="0" w:space="0" w:color="auto"/>
                                                                          </w:divBdr>
                                                                        </w:div>
                                                                        <w:div w:id="707681741">
                                                                          <w:marLeft w:val="240"/>
                                                                          <w:marRight w:val="0"/>
                                                                          <w:marTop w:val="240"/>
                                                                          <w:marBottom w:val="240"/>
                                                                          <w:divBdr>
                                                                            <w:top w:val="none" w:sz="0" w:space="0" w:color="auto"/>
                                                                            <w:left w:val="none" w:sz="0" w:space="0" w:color="auto"/>
                                                                            <w:bottom w:val="none" w:sz="0" w:space="0" w:color="auto"/>
                                                                            <w:right w:val="none" w:sz="0" w:space="0" w:color="auto"/>
                                                                          </w:divBdr>
                                                                        </w:div>
                                                                        <w:div w:id="804003501">
                                                                          <w:marLeft w:val="240"/>
                                                                          <w:marRight w:val="0"/>
                                                                          <w:marTop w:val="240"/>
                                                                          <w:marBottom w:val="240"/>
                                                                          <w:divBdr>
                                                                            <w:top w:val="none" w:sz="0" w:space="0" w:color="auto"/>
                                                                            <w:left w:val="none" w:sz="0" w:space="0" w:color="auto"/>
                                                                            <w:bottom w:val="none" w:sz="0" w:space="0" w:color="auto"/>
                                                                            <w:right w:val="none" w:sz="0" w:space="0" w:color="auto"/>
                                                                          </w:divBdr>
                                                                        </w:div>
                                                                        <w:div w:id="124846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52148">
      <w:bodyDiv w:val="1"/>
      <w:marLeft w:val="0"/>
      <w:marRight w:val="0"/>
      <w:marTop w:val="0"/>
      <w:marBottom w:val="0"/>
      <w:divBdr>
        <w:top w:val="none" w:sz="0" w:space="0" w:color="auto"/>
        <w:left w:val="none" w:sz="0" w:space="0" w:color="auto"/>
        <w:bottom w:val="none" w:sz="0" w:space="0" w:color="auto"/>
        <w:right w:val="none" w:sz="0" w:space="0" w:color="auto"/>
      </w:divBdr>
      <w:divsChild>
        <w:div w:id="335427928">
          <w:marLeft w:val="0"/>
          <w:marRight w:val="0"/>
          <w:marTop w:val="0"/>
          <w:marBottom w:val="0"/>
          <w:divBdr>
            <w:top w:val="none" w:sz="0" w:space="0" w:color="auto"/>
            <w:left w:val="none" w:sz="0" w:space="0" w:color="auto"/>
            <w:bottom w:val="none" w:sz="0" w:space="0" w:color="auto"/>
            <w:right w:val="none" w:sz="0" w:space="0" w:color="auto"/>
          </w:divBdr>
          <w:divsChild>
            <w:div w:id="388769445">
              <w:marLeft w:val="0"/>
              <w:marRight w:val="0"/>
              <w:marTop w:val="0"/>
              <w:marBottom w:val="0"/>
              <w:divBdr>
                <w:top w:val="none" w:sz="0" w:space="0" w:color="auto"/>
                <w:left w:val="none" w:sz="0" w:space="0" w:color="auto"/>
                <w:bottom w:val="none" w:sz="0" w:space="0" w:color="auto"/>
                <w:right w:val="none" w:sz="0" w:space="0" w:color="auto"/>
              </w:divBdr>
              <w:divsChild>
                <w:div w:id="701633698">
                  <w:marLeft w:val="0"/>
                  <w:marRight w:val="0"/>
                  <w:marTop w:val="0"/>
                  <w:marBottom w:val="0"/>
                  <w:divBdr>
                    <w:top w:val="none" w:sz="0" w:space="0" w:color="auto"/>
                    <w:left w:val="none" w:sz="0" w:space="0" w:color="auto"/>
                    <w:bottom w:val="none" w:sz="0" w:space="0" w:color="auto"/>
                    <w:right w:val="none" w:sz="0" w:space="0" w:color="auto"/>
                  </w:divBdr>
                  <w:divsChild>
                    <w:div w:id="19823556">
                      <w:marLeft w:val="0"/>
                      <w:marRight w:val="0"/>
                      <w:marTop w:val="0"/>
                      <w:marBottom w:val="0"/>
                      <w:divBdr>
                        <w:top w:val="none" w:sz="0" w:space="0" w:color="auto"/>
                        <w:left w:val="none" w:sz="0" w:space="0" w:color="auto"/>
                        <w:bottom w:val="none" w:sz="0" w:space="0" w:color="auto"/>
                        <w:right w:val="none" w:sz="0" w:space="0" w:color="auto"/>
                      </w:divBdr>
                      <w:divsChild>
                        <w:div w:id="347146310">
                          <w:marLeft w:val="0"/>
                          <w:marRight w:val="0"/>
                          <w:marTop w:val="0"/>
                          <w:marBottom w:val="0"/>
                          <w:divBdr>
                            <w:top w:val="none" w:sz="0" w:space="0" w:color="auto"/>
                            <w:left w:val="none" w:sz="0" w:space="0" w:color="auto"/>
                            <w:bottom w:val="none" w:sz="0" w:space="0" w:color="auto"/>
                            <w:right w:val="none" w:sz="0" w:space="0" w:color="auto"/>
                          </w:divBdr>
                          <w:divsChild>
                            <w:div w:id="19864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857556">
      <w:bodyDiv w:val="1"/>
      <w:marLeft w:val="396"/>
      <w:marRight w:val="396"/>
      <w:marTop w:val="396"/>
      <w:marBottom w:val="396"/>
      <w:divBdr>
        <w:top w:val="none" w:sz="0" w:space="0" w:color="auto"/>
        <w:left w:val="none" w:sz="0" w:space="0" w:color="auto"/>
        <w:bottom w:val="none" w:sz="0" w:space="0" w:color="auto"/>
        <w:right w:val="none" w:sz="0" w:space="0" w:color="auto"/>
      </w:divBdr>
    </w:div>
    <w:div w:id="2042589440">
      <w:bodyDiv w:val="1"/>
      <w:marLeft w:val="0"/>
      <w:marRight w:val="0"/>
      <w:marTop w:val="0"/>
      <w:marBottom w:val="0"/>
      <w:divBdr>
        <w:top w:val="none" w:sz="0" w:space="0" w:color="auto"/>
        <w:left w:val="none" w:sz="0" w:space="0" w:color="auto"/>
        <w:bottom w:val="none" w:sz="0" w:space="0" w:color="auto"/>
        <w:right w:val="none" w:sz="0" w:space="0" w:color="auto"/>
      </w:divBdr>
      <w:divsChild>
        <w:div w:id="1093285898">
          <w:marLeft w:val="0"/>
          <w:marRight w:val="0"/>
          <w:marTop w:val="0"/>
          <w:marBottom w:val="0"/>
          <w:divBdr>
            <w:top w:val="none" w:sz="0" w:space="0" w:color="auto"/>
            <w:left w:val="none" w:sz="0" w:space="0" w:color="auto"/>
            <w:bottom w:val="none" w:sz="0" w:space="0" w:color="auto"/>
            <w:right w:val="none" w:sz="0" w:space="0" w:color="auto"/>
          </w:divBdr>
          <w:divsChild>
            <w:div w:id="301735356">
              <w:marLeft w:val="0"/>
              <w:marRight w:val="0"/>
              <w:marTop w:val="0"/>
              <w:marBottom w:val="0"/>
              <w:divBdr>
                <w:top w:val="none" w:sz="0" w:space="0" w:color="auto"/>
                <w:left w:val="none" w:sz="0" w:space="0" w:color="auto"/>
                <w:bottom w:val="none" w:sz="0" w:space="0" w:color="auto"/>
                <w:right w:val="none" w:sz="0" w:space="0" w:color="auto"/>
              </w:divBdr>
              <w:divsChild>
                <w:div w:id="372578152">
                  <w:marLeft w:val="0"/>
                  <w:marRight w:val="0"/>
                  <w:marTop w:val="0"/>
                  <w:marBottom w:val="0"/>
                  <w:divBdr>
                    <w:top w:val="none" w:sz="0" w:space="0" w:color="auto"/>
                    <w:left w:val="none" w:sz="0" w:space="0" w:color="auto"/>
                    <w:bottom w:val="none" w:sz="0" w:space="0" w:color="auto"/>
                    <w:right w:val="none" w:sz="0" w:space="0" w:color="auto"/>
                  </w:divBdr>
                  <w:divsChild>
                    <w:div w:id="1832405448">
                      <w:marLeft w:val="0"/>
                      <w:marRight w:val="0"/>
                      <w:marTop w:val="0"/>
                      <w:marBottom w:val="0"/>
                      <w:divBdr>
                        <w:top w:val="none" w:sz="0" w:space="0" w:color="auto"/>
                        <w:left w:val="none" w:sz="0" w:space="0" w:color="auto"/>
                        <w:bottom w:val="none" w:sz="0" w:space="0" w:color="auto"/>
                        <w:right w:val="none" w:sz="0" w:space="0" w:color="auto"/>
                      </w:divBdr>
                      <w:divsChild>
                        <w:div w:id="1323312403">
                          <w:marLeft w:val="0"/>
                          <w:marRight w:val="0"/>
                          <w:marTop w:val="0"/>
                          <w:marBottom w:val="0"/>
                          <w:divBdr>
                            <w:top w:val="none" w:sz="0" w:space="0" w:color="auto"/>
                            <w:left w:val="none" w:sz="0" w:space="0" w:color="auto"/>
                            <w:bottom w:val="none" w:sz="0" w:space="0" w:color="auto"/>
                            <w:right w:val="none" w:sz="0" w:space="0" w:color="auto"/>
                          </w:divBdr>
                          <w:divsChild>
                            <w:div w:id="2109278014">
                              <w:marLeft w:val="0"/>
                              <w:marRight w:val="0"/>
                              <w:marTop w:val="0"/>
                              <w:marBottom w:val="0"/>
                              <w:divBdr>
                                <w:top w:val="none" w:sz="0" w:space="0" w:color="auto"/>
                                <w:left w:val="none" w:sz="0" w:space="0" w:color="auto"/>
                                <w:bottom w:val="none" w:sz="0" w:space="0" w:color="auto"/>
                                <w:right w:val="none" w:sz="0" w:space="0" w:color="auto"/>
                              </w:divBdr>
                              <w:divsChild>
                                <w:div w:id="1654217070">
                                  <w:marLeft w:val="0"/>
                                  <w:marRight w:val="0"/>
                                  <w:marTop w:val="0"/>
                                  <w:marBottom w:val="0"/>
                                  <w:divBdr>
                                    <w:top w:val="none" w:sz="0" w:space="0" w:color="auto"/>
                                    <w:left w:val="none" w:sz="0" w:space="0" w:color="auto"/>
                                    <w:bottom w:val="none" w:sz="0" w:space="0" w:color="auto"/>
                                    <w:right w:val="none" w:sz="0" w:space="0" w:color="auto"/>
                                  </w:divBdr>
                                  <w:divsChild>
                                    <w:div w:id="875432980">
                                      <w:marLeft w:val="0"/>
                                      <w:marRight w:val="0"/>
                                      <w:marTop w:val="0"/>
                                      <w:marBottom w:val="0"/>
                                      <w:divBdr>
                                        <w:top w:val="none" w:sz="0" w:space="0" w:color="auto"/>
                                        <w:left w:val="none" w:sz="0" w:space="0" w:color="auto"/>
                                        <w:bottom w:val="none" w:sz="0" w:space="0" w:color="auto"/>
                                        <w:right w:val="none" w:sz="0" w:space="0" w:color="auto"/>
                                      </w:divBdr>
                                      <w:divsChild>
                                        <w:div w:id="2123725323">
                                          <w:marLeft w:val="0"/>
                                          <w:marRight w:val="0"/>
                                          <w:marTop w:val="0"/>
                                          <w:marBottom w:val="0"/>
                                          <w:divBdr>
                                            <w:top w:val="none" w:sz="0" w:space="0" w:color="auto"/>
                                            <w:left w:val="none" w:sz="0" w:space="0" w:color="auto"/>
                                            <w:bottom w:val="none" w:sz="0" w:space="0" w:color="auto"/>
                                            <w:right w:val="none" w:sz="0" w:space="0" w:color="auto"/>
                                          </w:divBdr>
                                        </w:div>
                                      </w:divsChild>
                                    </w:div>
                                    <w:div w:id="1562447149">
                                      <w:marLeft w:val="0"/>
                                      <w:marRight w:val="0"/>
                                      <w:marTop w:val="0"/>
                                      <w:marBottom w:val="0"/>
                                      <w:divBdr>
                                        <w:top w:val="none" w:sz="0" w:space="0" w:color="auto"/>
                                        <w:left w:val="none" w:sz="0" w:space="0" w:color="auto"/>
                                        <w:bottom w:val="none" w:sz="0" w:space="0" w:color="auto"/>
                                        <w:right w:val="none" w:sz="0" w:space="0" w:color="auto"/>
                                      </w:divBdr>
                                    </w:div>
                                    <w:div w:id="19251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834926">
      <w:bodyDiv w:val="1"/>
      <w:marLeft w:val="0"/>
      <w:marRight w:val="0"/>
      <w:marTop w:val="0"/>
      <w:marBottom w:val="0"/>
      <w:divBdr>
        <w:top w:val="none" w:sz="0" w:space="0" w:color="auto"/>
        <w:left w:val="none" w:sz="0" w:space="0" w:color="auto"/>
        <w:bottom w:val="none" w:sz="0" w:space="0" w:color="auto"/>
        <w:right w:val="none" w:sz="0" w:space="0" w:color="auto"/>
      </w:divBdr>
      <w:divsChild>
        <w:div w:id="1895239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835301">
      <w:bodyDiv w:val="1"/>
      <w:marLeft w:val="0"/>
      <w:marRight w:val="0"/>
      <w:marTop w:val="0"/>
      <w:marBottom w:val="0"/>
      <w:divBdr>
        <w:top w:val="none" w:sz="0" w:space="0" w:color="auto"/>
        <w:left w:val="none" w:sz="0" w:space="0" w:color="auto"/>
        <w:bottom w:val="none" w:sz="0" w:space="0" w:color="auto"/>
        <w:right w:val="none" w:sz="0" w:space="0" w:color="auto"/>
      </w:divBdr>
      <w:divsChild>
        <w:div w:id="51315739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gov/divisions/corpfin/cffinancialreportingmanual.shtml" TargetMode="External"/><Relationship Id="rId18" Type="http://schemas.openxmlformats.org/officeDocument/2006/relationships/hyperlink" Target="https://dart.deloitte.com/USDART/home/accounting/sec/new-sec-rules-reports-studies" TargetMode="External"/><Relationship Id="rId26" Type="http://schemas.openxmlformats.org/officeDocument/2006/relationships/hyperlink" Target="https://www.sec.gov/corpfin/covid-19-disclosure-considerations" TargetMode="External"/><Relationship Id="rId39" Type="http://schemas.openxmlformats.org/officeDocument/2006/relationships/hyperlink" Target="https://dart.deloitte.com/USDART/home/publications/roadmap/business-combinations-sec-reporting" TargetMode="External"/><Relationship Id="rId21" Type="http://schemas.openxmlformats.org/officeDocument/2006/relationships/hyperlink" Target="https://www.sec.gov/corpfin/non-gaap-financial-measures" TargetMode="External"/><Relationship Id="rId34" Type="http://schemas.openxmlformats.org/officeDocument/2006/relationships/footer" Target="footer1.xml"/><Relationship Id="rId42" Type="http://schemas.openxmlformats.org/officeDocument/2006/relationships/hyperlink" Target="https://dart.deloitte.com/USDART/pdf/401b96f2-838c-11e8-85b9-7172a0502bbd" TargetMode="External"/><Relationship Id="rId47" Type="http://schemas.openxmlformats.org/officeDocument/2006/relationships/hyperlink" Target="http://sec.gov/divisions/corpfin/guidance/derivfaq.htm" TargetMode="External"/><Relationship Id="rId50" Type="http://schemas.openxmlformats.org/officeDocument/2006/relationships/image" Target="media/image3.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c.gov/rules/final/2022/33-11126.pdf" TargetMode="External"/><Relationship Id="rId29" Type="http://schemas.openxmlformats.org/officeDocument/2006/relationships/hyperlink" Target="https://www.sec.gov/corpfin/sample-letter-companies-pertaining-to-ukraine" TargetMode="External"/><Relationship Id="rId11" Type="http://schemas.openxmlformats.org/officeDocument/2006/relationships/image" Target="media/image1.jpeg"/><Relationship Id="rId24" Type="http://schemas.openxmlformats.org/officeDocument/2006/relationships/hyperlink" Target="https://www.sec.gov/rules/interp/2010/33-9106.pdf"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dart.deloitte.com/USDART/home/publications/deloitte/financial-reporting-alerts/2020/spac-transactions" TargetMode="External"/><Relationship Id="rId45" Type="http://schemas.openxmlformats.org/officeDocument/2006/relationships/hyperlink" Target="https://techlib.deloitteresources.com?link=content/2_635327"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art.deloitte.com/USDART/home/publications/roadmap/non-gaap-financial-measures?id=us:2em:3na:rmnongaap:eng:aud:120321:fra" TargetMode="External"/><Relationship Id="rId31" Type="http://schemas.openxmlformats.org/officeDocument/2006/relationships/hyperlink" Target="https://dart.deloitte.com/USDART/home/publications/deloitte/additional-deloitte-guidance/roadmap-initial-public-offerings/chapter-1-introduction-initial-public-offerings/1-6-emerging-growth-companies" TargetMode="External"/><Relationship Id="rId44" Type="http://schemas.openxmlformats.org/officeDocument/2006/relationships/hyperlink" Target="https://www.sec.gov/oca/staff-accounting-bulletin-121"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gov/rules/final/2022/34-95607.pdf" TargetMode="External"/><Relationship Id="rId22" Type="http://schemas.openxmlformats.org/officeDocument/2006/relationships/hyperlink" Target="https://techlib.deloitte.com/default.aspx?view=content&amp;id=2_352910" TargetMode="External"/><Relationship Id="rId27" Type="http://schemas.openxmlformats.org/officeDocument/2006/relationships/hyperlink" Target="https://dart.deloitte.com/USDART/home/publications/deloitte/financial-reporting-alerts/2020/financial-reporting-considerations-economic-downturn-covid-19" TargetMode="External"/><Relationship Id="rId30" Type="http://schemas.openxmlformats.org/officeDocument/2006/relationships/hyperlink" Target="https://dart.deloitte.com/USDART/home/publications/deloitte/financial-reporting-alerts/2022/russia-ukraine-war" TargetMode="External"/><Relationship Id="rId35" Type="http://schemas.openxmlformats.org/officeDocument/2006/relationships/footer" Target="footer2.xml"/><Relationship Id="rId43" Type="http://schemas.openxmlformats.org/officeDocument/2006/relationships/hyperlink" Target="https://dart.deloitte.com/USDART/home/publications/roadmap/consolidation" TargetMode="External"/><Relationship Id="rId48" Type="http://schemas.openxmlformats.org/officeDocument/2006/relationships/hyperlink" Target="http://www.sec.gov/divisions/corpfin/guidance/execcomp402interp.htm" TargetMode="External"/><Relationship Id="rId8" Type="http://schemas.openxmlformats.org/officeDocument/2006/relationships/webSettings" Target="webSettings.xml"/><Relationship Id="rId51" Type="http://schemas.openxmlformats.org/officeDocument/2006/relationships/package" Target="embeddings/Microsoft_Word_Document.docx"/><Relationship Id="rId3" Type="http://schemas.openxmlformats.org/officeDocument/2006/relationships/customXml" Target="../customXml/item3.xml"/><Relationship Id="rId12" Type="http://schemas.openxmlformats.org/officeDocument/2006/relationships/hyperlink" Target="http://www.sec.gov/" TargetMode="External"/><Relationship Id="rId17" Type="http://schemas.openxmlformats.org/officeDocument/2006/relationships/hyperlink" Target="https://dart.deloitte.com/USDART/home/publications/deloitte/heads-up/2022/sec-rule-clawback" TargetMode="External"/><Relationship Id="rId25" Type="http://schemas.openxmlformats.org/officeDocument/2006/relationships/hyperlink" Target="https://dart.deloitte.com/USDART/home/publications/deloitte/heads-up/2021/sec-comments-climate-change-disclosures" TargetMode="External"/><Relationship Id="rId33" Type="http://schemas.openxmlformats.org/officeDocument/2006/relationships/header" Target="header2.xml"/><Relationship Id="rId38" Type="http://schemas.openxmlformats.org/officeDocument/2006/relationships/hyperlink" Target="https://dart.deloitte.com/USDART/pdf/e316fec1-b29b-11e8-93d3-f398aa9dc17b" TargetMode="External"/><Relationship Id="rId46" Type="http://schemas.openxmlformats.org/officeDocument/2006/relationships/hyperlink" Target="https://dart.deloitte.com/USDART/pdf/401b96f2-838c-11e8-85b9-7172a0502bbd" TargetMode="External"/><Relationship Id="rId20" Type="http://schemas.openxmlformats.org/officeDocument/2006/relationships/hyperlink" Target="https://www.iasplus.com/en/publications/us/financial-reporting-alerts/2020/20-4" TargetMode="External"/><Relationship Id="rId41" Type="http://schemas.openxmlformats.org/officeDocument/2006/relationships/hyperlink" Target="https://dart.deloitte.com/USDART/pdf/401b96f2-838c-11e8-85b9-7172a0502bb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art.deloitte.com/USDART/home/publications/deloitte/heads-up/2022/sec-issues-pay-vs-performance" TargetMode="External"/><Relationship Id="rId23" Type="http://schemas.openxmlformats.org/officeDocument/2006/relationships/hyperlink" Target="https://www.sec.gov/corpfin/sample-letter-climate-change-disclosures" TargetMode="External"/><Relationship Id="rId28" Type="http://schemas.openxmlformats.org/officeDocument/2006/relationships/hyperlink" Target="https://dart.deloitte.com/USDART/home/publications/deloitte/financial-reporting-alerts/2020/covid-financial-reporting-trends-sep-20" TargetMode="External"/><Relationship Id="rId36" Type="http://schemas.openxmlformats.org/officeDocument/2006/relationships/header" Target="header3.xml"/><Relationship Id="rId49" Type="http://schemas.openxmlformats.org/officeDocument/2006/relationships/hyperlink" Target="http://www.sec.gov/about/forms/industryguid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rt.deloitte.com/USDART/home/accounting/sec/new-sec-rules-reports-studies/inflation-adjustments-under-titles-i-ii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Deloitte US letter print">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extLst>
    <a:ext uri="{05A4C25C-085E-4340-85A3-A5531E510DB2}">
      <thm15:themeFamily xmlns:thm15="http://schemas.microsoft.com/office/thememl/2012/main" name="Deloitte US letter print" id="{623383DA-C85E-4BA7-B7D1-8FA7147CF522}" vid="{F142DD82-8775-410B-9E5D-934DAE596CF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AF38701A87BA44A319A501035FA4E1" ma:contentTypeVersion="4" ma:contentTypeDescription="Create a new document." ma:contentTypeScope="" ma:versionID="839d7f9679f2fa17b8601fac64ac0c6d">
  <xsd:schema xmlns:xsd="http://www.w3.org/2001/XMLSchema" xmlns:xs="http://www.w3.org/2001/XMLSchema" xmlns:p="http://schemas.microsoft.com/office/2006/metadata/properties" xmlns:ns2="195a3d59-7b74-4f33-8852-3367001395eb" xmlns:ns3="2464149c-7028-40e0-8d3f-7183a2db35e2" targetNamespace="http://schemas.microsoft.com/office/2006/metadata/properties" ma:root="true" ma:fieldsID="6904e2e83714b86434234343a7583b6c" ns2:_="" ns3:_="">
    <xsd:import namespace="195a3d59-7b74-4f33-8852-3367001395eb"/>
    <xsd:import namespace="2464149c-7028-40e0-8d3f-7183a2db35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a3d59-7b74-4f33-8852-336700139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64149c-7028-40e0-8d3f-7183a2db35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B8B66-3DDC-4907-90C2-50F7A3696914}">
  <ds:schemaRefs>
    <ds:schemaRef ds:uri="http://schemas.microsoft.com/sharepoint/v3/contenttype/forms"/>
  </ds:schemaRefs>
</ds:datastoreItem>
</file>

<file path=customXml/itemProps2.xml><?xml version="1.0" encoding="utf-8"?>
<ds:datastoreItem xmlns:ds="http://schemas.openxmlformats.org/officeDocument/2006/customXml" ds:itemID="{665CA238-2B02-4413-8BC1-9B2EDDE01D66}">
  <ds:schemaRefs>
    <ds:schemaRef ds:uri="http://schemas.openxmlformats.org/officeDocument/2006/bibliography"/>
  </ds:schemaRefs>
</ds:datastoreItem>
</file>

<file path=customXml/itemProps3.xml><?xml version="1.0" encoding="utf-8"?>
<ds:datastoreItem xmlns:ds="http://schemas.openxmlformats.org/officeDocument/2006/customXml" ds:itemID="{F0C6B222-ACC1-4A5D-98E9-1672054E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a3d59-7b74-4f33-8852-3367001395eb"/>
    <ds:schemaRef ds:uri="2464149c-7028-40e0-8d3f-7183a2db3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427B5-7995-407E-8FE5-9A9E3F8D2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92</Pages>
  <Words>33343</Words>
  <Characters>190060</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222958</CharactersWithSpaces>
  <SharedDoc>false</SharedDoc>
  <HLinks>
    <vt:vector size="372" baseType="variant">
      <vt:variant>
        <vt:i4>1704010</vt:i4>
      </vt:variant>
      <vt:variant>
        <vt:i4>192</vt:i4>
      </vt:variant>
      <vt:variant>
        <vt:i4>0</vt:i4>
      </vt:variant>
      <vt:variant>
        <vt:i4>5</vt:i4>
      </vt:variant>
      <vt:variant>
        <vt:lpwstr>http://www.sec.gov/about/forms/industryguides.pdf</vt:lpwstr>
      </vt:variant>
      <vt:variant>
        <vt:lpwstr/>
      </vt:variant>
      <vt:variant>
        <vt:i4>7077931</vt:i4>
      </vt:variant>
      <vt:variant>
        <vt:i4>189</vt:i4>
      </vt:variant>
      <vt:variant>
        <vt:i4>0</vt:i4>
      </vt:variant>
      <vt:variant>
        <vt:i4>5</vt:i4>
      </vt:variant>
      <vt:variant>
        <vt:lpwstr>http://www.sec.gov/divisions/corpfin/guidance/execcomp402interp.htm</vt:lpwstr>
      </vt:variant>
      <vt:variant>
        <vt:lpwstr/>
      </vt:variant>
      <vt:variant>
        <vt:i4>8192103</vt:i4>
      </vt:variant>
      <vt:variant>
        <vt:i4>186</vt:i4>
      </vt:variant>
      <vt:variant>
        <vt:i4>0</vt:i4>
      </vt:variant>
      <vt:variant>
        <vt:i4>5</vt:i4>
      </vt:variant>
      <vt:variant>
        <vt:lpwstr/>
      </vt:variant>
      <vt:variant>
        <vt:lpwstr>recent_final_rules</vt:lpwstr>
      </vt:variant>
      <vt:variant>
        <vt:i4>7536690</vt:i4>
      </vt:variant>
      <vt:variant>
        <vt:i4>183</vt:i4>
      </vt:variant>
      <vt:variant>
        <vt:i4>0</vt:i4>
      </vt:variant>
      <vt:variant>
        <vt:i4>5</vt:i4>
      </vt:variant>
      <vt:variant>
        <vt:lpwstr>http://sec.gov/divisions/corpfin/guidance/derivfaq.htm</vt:lpwstr>
      </vt:variant>
      <vt:variant>
        <vt:lpwstr/>
      </vt:variant>
      <vt:variant>
        <vt:i4>5832718</vt:i4>
      </vt:variant>
      <vt:variant>
        <vt:i4>180</vt:i4>
      </vt:variant>
      <vt:variant>
        <vt:i4>0</vt:i4>
      </vt:variant>
      <vt:variant>
        <vt:i4>5</vt:i4>
      </vt:variant>
      <vt:variant>
        <vt:lpwstr>https://dart.deloitte.com/USDART/pdf/401b96f2-838c-11e8-85b9-7172a0502bbd</vt:lpwstr>
      </vt:variant>
      <vt:variant>
        <vt:lpwstr/>
      </vt:variant>
      <vt:variant>
        <vt:i4>4063236</vt:i4>
      </vt:variant>
      <vt:variant>
        <vt:i4>177</vt:i4>
      </vt:variant>
      <vt:variant>
        <vt:i4>0</vt:i4>
      </vt:variant>
      <vt:variant>
        <vt:i4>5</vt:i4>
      </vt:variant>
      <vt:variant>
        <vt:lpwstr>https://techlib.deloitteresources.com/?link=content/2_635327</vt:lpwstr>
      </vt:variant>
      <vt:variant>
        <vt:lpwstr/>
      </vt:variant>
      <vt:variant>
        <vt:i4>4259913</vt:i4>
      </vt:variant>
      <vt:variant>
        <vt:i4>174</vt:i4>
      </vt:variant>
      <vt:variant>
        <vt:i4>0</vt:i4>
      </vt:variant>
      <vt:variant>
        <vt:i4>5</vt:i4>
      </vt:variant>
      <vt:variant>
        <vt:lpwstr>https://www.sec.gov/oca/staff-accounting-bulletin-121</vt:lpwstr>
      </vt:variant>
      <vt:variant>
        <vt:lpwstr/>
      </vt:variant>
      <vt:variant>
        <vt:i4>4325459</vt:i4>
      </vt:variant>
      <vt:variant>
        <vt:i4>171</vt:i4>
      </vt:variant>
      <vt:variant>
        <vt:i4>0</vt:i4>
      </vt:variant>
      <vt:variant>
        <vt:i4>5</vt:i4>
      </vt:variant>
      <vt:variant>
        <vt:lpwstr>https://dart.deloitte.com/USDART/home/publications/roadmap/consolidation</vt:lpwstr>
      </vt:variant>
      <vt:variant>
        <vt:lpwstr/>
      </vt:variant>
      <vt:variant>
        <vt:i4>5832718</vt:i4>
      </vt:variant>
      <vt:variant>
        <vt:i4>168</vt:i4>
      </vt:variant>
      <vt:variant>
        <vt:i4>0</vt:i4>
      </vt:variant>
      <vt:variant>
        <vt:i4>5</vt:i4>
      </vt:variant>
      <vt:variant>
        <vt:lpwstr>https://dart.deloitte.com/USDART/pdf/401b96f2-838c-11e8-85b9-7172a0502bbd</vt:lpwstr>
      </vt:variant>
      <vt:variant>
        <vt:lpwstr/>
      </vt:variant>
      <vt:variant>
        <vt:i4>1769481</vt:i4>
      </vt:variant>
      <vt:variant>
        <vt:i4>165</vt:i4>
      </vt:variant>
      <vt:variant>
        <vt:i4>0</vt:i4>
      </vt:variant>
      <vt:variant>
        <vt:i4>5</vt:i4>
      </vt:variant>
      <vt:variant>
        <vt:lpwstr>https://dart.deloitte.com/USDART/home/publications/roadmap/equity-method-investees-sec-reporting</vt:lpwstr>
      </vt:variant>
      <vt:variant>
        <vt:lpwstr/>
      </vt:variant>
      <vt:variant>
        <vt:i4>5832718</vt:i4>
      </vt:variant>
      <vt:variant>
        <vt:i4>162</vt:i4>
      </vt:variant>
      <vt:variant>
        <vt:i4>0</vt:i4>
      </vt:variant>
      <vt:variant>
        <vt:i4>5</vt:i4>
      </vt:variant>
      <vt:variant>
        <vt:lpwstr>https://dart.deloitte.com/USDART/pdf/401b96f2-838c-11e8-85b9-7172a0502bbd</vt:lpwstr>
      </vt:variant>
      <vt:variant>
        <vt:lpwstr/>
      </vt:variant>
      <vt:variant>
        <vt:i4>5373977</vt:i4>
      </vt:variant>
      <vt:variant>
        <vt:i4>159</vt:i4>
      </vt:variant>
      <vt:variant>
        <vt:i4>0</vt:i4>
      </vt:variant>
      <vt:variant>
        <vt:i4>5</vt:i4>
      </vt:variant>
      <vt:variant>
        <vt:lpwstr>https://dart.deloitte.com/USDART/home/publications/deloitte/financial-reporting-alerts/2020/spac-transactions</vt:lpwstr>
      </vt:variant>
      <vt:variant>
        <vt:lpwstr/>
      </vt:variant>
      <vt:variant>
        <vt:i4>7012386</vt:i4>
      </vt:variant>
      <vt:variant>
        <vt:i4>156</vt:i4>
      </vt:variant>
      <vt:variant>
        <vt:i4>0</vt:i4>
      </vt:variant>
      <vt:variant>
        <vt:i4>5</vt:i4>
      </vt:variant>
      <vt:variant>
        <vt:lpwstr>https://dart.deloitte.com/USDART/home/publications/roadmap/business-combinations-sec-reporting</vt:lpwstr>
      </vt:variant>
      <vt:variant>
        <vt:lpwstr/>
      </vt:variant>
      <vt:variant>
        <vt:i4>589835</vt:i4>
      </vt:variant>
      <vt:variant>
        <vt:i4>153</vt:i4>
      </vt:variant>
      <vt:variant>
        <vt:i4>0</vt:i4>
      </vt:variant>
      <vt:variant>
        <vt:i4>5</vt:i4>
      </vt:variant>
      <vt:variant>
        <vt:lpwstr>https://dart.deloitte.com/USDART/pdf/e316fec1-b29b-11e8-93d3-f398aa9dc17b</vt:lpwstr>
      </vt:variant>
      <vt:variant>
        <vt:lpwstr/>
      </vt:variant>
      <vt:variant>
        <vt:i4>2031633</vt:i4>
      </vt:variant>
      <vt:variant>
        <vt:i4>150</vt:i4>
      </vt:variant>
      <vt:variant>
        <vt:i4>0</vt:i4>
      </vt:variant>
      <vt:variant>
        <vt:i4>5</vt:i4>
      </vt:variant>
      <vt:variant>
        <vt:lpwstr/>
      </vt:variant>
      <vt:variant>
        <vt:lpwstr>items801_and_802</vt:lpwstr>
      </vt:variant>
      <vt:variant>
        <vt:i4>2687035</vt:i4>
      </vt:variant>
      <vt:variant>
        <vt:i4>147</vt:i4>
      </vt:variant>
      <vt:variant>
        <vt:i4>0</vt:i4>
      </vt:variant>
      <vt:variant>
        <vt:i4>5</vt:i4>
      </vt:variant>
      <vt:variant>
        <vt:lpwstr/>
      </vt:variant>
      <vt:variant>
        <vt:lpwstr>item702</vt:lpwstr>
      </vt:variant>
      <vt:variant>
        <vt:i4>5046337</vt:i4>
      </vt:variant>
      <vt:variant>
        <vt:i4>144</vt:i4>
      </vt:variant>
      <vt:variant>
        <vt:i4>0</vt:i4>
      </vt:variant>
      <vt:variant>
        <vt:i4>5</vt:i4>
      </vt:variant>
      <vt:variant>
        <vt:lpwstr/>
      </vt:variant>
      <vt:variant>
        <vt:lpwstr>_Item_601._</vt:lpwstr>
      </vt:variant>
      <vt:variant>
        <vt:i4>6488122</vt:i4>
      </vt:variant>
      <vt:variant>
        <vt:i4>138</vt:i4>
      </vt:variant>
      <vt:variant>
        <vt:i4>0</vt:i4>
      </vt:variant>
      <vt:variant>
        <vt:i4>5</vt:i4>
      </vt:variant>
      <vt:variant>
        <vt:lpwstr/>
      </vt:variant>
      <vt:variant>
        <vt:lpwstr>item402_exec_comp</vt:lpwstr>
      </vt:variant>
      <vt:variant>
        <vt:i4>2687039</vt:i4>
      </vt:variant>
      <vt:variant>
        <vt:i4>135</vt:i4>
      </vt:variant>
      <vt:variant>
        <vt:i4>0</vt:i4>
      </vt:variant>
      <vt:variant>
        <vt:i4>5</vt:i4>
      </vt:variant>
      <vt:variant>
        <vt:lpwstr/>
      </vt:variant>
      <vt:variant>
        <vt:lpwstr>Item308</vt:lpwstr>
      </vt:variant>
      <vt:variant>
        <vt:i4>537985043</vt:i4>
      </vt:variant>
      <vt:variant>
        <vt:i4>132</vt:i4>
      </vt:variant>
      <vt:variant>
        <vt:i4>0</vt:i4>
      </vt:variant>
      <vt:variant>
        <vt:i4>5</vt:i4>
      </vt:variant>
      <vt:variant>
        <vt:lpwstr/>
      </vt:variant>
      <vt:variant>
        <vt:lpwstr>_Item_307—Disclosure_controls</vt:lpwstr>
      </vt:variant>
      <vt:variant>
        <vt:i4>544014435</vt:i4>
      </vt:variant>
      <vt:variant>
        <vt:i4>129</vt:i4>
      </vt:variant>
      <vt:variant>
        <vt:i4>0</vt:i4>
      </vt:variant>
      <vt:variant>
        <vt:i4>5</vt:i4>
      </vt:variant>
      <vt:variant>
        <vt:lpwstr/>
      </vt:variant>
      <vt:variant>
        <vt:lpwstr>_Item_305—Quantitative_and</vt:lpwstr>
      </vt:variant>
      <vt:variant>
        <vt:i4>539295806</vt:i4>
      </vt:variant>
      <vt:variant>
        <vt:i4>126</vt:i4>
      </vt:variant>
      <vt:variant>
        <vt:i4>0</vt:i4>
      </vt:variant>
      <vt:variant>
        <vt:i4>5</vt:i4>
      </vt:variant>
      <vt:variant>
        <vt:lpwstr/>
      </vt:variant>
      <vt:variant>
        <vt:lpwstr>_Item_304—Changes_in</vt:lpwstr>
      </vt:variant>
      <vt:variant>
        <vt:i4>1638499</vt:i4>
      </vt:variant>
      <vt:variant>
        <vt:i4>123</vt:i4>
      </vt:variant>
      <vt:variant>
        <vt:i4>0</vt:i4>
      </vt:variant>
      <vt:variant>
        <vt:i4>5</vt:i4>
      </vt:variant>
      <vt:variant>
        <vt:lpwstr/>
      </vt:variant>
      <vt:variant>
        <vt:lpwstr>item_303</vt:lpwstr>
      </vt:variant>
      <vt:variant>
        <vt:i4>204814</vt:i4>
      </vt:variant>
      <vt:variant>
        <vt:i4>120</vt:i4>
      </vt:variant>
      <vt:variant>
        <vt:i4>0</vt:i4>
      </vt:variant>
      <vt:variant>
        <vt:i4>5</vt:i4>
      </vt:variant>
      <vt:variant>
        <vt:lpwstr/>
      </vt:variant>
      <vt:variant>
        <vt:lpwstr>_Item_302(b)—Information_About</vt:lpwstr>
      </vt:variant>
      <vt:variant>
        <vt:i4>2760756</vt:i4>
      </vt:variant>
      <vt:variant>
        <vt:i4>117</vt:i4>
      </vt:variant>
      <vt:variant>
        <vt:i4>0</vt:i4>
      </vt:variant>
      <vt:variant>
        <vt:i4>5</vt:i4>
      </vt:variant>
      <vt:variant>
        <vt:lpwstr/>
      </vt:variant>
      <vt:variant>
        <vt:lpwstr>_Item_302(a)—Selected_Quarterly</vt:lpwstr>
      </vt:variant>
      <vt:variant>
        <vt:i4>1572963</vt:i4>
      </vt:variant>
      <vt:variant>
        <vt:i4>114</vt:i4>
      </vt:variant>
      <vt:variant>
        <vt:i4>0</vt:i4>
      </vt:variant>
      <vt:variant>
        <vt:i4>5</vt:i4>
      </vt:variant>
      <vt:variant>
        <vt:lpwstr/>
      </vt:variant>
      <vt:variant>
        <vt:lpwstr>item_302</vt:lpwstr>
      </vt:variant>
      <vt:variant>
        <vt:i4>1704035</vt:i4>
      </vt:variant>
      <vt:variant>
        <vt:i4>111</vt:i4>
      </vt:variant>
      <vt:variant>
        <vt:i4>0</vt:i4>
      </vt:variant>
      <vt:variant>
        <vt:i4>5</vt:i4>
      </vt:variant>
      <vt:variant>
        <vt:lpwstr/>
      </vt:variant>
      <vt:variant>
        <vt:lpwstr>item_201</vt:lpwstr>
      </vt:variant>
      <vt:variant>
        <vt:i4>1900643</vt:i4>
      </vt:variant>
      <vt:variant>
        <vt:i4>108</vt:i4>
      </vt:variant>
      <vt:variant>
        <vt:i4>0</vt:i4>
      </vt:variant>
      <vt:variant>
        <vt:i4>5</vt:i4>
      </vt:variant>
      <vt:variant>
        <vt:lpwstr/>
      </vt:variant>
      <vt:variant>
        <vt:lpwstr>Item_105</vt:lpwstr>
      </vt:variant>
      <vt:variant>
        <vt:i4>1638499</vt:i4>
      </vt:variant>
      <vt:variant>
        <vt:i4>105</vt:i4>
      </vt:variant>
      <vt:variant>
        <vt:i4>0</vt:i4>
      </vt:variant>
      <vt:variant>
        <vt:i4>5</vt:i4>
      </vt:variant>
      <vt:variant>
        <vt:lpwstr/>
      </vt:variant>
      <vt:variant>
        <vt:lpwstr>item_101</vt:lpwstr>
      </vt:variant>
      <vt:variant>
        <vt:i4>5963844</vt:i4>
      </vt:variant>
      <vt:variant>
        <vt:i4>102</vt:i4>
      </vt:variant>
      <vt:variant>
        <vt:i4>0</vt:i4>
      </vt:variant>
      <vt:variant>
        <vt:i4>5</vt:i4>
      </vt:variant>
      <vt:variant>
        <vt:lpwstr/>
      </vt:variant>
      <vt:variant>
        <vt:lpwstr>Article11ProForma</vt:lpwstr>
      </vt:variant>
      <vt:variant>
        <vt:i4>4587539</vt:i4>
      </vt:variant>
      <vt:variant>
        <vt:i4>99</vt:i4>
      </vt:variant>
      <vt:variant>
        <vt:i4>0</vt:i4>
      </vt:variant>
      <vt:variant>
        <vt:i4>5</vt:i4>
      </vt:variant>
      <vt:variant>
        <vt:lpwstr/>
      </vt:variant>
      <vt:variant>
        <vt:lpwstr>Article10</vt:lpwstr>
      </vt:variant>
      <vt:variant>
        <vt:i4>5177363</vt:i4>
      </vt:variant>
      <vt:variant>
        <vt:i4>96</vt:i4>
      </vt:variant>
      <vt:variant>
        <vt:i4>0</vt:i4>
      </vt:variant>
      <vt:variant>
        <vt:i4>5</vt:i4>
      </vt:variant>
      <vt:variant>
        <vt:lpwstr/>
      </vt:variant>
      <vt:variant>
        <vt:lpwstr>Article8</vt:lpwstr>
      </vt:variant>
      <vt:variant>
        <vt:i4>786480</vt:i4>
      </vt:variant>
      <vt:variant>
        <vt:i4>93</vt:i4>
      </vt:variant>
      <vt:variant>
        <vt:i4>0</vt:i4>
      </vt:variant>
      <vt:variant>
        <vt:i4>5</vt:i4>
      </vt:variant>
      <vt:variant>
        <vt:lpwstr/>
      </vt:variant>
      <vt:variant>
        <vt:lpwstr>_ARTICLE_5._COMMERCIAL</vt:lpwstr>
      </vt:variant>
      <vt:variant>
        <vt:i4>2621459</vt:i4>
      </vt:variant>
      <vt:variant>
        <vt:i4>90</vt:i4>
      </vt:variant>
      <vt:variant>
        <vt:i4>0</vt:i4>
      </vt:variant>
      <vt:variant>
        <vt:i4>5</vt:i4>
      </vt:variant>
      <vt:variant>
        <vt:lpwstr/>
      </vt:variant>
      <vt:variant>
        <vt:lpwstr>article_4</vt:lpwstr>
      </vt:variant>
      <vt:variant>
        <vt:i4>65577</vt:i4>
      </vt:variant>
      <vt:variant>
        <vt:i4>87</vt:i4>
      </vt:variant>
      <vt:variant>
        <vt:i4>0</vt:i4>
      </vt:variant>
      <vt:variant>
        <vt:i4>5</vt:i4>
      </vt:variant>
      <vt:variant>
        <vt:lpwstr/>
      </vt:variant>
      <vt:variant>
        <vt:lpwstr>_ARTICLE_3A._CONSOLIDATED</vt:lpwstr>
      </vt:variant>
      <vt:variant>
        <vt:i4>1966114</vt:i4>
      </vt:variant>
      <vt:variant>
        <vt:i4>84</vt:i4>
      </vt:variant>
      <vt:variant>
        <vt:i4>0</vt:i4>
      </vt:variant>
      <vt:variant>
        <vt:i4>5</vt:i4>
      </vt:variant>
      <vt:variant>
        <vt:lpwstr/>
      </vt:variant>
      <vt:variant>
        <vt:lpwstr>_ARTICLE_3._GENERAL</vt:lpwstr>
      </vt:variant>
      <vt:variant>
        <vt:i4>1638441</vt:i4>
      </vt:variant>
      <vt:variant>
        <vt:i4>81</vt:i4>
      </vt:variant>
      <vt:variant>
        <vt:i4>0</vt:i4>
      </vt:variant>
      <vt:variant>
        <vt:i4>5</vt:i4>
      </vt:variant>
      <vt:variant>
        <vt:lpwstr/>
      </vt:variant>
      <vt:variant>
        <vt:lpwstr>_ARTICLE_1._APPLICATION</vt:lpwstr>
      </vt:variant>
      <vt:variant>
        <vt:i4>6553699</vt:i4>
      </vt:variant>
      <vt:variant>
        <vt:i4>78</vt:i4>
      </vt:variant>
      <vt:variant>
        <vt:i4>0</vt:i4>
      </vt:variant>
      <vt:variant>
        <vt:i4>5</vt:i4>
      </vt:variant>
      <vt:variant>
        <vt:lpwstr>https://dart.deloitte.com/USDART/home/publications/deloitte/additional-deloitte-guidance/roadmap-initial-public-offerings/chapter-1-introduction-initial-public-offerings/1-6-emerging-growth-companies</vt:lpwstr>
      </vt:variant>
      <vt:variant>
        <vt:lpwstr/>
      </vt:variant>
      <vt:variant>
        <vt:i4>3866693</vt:i4>
      </vt:variant>
      <vt:variant>
        <vt:i4>75</vt:i4>
      </vt:variant>
      <vt:variant>
        <vt:i4>0</vt:i4>
      </vt:variant>
      <vt:variant>
        <vt:i4>5</vt:i4>
      </vt:variant>
      <vt:variant>
        <vt:lpwstr/>
      </vt:variant>
      <vt:variant>
        <vt:lpwstr>note_1</vt:lpwstr>
      </vt:variant>
      <vt:variant>
        <vt:i4>2752559</vt:i4>
      </vt:variant>
      <vt:variant>
        <vt:i4>63</vt:i4>
      </vt:variant>
      <vt:variant>
        <vt:i4>0</vt:i4>
      </vt:variant>
      <vt:variant>
        <vt:i4>5</vt:i4>
      </vt:variant>
      <vt:variant>
        <vt:lpwstr>https://dart.deloitte.com/USDART/home/publications/deloitte/financial-reporting-alerts/2022/russia-ukraine-war</vt:lpwstr>
      </vt:variant>
      <vt:variant>
        <vt:lpwstr/>
      </vt:variant>
      <vt:variant>
        <vt:i4>4980830</vt:i4>
      </vt:variant>
      <vt:variant>
        <vt:i4>60</vt:i4>
      </vt:variant>
      <vt:variant>
        <vt:i4>0</vt:i4>
      </vt:variant>
      <vt:variant>
        <vt:i4>5</vt:i4>
      </vt:variant>
      <vt:variant>
        <vt:lpwstr>https://www.sec.gov/corpfin/sample-letter-companies-pertaining-to-ukraine</vt:lpwstr>
      </vt:variant>
      <vt:variant>
        <vt:lpwstr/>
      </vt:variant>
      <vt:variant>
        <vt:i4>2883644</vt:i4>
      </vt:variant>
      <vt:variant>
        <vt:i4>57</vt:i4>
      </vt:variant>
      <vt:variant>
        <vt:i4>0</vt:i4>
      </vt:variant>
      <vt:variant>
        <vt:i4>5</vt:i4>
      </vt:variant>
      <vt:variant>
        <vt:lpwstr>https://dart.deloitte.com/USDART/home/publications/deloitte/financial-reporting-alerts/2020/covid-financial-reporting-trends-sep-20</vt:lpwstr>
      </vt:variant>
      <vt:variant>
        <vt:lpwstr/>
      </vt:variant>
      <vt:variant>
        <vt:i4>4194311</vt:i4>
      </vt:variant>
      <vt:variant>
        <vt:i4>54</vt:i4>
      </vt:variant>
      <vt:variant>
        <vt:i4>0</vt:i4>
      </vt:variant>
      <vt:variant>
        <vt:i4>5</vt:i4>
      </vt:variant>
      <vt:variant>
        <vt:lpwstr>https://dart.deloitte.com/USDART/home/publications/deloitte/financial-reporting-alerts/2020/financial-reporting-considerations-economic-downturn-covid-19</vt:lpwstr>
      </vt:variant>
      <vt:variant>
        <vt:lpwstr/>
      </vt:variant>
      <vt:variant>
        <vt:i4>3997735</vt:i4>
      </vt:variant>
      <vt:variant>
        <vt:i4>51</vt:i4>
      </vt:variant>
      <vt:variant>
        <vt:i4>0</vt:i4>
      </vt:variant>
      <vt:variant>
        <vt:i4>5</vt:i4>
      </vt:variant>
      <vt:variant>
        <vt:lpwstr>https://www.sec.gov/corpfin/covid-19-disclosure-considerations</vt:lpwstr>
      </vt:variant>
      <vt:variant>
        <vt:lpwstr/>
      </vt:variant>
      <vt:variant>
        <vt:i4>5767184</vt:i4>
      </vt:variant>
      <vt:variant>
        <vt:i4>48</vt:i4>
      </vt:variant>
      <vt:variant>
        <vt:i4>0</vt:i4>
      </vt:variant>
      <vt:variant>
        <vt:i4>5</vt:i4>
      </vt:variant>
      <vt:variant>
        <vt:lpwstr>https://www.sec.gov/corpfin/coronavirus-covid-19</vt:lpwstr>
      </vt:variant>
      <vt:variant>
        <vt:lpwstr/>
      </vt:variant>
      <vt:variant>
        <vt:i4>786496</vt:i4>
      </vt:variant>
      <vt:variant>
        <vt:i4>45</vt:i4>
      </vt:variant>
      <vt:variant>
        <vt:i4>0</vt:i4>
      </vt:variant>
      <vt:variant>
        <vt:i4>5</vt:i4>
      </vt:variant>
      <vt:variant>
        <vt:lpwstr>https://dart.deloitte.com/USDART/home/publications/deloitte/heads-up/2021/sec-comments-climate-change-disclosures</vt:lpwstr>
      </vt:variant>
      <vt:variant>
        <vt:lpwstr/>
      </vt:variant>
      <vt:variant>
        <vt:i4>5963781</vt:i4>
      </vt:variant>
      <vt:variant>
        <vt:i4>42</vt:i4>
      </vt:variant>
      <vt:variant>
        <vt:i4>0</vt:i4>
      </vt:variant>
      <vt:variant>
        <vt:i4>5</vt:i4>
      </vt:variant>
      <vt:variant>
        <vt:lpwstr>https://www.sec.gov/rules/interp/2010/33-9106.pdf</vt:lpwstr>
      </vt:variant>
      <vt:variant>
        <vt:lpwstr/>
      </vt:variant>
      <vt:variant>
        <vt:i4>786519</vt:i4>
      </vt:variant>
      <vt:variant>
        <vt:i4>39</vt:i4>
      </vt:variant>
      <vt:variant>
        <vt:i4>0</vt:i4>
      </vt:variant>
      <vt:variant>
        <vt:i4>5</vt:i4>
      </vt:variant>
      <vt:variant>
        <vt:lpwstr>https://www.sec.gov/corpfin/sample-letter-climate-change-disclosures</vt:lpwstr>
      </vt:variant>
      <vt:variant>
        <vt:lpwstr/>
      </vt:variant>
      <vt:variant>
        <vt:i4>5636212</vt:i4>
      </vt:variant>
      <vt:variant>
        <vt:i4>36</vt:i4>
      </vt:variant>
      <vt:variant>
        <vt:i4>0</vt:i4>
      </vt:variant>
      <vt:variant>
        <vt:i4>5</vt:i4>
      </vt:variant>
      <vt:variant>
        <vt:lpwstr>https://techlib.deloitte.com/default.aspx?view=content&amp;id=2_352910</vt:lpwstr>
      </vt:variant>
      <vt:variant>
        <vt:lpwstr/>
      </vt:variant>
      <vt:variant>
        <vt:i4>3538992</vt:i4>
      </vt:variant>
      <vt:variant>
        <vt:i4>33</vt:i4>
      </vt:variant>
      <vt:variant>
        <vt:i4>0</vt:i4>
      </vt:variant>
      <vt:variant>
        <vt:i4>5</vt:i4>
      </vt:variant>
      <vt:variant>
        <vt:lpwstr>https://www.sec.gov/corpfin/non-gaap-financial-measures</vt:lpwstr>
      </vt:variant>
      <vt:variant>
        <vt:lpwstr/>
      </vt:variant>
      <vt:variant>
        <vt:i4>3145761</vt:i4>
      </vt:variant>
      <vt:variant>
        <vt:i4>30</vt:i4>
      </vt:variant>
      <vt:variant>
        <vt:i4>0</vt:i4>
      </vt:variant>
      <vt:variant>
        <vt:i4>5</vt:i4>
      </vt:variant>
      <vt:variant>
        <vt:lpwstr>https://www.iasplus.com/en/publications/us/financial-reporting-alerts/2020/20-4</vt:lpwstr>
      </vt:variant>
      <vt:variant>
        <vt:lpwstr/>
      </vt:variant>
      <vt:variant>
        <vt:i4>65564</vt:i4>
      </vt:variant>
      <vt:variant>
        <vt:i4>27</vt:i4>
      </vt:variant>
      <vt:variant>
        <vt:i4>0</vt:i4>
      </vt:variant>
      <vt:variant>
        <vt:i4>5</vt:i4>
      </vt:variant>
      <vt:variant>
        <vt:lpwstr>https://dart.deloitte.com/USDART/home/publications/roadmap/non-gaap-financial-measures?id=us:2em:3na:rmnongaap:eng:aud:120321:fra</vt:lpwstr>
      </vt:variant>
      <vt:variant>
        <vt:lpwstr/>
      </vt:variant>
      <vt:variant>
        <vt:i4>3407928</vt:i4>
      </vt:variant>
      <vt:variant>
        <vt:i4>24</vt:i4>
      </vt:variant>
      <vt:variant>
        <vt:i4>0</vt:i4>
      </vt:variant>
      <vt:variant>
        <vt:i4>5</vt:i4>
      </vt:variant>
      <vt:variant>
        <vt:lpwstr>https://dart.deloitte.com/USDART/home/accounting/sec/new-sec-rules-reports-studies</vt:lpwstr>
      </vt:variant>
      <vt:variant>
        <vt:lpwstr/>
      </vt:variant>
      <vt:variant>
        <vt:i4>3342457</vt:i4>
      </vt:variant>
      <vt:variant>
        <vt:i4>21</vt:i4>
      </vt:variant>
      <vt:variant>
        <vt:i4>0</vt:i4>
      </vt:variant>
      <vt:variant>
        <vt:i4>5</vt:i4>
      </vt:variant>
      <vt:variant>
        <vt:lpwstr>https://dart.deloitte.com/USDART/home/publications/deloitte/heads-up/2022/sec-rule-clawback</vt:lpwstr>
      </vt:variant>
      <vt:variant>
        <vt:lpwstr/>
      </vt:variant>
      <vt:variant>
        <vt:i4>917522</vt:i4>
      </vt:variant>
      <vt:variant>
        <vt:i4>18</vt:i4>
      </vt:variant>
      <vt:variant>
        <vt:i4>0</vt:i4>
      </vt:variant>
      <vt:variant>
        <vt:i4>5</vt:i4>
      </vt:variant>
      <vt:variant>
        <vt:lpwstr>https://www.sec.gov/rules/final/2022/33-11126.pdf</vt:lpwstr>
      </vt:variant>
      <vt:variant>
        <vt:lpwstr/>
      </vt:variant>
      <vt:variant>
        <vt:i4>7602227</vt:i4>
      </vt:variant>
      <vt:variant>
        <vt:i4>15</vt:i4>
      </vt:variant>
      <vt:variant>
        <vt:i4>0</vt:i4>
      </vt:variant>
      <vt:variant>
        <vt:i4>5</vt:i4>
      </vt:variant>
      <vt:variant>
        <vt:lpwstr>https://dart.deloitte.com/USDART/home/publications/deloitte/heads-up/2022/sec-issues-pay-vs-performance</vt:lpwstr>
      </vt:variant>
      <vt:variant>
        <vt:lpwstr/>
      </vt:variant>
      <vt:variant>
        <vt:i4>524315</vt:i4>
      </vt:variant>
      <vt:variant>
        <vt:i4>12</vt:i4>
      </vt:variant>
      <vt:variant>
        <vt:i4>0</vt:i4>
      </vt:variant>
      <vt:variant>
        <vt:i4>5</vt:i4>
      </vt:variant>
      <vt:variant>
        <vt:lpwstr>https://www.sec.gov/rules/final/2022/34-95607.pdf</vt:lpwstr>
      </vt:variant>
      <vt:variant>
        <vt:lpwstr/>
      </vt:variant>
      <vt:variant>
        <vt:i4>2228347</vt:i4>
      </vt:variant>
      <vt:variant>
        <vt:i4>9</vt:i4>
      </vt:variant>
      <vt:variant>
        <vt:i4>0</vt:i4>
      </vt:variant>
      <vt:variant>
        <vt:i4>5</vt:i4>
      </vt:variant>
      <vt:variant>
        <vt:lpwstr>http://www.sec.gov/divisions/corpfin/cfreportingguidance.shtml</vt:lpwstr>
      </vt:variant>
      <vt:variant>
        <vt:lpwstr/>
      </vt:variant>
      <vt:variant>
        <vt:i4>1507399</vt:i4>
      </vt:variant>
      <vt:variant>
        <vt:i4>6</vt:i4>
      </vt:variant>
      <vt:variant>
        <vt:i4>0</vt:i4>
      </vt:variant>
      <vt:variant>
        <vt:i4>5</vt:i4>
      </vt:variant>
      <vt:variant>
        <vt:lpwstr>http://www.sec.gov/divisions/corpfin/cffinancialreportingmanual.shtml</vt:lpwstr>
      </vt:variant>
      <vt:variant>
        <vt:lpwstr/>
      </vt:variant>
      <vt:variant>
        <vt:i4>2752628</vt:i4>
      </vt:variant>
      <vt:variant>
        <vt:i4>3</vt:i4>
      </vt:variant>
      <vt:variant>
        <vt:i4>0</vt:i4>
      </vt:variant>
      <vt:variant>
        <vt:i4>5</vt:i4>
      </vt:variant>
      <vt:variant>
        <vt:lpwstr>http://www.sec.gov/</vt:lpwstr>
      </vt:variant>
      <vt:variant>
        <vt:lpwstr/>
      </vt:variant>
      <vt:variant>
        <vt:i4>65585</vt:i4>
      </vt:variant>
      <vt:variant>
        <vt:i4>0</vt:i4>
      </vt:variant>
      <vt:variant>
        <vt:i4>0</vt:i4>
      </vt:variant>
      <vt:variant>
        <vt:i4>5</vt:i4>
      </vt:variant>
      <vt:variant>
        <vt:lpwstr/>
      </vt:variant>
      <vt:variant>
        <vt:lpwstr>Additional_considerations</vt:lpwstr>
      </vt:variant>
      <vt:variant>
        <vt:i4>3801130</vt:i4>
      </vt:variant>
      <vt:variant>
        <vt:i4>0</vt:i4>
      </vt:variant>
      <vt:variant>
        <vt:i4>0</vt:i4>
      </vt:variant>
      <vt:variant>
        <vt:i4>5</vt:i4>
      </vt:variant>
      <vt:variant>
        <vt:lpwstr>https://dart.deloitte.com/USDART/home/accounting/sec/new-sec-rules-reports-studies/inflation-adjustments-under-titles-i-iii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Todaro, Tammy</cp:lastModifiedBy>
  <cp:revision>7</cp:revision>
  <cp:lastPrinted>2015-11-13T07:25:00Z</cp:lastPrinted>
  <dcterms:created xsi:type="dcterms:W3CDTF">2022-12-14T22:51:00Z</dcterms:created>
  <dcterms:modified xsi:type="dcterms:W3CDTF">2022-12-15T19:20:00Z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0x01010013AF38701A87BA44A319A501035FA4E1</vt:lpwstr>
  </property>
  <property fmtid="{D5CDD505-2E9C-101B-9397-08002B2CF9AE}" pid="4" name="MSIP_Label_ea60d57e-af5b-4752-ac57-3e4f28ca11dc_Enabled">
    <vt:lpwstr>true</vt:lpwstr>
  </property>
  <property fmtid="{D5CDD505-2E9C-101B-9397-08002B2CF9AE}" pid="5" name="MSIP_Label_ea60d57e-af5b-4752-ac57-3e4f28ca11dc_SetDate">
    <vt:lpwstr>2021-12-08T13:56:50Z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8f200005-1d76-4071-9ee1-44e4802c12cf</vt:lpwstr>
  </property>
  <property fmtid="{D5CDD505-2E9C-101B-9397-08002B2CF9AE}" pid="10" name="MSIP_Label_ea60d57e-af5b-4752-ac57-3e4f28ca11dc_ContentBits">
    <vt:lpwstr>0</vt:lpwstr>
  </property>
</Properties>
</file>